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0396A">
      <w:pPr>
        <w:pStyle w:val="7"/>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895340" cy="8337550"/>
            <wp:effectExtent l="0" t="0" r="10160" b="6350"/>
            <wp:docPr id="5" name="图片 5" descr="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封面_01"/>
                    <pic:cNvPicPr>
                      <a:picLocks noChangeAspect="1"/>
                    </pic:cNvPicPr>
                  </pic:nvPicPr>
                  <pic:blipFill>
                    <a:blip r:embed="rId15"/>
                    <a:stretch>
                      <a:fillRect/>
                    </a:stretch>
                  </pic:blipFill>
                  <pic:spPr>
                    <a:xfrm>
                      <a:off x="0" y="0"/>
                      <a:ext cx="5895340" cy="8337550"/>
                    </a:xfrm>
                    <a:prstGeom prst="rect">
                      <a:avLst/>
                    </a:prstGeom>
                  </pic:spPr>
                </pic:pic>
              </a:graphicData>
            </a:graphic>
          </wp:inline>
        </w:drawing>
      </w:r>
    </w:p>
    <w:p w14:paraId="7D1FB56B">
      <w:pPr>
        <w:rPr>
          <w:rFonts w:hint="eastAsia"/>
          <w:color w:val="auto"/>
          <w:sz w:val="44"/>
          <w:szCs w:val="44"/>
          <w:highlight w:val="none"/>
        </w:rPr>
      </w:pPr>
      <w:r>
        <w:rPr>
          <w:rFonts w:hint="eastAsia"/>
          <w:color w:val="auto"/>
          <w:sz w:val="44"/>
          <w:szCs w:val="44"/>
          <w:highlight w:val="none"/>
        </w:rPr>
        <w:br w:type="page"/>
      </w:r>
    </w:p>
    <w:p w14:paraId="5E7F3B52">
      <w:pPr>
        <w:rPr>
          <w:rFonts w:hint="eastAsia"/>
          <w:color w:val="auto"/>
          <w:sz w:val="44"/>
          <w:szCs w:val="44"/>
          <w:highlight w:val="none"/>
        </w:rPr>
      </w:pPr>
    </w:p>
    <w:p w14:paraId="3C5131B5">
      <w:pPr>
        <w:jc w:val="center"/>
        <w:rPr>
          <w:rFonts w:hint="eastAsia"/>
          <w:color w:val="auto"/>
          <w:sz w:val="44"/>
          <w:szCs w:val="44"/>
          <w:highlight w:val="none"/>
        </w:rPr>
      </w:pPr>
      <w:r>
        <w:rPr>
          <w:rFonts w:hint="eastAsia"/>
          <w:color w:val="auto"/>
          <w:sz w:val="44"/>
          <w:szCs w:val="44"/>
          <w:highlight w:val="none"/>
        </w:rPr>
        <w:t>南宁市政府采购</w:t>
      </w:r>
    </w:p>
    <w:p w14:paraId="175013BF">
      <w:pPr>
        <w:spacing w:before="165"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竞争性磋商文件范本（服务类）</w:t>
      </w:r>
    </w:p>
    <w:p w14:paraId="2538450F">
      <w:pPr>
        <w:spacing w:before="165" w:beforeLines="50" w:line="360" w:lineRule="auto"/>
        <w:jc w:val="center"/>
        <w:rPr>
          <w:rFonts w:hint="eastAsia" w:ascii="宋体" w:hAnsi="宋体"/>
          <w:color w:val="auto"/>
          <w:sz w:val="36"/>
          <w:szCs w:val="36"/>
          <w:highlight w:val="none"/>
          <w:lang w:val="en-US" w:eastAsia="zh-CN"/>
        </w:rPr>
      </w:pPr>
      <w:r>
        <w:rPr>
          <w:rFonts w:hint="eastAsia" w:ascii="宋体" w:hAnsi="宋体"/>
          <w:color w:val="auto"/>
          <w:sz w:val="36"/>
          <w:szCs w:val="36"/>
          <w:highlight w:val="none"/>
          <w:lang w:val="en-US" w:eastAsia="zh-CN"/>
        </w:rPr>
        <w:t xml:space="preserve"> </w:t>
      </w:r>
    </w:p>
    <w:p w14:paraId="2C517C8A">
      <w:pPr>
        <w:pStyle w:val="8"/>
        <w:numPr>
          <w:ilvl w:val="0"/>
          <w:numId w:val="0"/>
        </w:numPr>
        <w:ind w:leftChars="0"/>
        <w:rPr>
          <w:rFonts w:hint="eastAsia"/>
          <w:color w:val="auto"/>
          <w:highlight w:val="none"/>
          <w:lang w:eastAsia="zh-CN"/>
        </w:rPr>
      </w:pPr>
    </w:p>
    <w:p w14:paraId="58F53CE3">
      <w:pPr>
        <w:snapToGrid w:val="0"/>
        <w:spacing w:before="165" w:beforeLines="50" w:line="360" w:lineRule="auto"/>
        <w:jc w:val="center"/>
        <w:rPr>
          <w:rFonts w:hint="eastAsia" w:ascii="微软雅黑" w:hAnsi="微软雅黑" w:eastAsia="微软雅黑" w:cs="微软雅黑"/>
          <w:color w:val="auto"/>
          <w:sz w:val="44"/>
          <w:szCs w:val="44"/>
          <w:highlight w:val="none"/>
        </w:rPr>
      </w:pPr>
      <w:r>
        <w:rPr>
          <w:rFonts w:hint="eastAsia" w:ascii="华文新魏" w:hAnsi="宋体" w:eastAsia="华文新魏"/>
          <w:color w:val="auto"/>
          <w:sz w:val="72"/>
          <w:szCs w:val="72"/>
          <w:highlight w:val="none"/>
        </w:rPr>
        <w:t>竞争性磋商文件</w:t>
      </w:r>
    </w:p>
    <w:p w14:paraId="50A34544">
      <w:pPr>
        <w:spacing w:before="331" w:beforeLines="100" w:after="165"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3CFD54CB">
      <w:pPr>
        <w:spacing w:line="360" w:lineRule="auto"/>
        <w:rPr>
          <w:rFonts w:hint="eastAsia" w:ascii="宋体" w:hAnsi="宋体"/>
          <w:b/>
          <w:color w:val="auto"/>
          <w:sz w:val="32"/>
          <w:szCs w:val="32"/>
          <w:highlight w:val="none"/>
        </w:rPr>
      </w:pPr>
    </w:p>
    <w:p w14:paraId="120016D9">
      <w:pPr>
        <w:spacing w:line="360" w:lineRule="auto"/>
        <w:jc w:val="center"/>
        <w:rPr>
          <w:rFonts w:hint="eastAsia" w:ascii="宋体" w:hAnsi="宋体"/>
          <w:b/>
          <w:color w:val="auto"/>
          <w:sz w:val="32"/>
          <w:szCs w:val="32"/>
          <w:highlight w:val="none"/>
        </w:rPr>
      </w:pPr>
    </w:p>
    <w:p w14:paraId="4555384F">
      <w:pPr>
        <w:spacing w:line="360" w:lineRule="auto"/>
        <w:jc w:val="center"/>
        <w:rPr>
          <w:rFonts w:hint="eastAsia" w:ascii="宋体" w:hAnsi="宋体"/>
          <w:b/>
          <w:color w:val="auto"/>
          <w:sz w:val="32"/>
          <w:szCs w:val="32"/>
          <w:highlight w:val="none"/>
        </w:rPr>
      </w:pPr>
    </w:p>
    <w:p w14:paraId="24D54525">
      <w:pPr>
        <w:pStyle w:val="17"/>
        <w:snapToGrid w:val="0"/>
        <w:spacing w:before="50" w:after="120" w:line="360" w:lineRule="auto"/>
        <w:ind w:leftChars="2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2026年南宁市武鸣区基层就业服务网点（就业服务站）项目</w:t>
      </w:r>
    </w:p>
    <w:p w14:paraId="4C820D77">
      <w:pPr>
        <w:snapToGrid w:val="0"/>
        <w:spacing w:before="165" w:beforeLines="50" w:line="360" w:lineRule="auto"/>
        <w:ind w:leftChars="200"/>
        <w:rPr>
          <w:rFonts w:hint="eastAsia" w:ascii="仿宋_GB2312" w:hAnsi="宋体" w:eastAsia="仿宋_GB2312" w:cs="Times New Roman"/>
          <w:b/>
          <w:bCs/>
          <w:color w:val="auto"/>
          <w:sz w:val="30"/>
          <w:szCs w:val="30"/>
          <w:highlight w:val="none"/>
          <w:lang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Times New Roman"/>
          <w:b/>
          <w:bCs/>
          <w:color w:val="auto"/>
          <w:sz w:val="30"/>
          <w:szCs w:val="30"/>
          <w:highlight w:val="none"/>
          <w:lang w:eastAsia="zh-CN"/>
        </w:rPr>
        <w:t>NNZC2026-C3-100081-GXXZ</w:t>
      </w:r>
    </w:p>
    <w:p w14:paraId="75D7AFFB">
      <w:pPr>
        <w:snapToGrid w:val="0"/>
        <w:spacing w:before="165" w:beforeLines="50" w:line="360" w:lineRule="auto"/>
        <w:ind w:leftChars="2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b/>
          <w:color w:val="auto"/>
          <w:sz w:val="30"/>
          <w:szCs w:val="48"/>
          <w:highlight w:val="none"/>
          <w:u w:val="single"/>
        </w:rPr>
        <w:t>南宁市武鸣区</w:t>
      </w:r>
    </w:p>
    <w:p w14:paraId="40B05532">
      <w:pPr>
        <w:pStyle w:val="17"/>
        <w:snapToGrid w:val="0"/>
        <w:spacing w:before="50" w:after="120" w:line="360" w:lineRule="auto"/>
        <w:ind w:leftChars="2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r>
        <w:rPr>
          <w:rFonts w:hint="eastAsia" w:ascii="仿宋_GB2312" w:hAnsi="宋体" w:eastAsia="仿宋_GB2312"/>
          <w:b/>
          <w:bCs/>
          <w:color w:val="auto"/>
          <w:w w:val="95"/>
          <w:sz w:val="30"/>
          <w:szCs w:val="30"/>
          <w:highlight w:val="none"/>
          <w:lang w:eastAsia="zh-CN"/>
        </w:rPr>
        <w:t>南宁市武鸣区人力资源和社会保障局</w:t>
      </w:r>
    </w:p>
    <w:p w14:paraId="25D55D20">
      <w:pPr>
        <w:pStyle w:val="17"/>
        <w:snapToGrid w:val="0"/>
        <w:spacing w:before="50" w:after="120" w:line="360" w:lineRule="auto"/>
        <w:ind w:leftChars="2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bookmarkStart w:id="0" w:name="PO_3000001866_PM031"/>
      <w:r>
        <w:rPr>
          <w:rFonts w:hint="eastAsia" w:ascii="仿宋_GB2312" w:hAnsi="宋体" w:eastAsia="仿宋_GB2312"/>
          <w:b/>
          <w:bCs/>
          <w:color w:val="auto"/>
          <w:w w:val="95"/>
          <w:sz w:val="30"/>
          <w:szCs w:val="30"/>
          <w:highlight w:val="none"/>
          <w:lang w:eastAsia="zh-CN"/>
        </w:rPr>
        <w:t>广西翔正项目管理有限公司</w:t>
      </w:r>
      <w:bookmarkEnd w:id="0"/>
    </w:p>
    <w:p w14:paraId="7A9D46E4">
      <w:pPr>
        <w:pStyle w:val="5"/>
        <w:rPr>
          <w:rFonts w:hint="eastAsia"/>
          <w:color w:val="auto"/>
          <w:highlight w:val="none"/>
          <w:lang w:eastAsia="zh-CN"/>
        </w:rPr>
      </w:pPr>
    </w:p>
    <w:p w14:paraId="3F59EA4F">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sectPr>
          <w:headerReference r:id="rId3" w:type="default"/>
          <w:footerReference r:id="rId4" w:type="default"/>
          <w:footerReference r:id="rId5" w:type="even"/>
          <w:pgSz w:w="11906" w:h="16838"/>
          <w:pgMar w:top="1134" w:right="1304" w:bottom="1134" w:left="1304" w:header="720" w:footer="720" w:gutter="0"/>
          <w:pgNumType w:start="1"/>
          <w:cols w:space="720" w:num="1"/>
          <w:docGrid w:type="lines" w:linePitch="331" w:charSpace="0"/>
        </w:sect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2026年08月24日</w:t>
      </w:r>
    </w:p>
    <w:p w14:paraId="64D3C183">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41BEC1CE">
      <w:pPr>
        <w:spacing w:line="400" w:lineRule="exact"/>
        <w:jc w:val="center"/>
        <w:rPr>
          <w:rFonts w:hint="eastAsia" w:ascii="宋体" w:hAnsi="宋体" w:eastAsia="宋体"/>
          <w:b/>
          <w:color w:val="auto"/>
          <w:sz w:val="44"/>
          <w:szCs w:val="44"/>
          <w:highlight w:val="none"/>
          <w:lang w:val="en-US" w:eastAsia="zh-CN"/>
        </w:rPr>
      </w:pPr>
    </w:p>
    <w:p w14:paraId="57A37404">
      <w:pPr>
        <w:pStyle w:val="23"/>
        <w:tabs>
          <w:tab w:val="right" w:leader="dot" w:pos="8845"/>
        </w:tabs>
        <w:rPr>
          <w:color w:val="auto"/>
          <w:highlight w:val="none"/>
        </w:rPr>
      </w:pPr>
      <w:r>
        <w:rPr>
          <w:rFonts w:ascii="宋体" w:hAnsi="宋体"/>
          <w:b/>
          <w:color w:val="auto"/>
          <w:sz w:val="30"/>
          <w:szCs w:val="30"/>
          <w:highlight w:val="none"/>
        </w:rPr>
        <w:fldChar w:fldCharType="begin"/>
      </w:r>
      <w:r>
        <w:rPr>
          <w:rFonts w:ascii="宋体" w:hAnsi="宋体"/>
          <w:b/>
          <w:color w:val="auto"/>
          <w:sz w:val="30"/>
          <w:szCs w:val="30"/>
          <w:highlight w:val="none"/>
        </w:rPr>
        <w:instrText xml:space="preserve"> </w:instrText>
      </w:r>
      <w:r>
        <w:rPr>
          <w:rFonts w:hint="eastAsia" w:ascii="宋体" w:hAnsi="宋体"/>
          <w:b/>
          <w:color w:val="auto"/>
          <w:sz w:val="30"/>
          <w:szCs w:val="30"/>
          <w:highlight w:val="none"/>
        </w:rPr>
        <w:instrText xml:space="preserve">TOC \o "1-3" \h \z \u</w:instrText>
      </w:r>
      <w:r>
        <w:rPr>
          <w:rFonts w:ascii="宋体" w:hAnsi="宋体"/>
          <w:b/>
          <w:color w:val="auto"/>
          <w:sz w:val="30"/>
          <w:szCs w:val="30"/>
          <w:highlight w:val="none"/>
        </w:rPr>
        <w:instrText xml:space="preserve"> </w:instrText>
      </w:r>
      <w:r>
        <w:rPr>
          <w:rFonts w:ascii="宋体" w:hAnsi="宋体"/>
          <w:b/>
          <w:color w:val="auto"/>
          <w:sz w:val="30"/>
          <w:szCs w:val="30"/>
          <w:highlight w:val="none"/>
        </w:rPr>
        <w:fldChar w:fldCharType="separate"/>
      </w:r>
      <w:r>
        <w:rPr>
          <w:rFonts w:ascii="宋体" w:hAnsi="宋体"/>
          <w:color w:val="auto"/>
          <w:szCs w:val="30"/>
          <w:highlight w:val="none"/>
        </w:rPr>
        <w:fldChar w:fldCharType="begin"/>
      </w:r>
      <w:r>
        <w:rPr>
          <w:rFonts w:ascii="宋体" w:hAnsi="宋体"/>
          <w:color w:val="auto"/>
          <w:szCs w:val="30"/>
          <w:highlight w:val="none"/>
        </w:rPr>
        <w:instrText xml:space="preserve"> HYPERLINK \l _Toc11277 </w:instrText>
      </w:r>
      <w:r>
        <w:rPr>
          <w:rFonts w:ascii="宋体" w:hAnsi="宋体"/>
          <w:color w:val="auto"/>
          <w:szCs w:val="30"/>
          <w:highlight w:val="none"/>
        </w:rPr>
        <w:fldChar w:fldCharType="separate"/>
      </w:r>
      <w:r>
        <w:rPr>
          <w:rFonts w:hint="eastAsia"/>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_Toc11277 \h </w:instrText>
      </w:r>
      <w:r>
        <w:rPr>
          <w:color w:val="auto"/>
          <w:highlight w:val="none"/>
        </w:rPr>
        <w:fldChar w:fldCharType="separate"/>
      </w:r>
      <w:r>
        <w:rPr>
          <w:color w:val="auto"/>
          <w:highlight w:val="none"/>
        </w:rPr>
        <w:t>1</w:t>
      </w:r>
      <w:r>
        <w:rPr>
          <w:color w:val="auto"/>
          <w:highlight w:val="none"/>
        </w:rPr>
        <w:fldChar w:fldCharType="end"/>
      </w:r>
      <w:r>
        <w:rPr>
          <w:rFonts w:ascii="宋体" w:hAnsi="宋体"/>
          <w:color w:val="auto"/>
          <w:szCs w:val="30"/>
          <w:highlight w:val="none"/>
        </w:rPr>
        <w:fldChar w:fldCharType="end"/>
      </w:r>
    </w:p>
    <w:p w14:paraId="0AE02473">
      <w:pPr>
        <w:pStyle w:val="23"/>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_Toc30772 </w:instrText>
      </w:r>
      <w:r>
        <w:rPr>
          <w:rFonts w:ascii="宋体" w:hAnsi="宋体"/>
          <w:color w:val="auto"/>
          <w:szCs w:val="30"/>
          <w:highlight w:val="none"/>
        </w:rPr>
        <w:fldChar w:fldCharType="separate"/>
      </w:r>
      <w:r>
        <w:rPr>
          <w:rFonts w:hint="eastAsia" w:ascii="Cambria" w:hAnsi="Cambria"/>
          <w:bCs w:val="0"/>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_Toc30772 \h </w:instrText>
      </w:r>
      <w:r>
        <w:rPr>
          <w:color w:val="auto"/>
          <w:highlight w:val="none"/>
        </w:rPr>
        <w:fldChar w:fldCharType="separate"/>
      </w:r>
      <w:r>
        <w:rPr>
          <w:color w:val="auto"/>
          <w:highlight w:val="none"/>
        </w:rPr>
        <w:t>6</w:t>
      </w:r>
      <w:r>
        <w:rPr>
          <w:color w:val="auto"/>
          <w:highlight w:val="none"/>
        </w:rPr>
        <w:fldChar w:fldCharType="end"/>
      </w:r>
      <w:r>
        <w:rPr>
          <w:rFonts w:ascii="宋体" w:hAnsi="宋体"/>
          <w:color w:val="auto"/>
          <w:szCs w:val="30"/>
          <w:highlight w:val="none"/>
        </w:rPr>
        <w:fldChar w:fldCharType="end"/>
      </w:r>
    </w:p>
    <w:p w14:paraId="16EC3D16">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_Toc24541 </w:instrText>
      </w:r>
      <w:r>
        <w:rPr>
          <w:rFonts w:ascii="宋体" w:hAnsi="宋体"/>
          <w:color w:val="auto"/>
          <w:szCs w:val="30"/>
          <w:highlight w:val="none"/>
        </w:rPr>
        <w:fldChar w:fldCharType="separate"/>
      </w:r>
      <w:r>
        <w:rPr>
          <w:rFonts w:hint="eastAsia" w:ascii="仿宋_GB2312" w:hAnsi="仿宋_GB2312" w:eastAsia="仿宋_GB2312" w:cs="仿宋_GB2312"/>
          <w:color w:val="auto"/>
          <w:kern w:val="0"/>
          <w:szCs w:val="32"/>
          <w:highlight w:val="none"/>
          <w:lang w:val="en-US" w:eastAsia="zh-CN"/>
        </w:rPr>
        <w:t>附件1</w:t>
      </w:r>
      <w:r>
        <w:rPr>
          <w:color w:val="auto"/>
          <w:highlight w:val="none"/>
        </w:rPr>
        <w:tab/>
      </w:r>
      <w:r>
        <w:rPr>
          <w:color w:val="auto"/>
          <w:highlight w:val="none"/>
        </w:rPr>
        <w:fldChar w:fldCharType="begin"/>
      </w:r>
      <w:r>
        <w:rPr>
          <w:color w:val="auto"/>
          <w:highlight w:val="none"/>
        </w:rPr>
        <w:instrText xml:space="preserve"> PAGEREF _Toc24541 \h </w:instrText>
      </w:r>
      <w:r>
        <w:rPr>
          <w:color w:val="auto"/>
          <w:highlight w:val="none"/>
        </w:rPr>
        <w:fldChar w:fldCharType="separate"/>
      </w:r>
      <w:r>
        <w:rPr>
          <w:color w:val="auto"/>
          <w:highlight w:val="none"/>
        </w:rPr>
        <w:t>14</w:t>
      </w:r>
      <w:r>
        <w:rPr>
          <w:color w:val="auto"/>
          <w:highlight w:val="none"/>
        </w:rPr>
        <w:fldChar w:fldCharType="end"/>
      </w:r>
      <w:r>
        <w:rPr>
          <w:rFonts w:ascii="宋体" w:hAnsi="宋体"/>
          <w:color w:val="auto"/>
          <w:szCs w:val="30"/>
          <w:highlight w:val="none"/>
        </w:rPr>
        <w:fldChar w:fldCharType="end"/>
      </w:r>
    </w:p>
    <w:p w14:paraId="01BDA850">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_Toc13494 </w:instrText>
      </w:r>
      <w:r>
        <w:rPr>
          <w:rFonts w:ascii="宋体" w:hAnsi="宋体"/>
          <w:color w:val="auto"/>
          <w:szCs w:val="30"/>
          <w:highlight w:val="none"/>
        </w:rPr>
        <w:fldChar w:fldCharType="separate"/>
      </w:r>
      <w:r>
        <w:rPr>
          <w:rFonts w:hint="eastAsia" w:ascii="仿宋_GB2312" w:hAnsi="仿宋_GB2312" w:eastAsia="仿宋_GB2312" w:cs="仿宋_GB2312"/>
          <w:color w:val="auto"/>
          <w:kern w:val="0"/>
          <w:szCs w:val="32"/>
          <w:highlight w:val="none"/>
          <w:lang w:val="en-US" w:eastAsia="zh-CN"/>
        </w:rPr>
        <w:t>附件2</w:t>
      </w:r>
      <w:r>
        <w:rPr>
          <w:color w:val="auto"/>
          <w:highlight w:val="none"/>
        </w:rPr>
        <w:tab/>
      </w:r>
      <w:r>
        <w:rPr>
          <w:color w:val="auto"/>
          <w:highlight w:val="none"/>
        </w:rPr>
        <w:fldChar w:fldCharType="begin"/>
      </w:r>
      <w:r>
        <w:rPr>
          <w:color w:val="auto"/>
          <w:highlight w:val="none"/>
        </w:rPr>
        <w:instrText xml:space="preserve"> PAGEREF _Toc13494 \h </w:instrText>
      </w:r>
      <w:r>
        <w:rPr>
          <w:color w:val="auto"/>
          <w:highlight w:val="none"/>
        </w:rPr>
        <w:fldChar w:fldCharType="separate"/>
      </w:r>
      <w:r>
        <w:rPr>
          <w:color w:val="auto"/>
          <w:highlight w:val="none"/>
        </w:rPr>
        <w:t>15</w:t>
      </w:r>
      <w:r>
        <w:rPr>
          <w:color w:val="auto"/>
          <w:highlight w:val="none"/>
        </w:rPr>
        <w:fldChar w:fldCharType="end"/>
      </w:r>
      <w:r>
        <w:rPr>
          <w:rFonts w:ascii="宋体" w:hAnsi="宋体"/>
          <w:color w:val="auto"/>
          <w:szCs w:val="30"/>
          <w:highlight w:val="none"/>
        </w:rPr>
        <w:fldChar w:fldCharType="end"/>
      </w:r>
    </w:p>
    <w:p w14:paraId="1B2095E8">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_Toc540 </w:instrText>
      </w:r>
      <w:r>
        <w:rPr>
          <w:rFonts w:ascii="宋体" w:hAnsi="宋体"/>
          <w:color w:val="auto"/>
          <w:szCs w:val="30"/>
          <w:highlight w:val="none"/>
        </w:rPr>
        <w:fldChar w:fldCharType="separate"/>
      </w:r>
      <w:r>
        <w:rPr>
          <w:rFonts w:hint="eastAsia" w:ascii="仿宋_GB2312" w:hAnsi="仿宋_GB2312" w:eastAsia="仿宋_GB2312" w:cs="仿宋_GB2312"/>
          <w:color w:val="auto"/>
          <w:kern w:val="0"/>
          <w:szCs w:val="32"/>
          <w:highlight w:val="none"/>
          <w:lang w:val="en-US" w:eastAsia="zh-CN"/>
        </w:rPr>
        <w:t>附件3</w:t>
      </w:r>
      <w:r>
        <w:rPr>
          <w:color w:val="auto"/>
          <w:highlight w:val="none"/>
        </w:rPr>
        <w:tab/>
      </w:r>
      <w:r>
        <w:rPr>
          <w:color w:val="auto"/>
          <w:highlight w:val="none"/>
        </w:rPr>
        <w:fldChar w:fldCharType="begin"/>
      </w:r>
      <w:r>
        <w:rPr>
          <w:color w:val="auto"/>
          <w:highlight w:val="none"/>
        </w:rPr>
        <w:instrText xml:space="preserve"> PAGEREF _Toc540 \h </w:instrText>
      </w:r>
      <w:r>
        <w:rPr>
          <w:color w:val="auto"/>
          <w:highlight w:val="none"/>
        </w:rPr>
        <w:fldChar w:fldCharType="separate"/>
      </w:r>
      <w:r>
        <w:rPr>
          <w:color w:val="auto"/>
          <w:highlight w:val="none"/>
        </w:rPr>
        <w:t>18</w:t>
      </w:r>
      <w:r>
        <w:rPr>
          <w:color w:val="auto"/>
          <w:highlight w:val="none"/>
        </w:rPr>
        <w:fldChar w:fldCharType="end"/>
      </w:r>
      <w:r>
        <w:rPr>
          <w:rFonts w:ascii="宋体" w:hAnsi="宋体"/>
          <w:color w:val="auto"/>
          <w:szCs w:val="30"/>
          <w:highlight w:val="none"/>
        </w:rPr>
        <w:fldChar w:fldCharType="end"/>
      </w:r>
    </w:p>
    <w:p w14:paraId="06ADF6B3">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_Toc10185 </w:instrText>
      </w:r>
      <w:r>
        <w:rPr>
          <w:rFonts w:ascii="宋体" w:hAnsi="宋体"/>
          <w:color w:val="auto"/>
          <w:szCs w:val="30"/>
          <w:highlight w:val="none"/>
        </w:rPr>
        <w:fldChar w:fldCharType="separate"/>
      </w:r>
      <w:r>
        <w:rPr>
          <w:rFonts w:hint="eastAsia" w:ascii="仿宋_GB2312" w:hAnsi="仿宋_GB2312" w:eastAsia="仿宋_GB2312" w:cs="仿宋_GB2312"/>
          <w:color w:val="auto"/>
          <w:kern w:val="0"/>
          <w:szCs w:val="32"/>
          <w:highlight w:val="none"/>
          <w:lang w:val="en-US" w:eastAsia="zh-CN"/>
        </w:rPr>
        <w:t>附件4</w:t>
      </w:r>
      <w:r>
        <w:rPr>
          <w:color w:val="auto"/>
          <w:highlight w:val="none"/>
        </w:rPr>
        <w:tab/>
      </w:r>
      <w:r>
        <w:rPr>
          <w:color w:val="auto"/>
          <w:highlight w:val="none"/>
        </w:rPr>
        <w:fldChar w:fldCharType="begin"/>
      </w:r>
      <w:r>
        <w:rPr>
          <w:color w:val="auto"/>
          <w:highlight w:val="none"/>
        </w:rPr>
        <w:instrText xml:space="preserve"> PAGEREF _Toc10185 \h </w:instrText>
      </w:r>
      <w:r>
        <w:rPr>
          <w:color w:val="auto"/>
          <w:highlight w:val="none"/>
        </w:rPr>
        <w:fldChar w:fldCharType="separate"/>
      </w:r>
      <w:r>
        <w:rPr>
          <w:color w:val="auto"/>
          <w:highlight w:val="none"/>
        </w:rPr>
        <w:t>20</w:t>
      </w:r>
      <w:r>
        <w:rPr>
          <w:color w:val="auto"/>
          <w:highlight w:val="none"/>
        </w:rPr>
        <w:fldChar w:fldCharType="end"/>
      </w:r>
      <w:r>
        <w:rPr>
          <w:rFonts w:ascii="宋体" w:hAnsi="宋体"/>
          <w:color w:val="auto"/>
          <w:szCs w:val="30"/>
          <w:highlight w:val="none"/>
        </w:rPr>
        <w:fldChar w:fldCharType="end"/>
      </w:r>
    </w:p>
    <w:p w14:paraId="0A72D8DA">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_Toc30743 </w:instrText>
      </w:r>
      <w:r>
        <w:rPr>
          <w:rFonts w:ascii="宋体" w:hAnsi="宋体"/>
          <w:color w:val="auto"/>
          <w:szCs w:val="30"/>
          <w:highlight w:val="none"/>
        </w:rPr>
        <w:fldChar w:fldCharType="separate"/>
      </w:r>
      <w:r>
        <w:rPr>
          <w:rFonts w:hint="eastAsia" w:ascii="仿宋_GB2312" w:hAnsi="仿宋_GB2312" w:eastAsia="仿宋_GB2312" w:cs="仿宋_GB2312"/>
          <w:color w:val="auto"/>
          <w:kern w:val="0"/>
          <w:szCs w:val="32"/>
          <w:highlight w:val="none"/>
          <w:lang w:val="en-US" w:eastAsia="zh-CN"/>
        </w:rPr>
        <w:t>附件5</w:t>
      </w:r>
      <w:r>
        <w:rPr>
          <w:color w:val="auto"/>
          <w:highlight w:val="none"/>
        </w:rPr>
        <w:tab/>
      </w:r>
      <w:r>
        <w:rPr>
          <w:color w:val="auto"/>
          <w:highlight w:val="none"/>
        </w:rPr>
        <w:fldChar w:fldCharType="begin"/>
      </w:r>
      <w:r>
        <w:rPr>
          <w:color w:val="auto"/>
          <w:highlight w:val="none"/>
        </w:rPr>
        <w:instrText xml:space="preserve"> PAGEREF _Toc30743 \h </w:instrText>
      </w:r>
      <w:r>
        <w:rPr>
          <w:color w:val="auto"/>
          <w:highlight w:val="none"/>
        </w:rPr>
        <w:fldChar w:fldCharType="separate"/>
      </w:r>
      <w:r>
        <w:rPr>
          <w:color w:val="auto"/>
          <w:highlight w:val="none"/>
        </w:rPr>
        <w:t>33</w:t>
      </w:r>
      <w:r>
        <w:rPr>
          <w:color w:val="auto"/>
          <w:highlight w:val="none"/>
        </w:rPr>
        <w:fldChar w:fldCharType="end"/>
      </w:r>
      <w:r>
        <w:rPr>
          <w:rFonts w:ascii="宋体" w:hAnsi="宋体"/>
          <w:color w:val="auto"/>
          <w:szCs w:val="30"/>
          <w:highlight w:val="none"/>
        </w:rPr>
        <w:fldChar w:fldCharType="end"/>
      </w:r>
    </w:p>
    <w:p w14:paraId="766CF958">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_Toc16987 </w:instrText>
      </w:r>
      <w:r>
        <w:rPr>
          <w:rFonts w:ascii="宋体" w:hAnsi="宋体"/>
          <w:color w:val="auto"/>
          <w:szCs w:val="30"/>
          <w:highlight w:val="none"/>
        </w:rPr>
        <w:fldChar w:fldCharType="separate"/>
      </w:r>
      <w:r>
        <w:rPr>
          <w:rFonts w:hint="eastAsia" w:ascii="仿宋_GB2312" w:hAnsi="仿宋_GB2312" w:eastAsia="仿宋_GB2312" w:cs="仿宋_GB2312"/>
          <w:color w:val="auto"/>
          <w:kern w:val="0"/>
          <w:szCs w:val="32"/>
          <w:highlight w:val="none"/>
          <w:lang w:val="en-US" w:eastAsia="zh-CN"/>
        </w:rPr>
        <w:t>附件6</w:t>
      </w:r>
      <w:r>
        <w:rPr>
          <w:color w:val="auto"/>
          <w:highlight w:val="none"/>
        </w:rPr>
        <w:tab/>
      </w:r>
      <w:r>
        <w:rPr>
          <w:color w:val="auto"/>
          <w:highlight w:val="none"/>
        </w:rPr>
        <w:fldChar w:fldCharType="begin"/>
      </w:r>
      <w:r>
        <w:rPr>
          <w:color w:val="auto"/>
          <w:highlight w:val="none"/>
        </w:rPr>
        <w:instrText xml:space="preserve"> PAGEREF _Toc16987 \h </w:instrText>
      </w:r>
      <w:r>
        <w:rPr>
          <w:color w:val="auto"/>
          <w:highlight w:val="none"/>
        </w:rPr>
        <w:fldChar w:fldCharType="separate"/>
      </w:r>
      <w:r>
        <w:rPr>
          <w:color w:val="auto"/>
          <w:highlight w:val="none"/>
        </w:rPr>
        <w:t>36</w:t>
      </w:r>
      <w:r>
        <w:rPr>
          <w:color w:val="auto"/>
          <w:highlight w:val="none"/>
        </w:rPr>
        <w:fldChar w:fldCharType="end"/>
      </w:r>
      <w:r>
        <w:rPr>
          <w:rFonts w:ascii="宋体" w:hAnsi="宋体"/>
          <w:color w:val="auto"/>
          <w:szCs w:val="30"/>
          <w:highlight w:val="none"/>
        </w:rPr>
        <w:fldChar w:fldCharType="end"/>
      </w:r>
    </w:p>
    <w:p w14:paraId="19A163EF">
      <w:pPr>
        <w:pStyle w:val="23"/>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_Toc29813 </w:instrText>
      </w:r>
      <w:r>
        <w:rPr>
          <w:rFonts w:ascii="宋体" w:hAnsi="宋体"/>
          <w:color w:val="auto"/>
          <w:szCs w:val="30"/>
          <w:highlight w:val="none"/>
        </w:rPr>
        <w:fldChar w:fldCharType="separate"/>
      </w:r>
      <w:r>
        <w:rPr>
          <w:rFonts w:hint="eastAsia" w:ascii="Cambria" w:hAnsi="Cambria"/>
          <w:bCs w:val="0"/>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_Toc29813 \h </w:instrText>
      </w:r>
      <w:r>
        <w:rPr>
          <w:color w:val="auto"/>
          <w:highlight w:val="none"/>
        </w:rPr>
        <w:fldChar w:fldCharType="separate"/>
      </w:r>
      <w:r>
        <w:rPr>
          <w:color w:val="auto"/>
          <w:highlight w:val="none"/>
        </w:rPr>
        <w:t>37</w:t>
      </w:r>
      <w:r>
        <w:rPr>
          <w:color w:val="auto"/>
          <w:highlight w:val="none"/>
        </w:rPr>
        <w:fldChar w:fldCharType="end"/>
      </w:r>
      <w:r>
        <w:rPr>
          <w:rFonts w:ascii="宋体" w:hAnsi="宋体"/>
          <w:color w:val="auto"/>
          <w:szCs w:val="30"/>
          <w:highlight w:val="none"/>
        </w:rPr>
        <w:fldChar w:fldCharType="end"/>
      </w:r>
    </w:p>
    <w:p w14:paraId="5726A05E">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_Toc9253 </w:instrText>
      </w:r>
      <w:r>
        <w:rPr>
          <w:rFonts w:ascii="宋体" w:hAnsi="宋体"/>
          <w:color w:val="auto"/>
          <w:szCs w:val="30"/>
          <w:highlight w:val="none"/>
        </w:rPr>
        <w:fldChar w:fldCharType="separate"/>
      </w:r>
      <w:r>
        <w:rPr>
          <w:rFonts w:hint="eastAsia" w:ascii="宋体" w:hAnsi="宋体"/>
          <w:color w:val="auto"/>
          <w:highlight w:val="none"/>
          <w:lang w:eastAsia="zh-CN"/>
        </w:rPr>
        <w:t xml:space="preserve">第一节 </w:t>
      </w:r>
      <w:r>
        <w:rPr>
          <w:rFonts w:hint="eastAsia" w:ascii="宋体" w:hAnsi="宋体"/>
          <w:color w:val="auto"/>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_Toc9253 \h </w:instrText>
      </w:r>
      <w:r>
        <w:rPr>
          <w:color w:val="auto"/>
          <w:highlight w:val="none"/>
        </w:rPr>
        <w:fldChar w:fldCharType="separate"/>
      </w:r>
      <w:r>
        <w:rPr>
          <w:color w:val="auto"/>
          <w:highlight w:val="none"/>
        </w:rPr>
        <w:t>37</w:t>
      </w:r>
      <w:r>
        <w:rPr>
          <w:color w:val="auto"/>
          <w:highlight w:val="none"/>
        </w:rPr>
        <w:fldChar w:fldCharType="end"/>
      </w:r>
      <w:r>
        <w:rPr>
          <w:rFonts w:ascii="宋体" w:hAnsi="宋体"/>
          <w:color w:val="auto"/>
          <w:szCs w:val="30"/>
          <w:highlight w:val="none"/>
        </w:rPr>
        <w:fldChar w:fldCharType="end"/>
      </w:r>
    </w:p>
    <w:p w14:paraId="17A50348">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_Toc6414 </w:instrText>
      </w:r>
      <w:r>
        <w:rPr>
          <w:rFonts w:ascii="宋体" w:hAnsi="宋体"/>
          <w:color w:val="auto"/>
          <w:szCs w:val="30"/>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_Toc6414 \h </w:instrText>
      </w:r>
      <w:r>
        <w:rPr>
          <w:color w:val="auto"/>
          <w:highlight w:val="none"/>
        </w:rPr>
        <w:fldChar w:fldCharType="separate"/>
      </w:r>
      <w:r>
        <w:rPr>
          <w:color w:val="auto"/>
          <w:highlight w:val="none"/>
        </w:rPr>
        <w:t>42</w:t>
      </w:r>
      <w:r>
        <w:rPr>
          <w:color w:val="auto"/>
          <w:highlight w:val="none"/>
        </w:rPr>
        <w:fldChar w:fldCharType="end"/>
      </w:r>
      <w:r>
        <w:rPr>
          <w:rFonts w:ascii="宋体" w:hAnsi="宋体"/>
          <w:color w:val="auto"/>
          <w:szCs w:val="30"/>
          <w:highlight w:val="none"/>
        </w:rPr>
        <w:fldChar w:fldCharType="end"/>
      </w:r>
    </w:p>
    <w:p w14:paraId="3FEAEA31">
      <w:pPr>
        <w:pStyle w:val="16"/>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_Toc27797 </w:instrText>
      </w:r>
      <w:r>
        <w:rPr>
          <w:rFonts w:ascii="宋体" w:hAnsi="宋体"/>
          <w:color w:val="auto"/>
          <w:szCs w:val="30"/>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_Toc27797 \h </w:instrText>
      </w:r>
      <w:r>
        <w:rPr>
          <w:color w:val="auto"/>
          <w:highlight w:val="none"/>
        </w:rPr>
        <w:fldChar w:fldCharType="separate"/>
      </w:r>
      <w:r>
        <w:rPr>
          <w:color w:val="auto"/>
          <w:highlight w:val="none"/>
        </w:rPr>
        <w:t>42</w:t>
      </w:r>
      <w:r>
        <w:rPr>
          <w:color w:val="auto"/>
          <w:highlight w:val="none"/>
        </w:rPr>
        <w:fldChar w:fldCharType="end"/>
      </w:r>
      <w:r>
        <w:rPr>
          <w:rFonts w:ascii="宋体" w:hAnsi="宋体"/>
          <w:color w:val="auto"/>
          <w:szCs w:val="30"/>
          <w:highlight w:val="none"/>
        </w:rPr>
        <w:fldChar w:fldCharType="end"/>
      </w:r>
    </w:p>
    <w:p w14:paraId="05B983C4">
      <w:pPr>
        <w:pStyle w:val="16"/>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_Toc24744 </w:instrText>
      </w:r>
      <w:r>
        <w:rPr>
          <w:rFonts w:ascii="宋体" w:hAnsi="宋体"/>
          <w:color w:val="auto"/>
          <w:szCs w:val="30"/>
          <w:highlight w:val="none"/>
        </w:rPr>
        <w:fldChar w:fldCharType="separate"/>
      </w:r>
      <w:r>
        <w:rPr>
          <w:rFonts w:hint="eastAsia" w:ascii="宋体" w:hAnsi="宋体"/>
          <w:bCs w:val="0"/>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_Toc24744 \h </w:instrText>
      </w:r>
      <w:r>
        <w:rPr>
          <w:color w:val="auto"/>
          <w:highlight w:val="none"/>
        </w:rPr>
        <w:fldChar w:fldCharType="separate"/>
      </w:r>
      <w:r>
        <w:rPr>
          <w:color w:val="auto"/>
          <w:highlight w:val="none"/>
        </w:rPr>
        <w:t>44</w:t>
      </w:r>
      <w:r>
        <w:rPr>
          <w:color w:val="auto"/>
          <w:highlight w:val="none"/>
        </w:rPr>
        <w:fldChar w:fldCharType="end"/>
      </w:r>
      <w:r>
        <w:rPr>
          <w:rFonts w:ascii="宋体" w:hAnsi="宋体"/>
          <w:color w:val="auto"/>
          <w:szCs w:val="30"/>
          <w:highlight w:val="none"/>
        </w:rPr>
        <w:fldChar w:fldCharType="end"/>
      </w:r>
    </w:p>
    <w:p w14:paraId="57CAEED7">
      <w:pPr>
        <w:pStyle w:val="16"/>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_Toc26665 </w:instrText>
      </w:r>
      <w:r>
        <w:rPr>
          <w:rFonts w:ascii="宋体" w:hAnsi="宋体"/>
          <w:color w:val="auto"/>
          <w:szCs w:val="30"/>
          <w:highlight w:val="none"/>
        </w:rPr>
        <w:fldChar w:fldCharType="separate"/>
      </w:r>
      <w:r>
        <w:rPr>
          <w:rFonts w:hint="eastAsia" w:ascii="宋体" w:hAnsi="宋体"/>
          <w:bCs w:val="0"/>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_Toc26665 \h </w:instrText>
      </w:r>
      <w:r>
        <w:rPr>
          <w:color w:val="auto"/>
          <w:highlight w:val="none"/>
        </w:rPr>
        <w:fldChar w:fldCharType="separate"/>
      </w:r>
      <w:r>
        <w:rPr>
          <w:color w:val="auto"/>
          <w:highlight w:val="none"/>
        </w:rPr>
        <w:t>45</w:t>
      </w:r>
      <w:r>
        <w:rPr>
          <w:color w:val="auto"/>
          <w:highlight w:val="none"/>
        </w:rPr>
        <w:fldChar w:fldCharType="end"/>
      </w:r>
      <w:r>
        <w:rPr>
          <w:rFonts w:ascii="宋体" w:hAnsi="宋体"/>
          <w:color w:val="auto"/>
          <w:szCs w:val="30"/>
          <w:highlight w:val="none"/>
        </w:rPr>
        <w:fldChar w:fldCharType="end"/>
      </w:r>
    </w:p>
    <w:p w14:paraId="4F9F1317">
      <w:pPr>
        <w:pStyle w:val="16"/>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_Toc22383 </w:instrText>
      </w:r>
      <w:r>
        <w:rPr>
          <w:rFonts w:ascii="宋体" w:hAnsi="宋体"/>
          <w:color w:val="auto"/>
          <w:szCs w:val="30"/>
          <w:highlight w:val="none"/>
        </w:rPr>
        <w:fldChar w:fldCharType="separate"/>
      </w:r>
      <w:r>
        <w:rPr>
          <w:rFonts w:hint="eastAsia" w:ascii="宋体" w:hAnsi="宋体"/>
          <w:bCs w:val="0"/>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_Toc22383 \h </w:instrText>
      </w:r>
      <w:r>
        <w:rPr>
          <w:color w:val="auto"/>
          <w:highlight w:val="none"/>
        </w:rPr>
        <w:fldChar w:fldCharType="separate"/>
      </w:r>
      <w:r>
        <w:rPr>
          <w:color w:val="auto"/>
          <w:highlight w:val="none"/>
        </w:rPr>
        <w:t>47</w:t>
      </w:r>
      <w:r>
        <w:rPr>
          <w:color w:val="auto"/>
          <w:highlight w:val="none"/>
        </w:rPr>
        <w:fldChar w:fldCharType="end"/>
      </w:r>
      <w:r>
        <w:rPr>
          <w:rFonts w:ascii="宋体" w:hAnsi="宋体"/>
          <w:color w:val="auto"/>
          <w:szCs w:val="30"/>
          <w:highlight w:val="none"/>
        </w:rPr>
        <w:fldChar w:fldCharType="end"/>
      </w:r>
    </w:p>
    <w:p w14:paraId="10AB6081">
      <w:pPr>
        <w:pStyle w:val="16"/>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_Toc9582 </w:instrText>
      </w:r>
      <w:r>
        <w:rPr>
          <w:rFonts w:ascii="宋体" w:hAnsi="宋体"/>
          <w:color w:val="auto"/>
          <w:szCs w:val="30"/>
          <w:highlight w:val="none"/>
        </w:rPr>
        <w:fldChar w:fldCharType="separate"/>
      </w:r>
      <w:r>
        <w:rPr>
          <w:rFonts w:hint="eastAsia" w:ascii="宋体" w:hAnsi="宋体"/>
          <w:bCs w:val="0"/>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_Toc9582 \h </w:instrText>
      </w:r>
      <w:r>
        <w:rPr>
          <w:color w:val="auto"/>
          <w:highlight w:val="none"/>
        </w:rPr>
        <w:fldChar w:fldCharType="separate"/>
      </w:r>
      <w:r>
        <w:rPr>
          <w:color w:val="auto"/>
          <w:highlight w:val="none"/>
        </w:rPr>
        <w:t>49</w:t>
      </w:r>
      <w:r>
        <w:rPr>
          <w:color w:val="auto"/>
          <w:highlight w:val="none"/>
        </w:rPr>
        <w:fldChar w:fldCharType="end"/>
      </w:r>
      <w:r>
        <w:rPr>
          <w:rFonts w:ascii="宋体" w:hAnsi="宋体"/>
          <w:color w:val="auto"/>
          <w:szCs w:val="30"/>
          <w:highlight w:val="none"/>
        </w:rPr>
        <w:fldChar w:fldCharType="end"/>
      </w:r>
    </w:p>
    <w:p w14:paraId="3263E674">
      <w:pPr>
        <w:pStyle w:val="16"/>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_Toc8295 </w:instrText>
      </w:r>
      <w:r>
        <w:rPr>
          <w:rFonts w:ascii="宋体" w:hAnsi="宋体"/>
          <w:color w:val="auto"/>
          <w:szCs w:val="30"/>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_Toc8295 \h </w:instrText>
      </w:r>
      <w:r>
        <w:rPr>
          <w:color w:val="auto"/>
          <w:highlight w:val="none"/>
        </w:rPr>
        <w:fldChar w:fldCharType="separate"/>
      </w:r>
      <w:r>
        <w:rPr>
          <w:color w:val="auto"/>
          <w:highlight w:val="none"/>
        </w:rPr>
        <w:t>51</w:t>
      </w:r>
      <w:r>
        <w:rPr>
          <w:color w:val="auto"/>
          <w:highlight w:val="none"/>
        </w:rPr>
        <w:fldChar w:fldCharType="end"/>
      </w:r>
      <w:r>
        <w:rPr>
          <w:rFonts w:ascii="宋体" w:hAnsi="宋体"/>
          <w:color w:val="auto"/>
          <w:szCs w:val="30"/>
          <w:highlight w:val="none"/>
        </w:rPr>
        <w:fldChar w:fldCharType="end"/>
      </w:r>
    </w:p>
    <w:p w14:paraId="155A7334">
      <w:pPr>
        <w:pStyle w:val="16"/>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_Toc5963 </w:instrText>
      </w:r>
      <w:r>
        <w:rPr>
          <w:rFonts w:ascii="宋体" w:hAnsi="宋体"/>
          <w:color w:val="auto"/>
          <w:szCs w:val="30"/>
          <w:highlight w:val="none"/>
        </w:rPr>
        <w:fldChar w:fldCharType="separate"/>
      </w:r>
      <w:r>
        <w:rPr>
          <w:rFonts w:hint="eastAsia" w:ascii="宋体" w:hAnsi="宋体"/>
          <w:bCs w:val="0"/>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_Toc5963 \h </w:instrText>
      </w:r>
      <w:r>
        <w:rPr>
          <w:color w:val="auto"/>
          <w:highlight w:val="none"/>
        </w:rPr>
        <w:fldChar w:fldCharType="separate"/>
      </w:r>
      <w:r>
        <w:rPr>
          <w:color w:val="auto"/>
          <w:highlight w:val="none"/>
        </w:rPr>
        <w:t>52</w:t>
      </w:r>
      <w:r>
        <w:rPr>
          <w:color w:val="auto"/>
          <w:highlight w:val="none"/>
        </w:rPr>
        <w:fldChar w:fldCharType="end"/>
      </w:r>
      <w:r>
        <w:rPr>
          <w:rFonts w:ascii="宋体" w:hAnsi="宋体"/>
          <w:color w:val="auto"/>
          <w:szCs w:val="30"/>
          <w:highlight w:val="none"/>
        </w:rPr>
        <w:fldChar w:fldCharType="end"/>
      </w:r>
    </w:p>
    <w:p w14:paraId="7B0755B6">
      <w:pPr>
        <w:pStyle w:val="23"/>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_Toc30501 </w:instrText>
      </w:r>
      <w:r>
        <w:rPr>
          <w:rFonts w:ascii="宋体" w:hAnsi="宋体"/>
          <w:color w:val="auto"/>
          <w:szCs w:val="30"/>
          <w:highlight w:val="none"/>
        </w:rPr>
        <w:fldChar w:fldCharType="separate"/>
      </w:r>
      <w:r>
        <w:rPr>
          <w:rFonts w:hint="eastAsia"/>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_Toc30501 \h </w:instrText>
      </w:r>
      <w:r>
        <w:rPr>
          <w:color w:val="auto"/>
          <w:highlight w:val="none"/>
        </w:rPr>
        <w:fldChar w:fldCharType="separate"/>
      </w:r>
      <w:r>
        <w:rPr>
          <w:color w:val="auto"/>
          <w:highlight w:val="none"/>
        </w:rPr>
        <w:t>53</w:t>
      </w:r>
      <w:r>
        <w:rPr>
          <w:color w:val="auto"/>
          <w:highlight w:val="none"/>
        </w:rPr>
        <w:fldChar w:fldCharType="end"/>
      </w:r>
      <w:r>
        <w:rPr>
          <w:rFonts w:ascii="宋体" w:hAnsi="宋体"/>
          <w:color w:val="auto"/>
          <w:szCs w:val="30"/>
          <w:highlight w:val="none"/>
        </w:rPr>
        <w:fldChar w:fldCharType="end"/>
      </w:r>
    </w:p>
    <w:p w14:paraId="47FB21AF">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_Toc22072 </w:instrText>
      </w:r>
      <w:r>
        <w:rPr>
          <w:rFonts w:ascii="宋体" w:hAnsi="宋体"/>
          <w:color w:val="auto"/>
          <w:szCs w:val="30"/>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_Toc22072 \h </w:instrText>
      </w:r>
      <w:r>
        <w:rPr>
          <w:color w:val="auto"/>
          <w:highlight w:val="none"/>
        </w:rPr>
        <w:fldChar w:fldCharType="separate"/>
      </w:r>
      <w:r>
        <w:rPr>
          <w:color w:val="auto"/>
          <w:highlight w:val="none"/>
        </w:rPr>
        <w:t>53</w:t>
      </w:r>
      <w:r>
        <w:rPr>
          <w:color w:val="auto"/>
          <w:highlight w:val="none"/>
        </w:rPr>
        <w:fldChar w:fldCharType="end"/>
      </w:r>
      <w:r>
        <w:rPr>
          <w:rFonts w:ascii="宋体" w:hAnsi="宋体"/>
          <w:color w:val="auto"/>
          <w:szCs w:val="30"/>
          <w:highlight w:val="none"/>
        </w:rPr>
        <w:fldChar w:fldCharType="end"/>
      </w:r>
    </w:p>
    <w:p w14:paraId="54252DD2">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_Toc6285 </w:instrText>
      </w:r>
      <w:r>
        <w:rPr>
          <w:rFonts w:ascii="宋体" w:hAnsi="宋体"/>
          <w:color w:val="auto"/>
          <w:szCs w:val="30"/>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_Toc6285 \h </w:instrText>
      </w:r>
      <w:r>
        <w:rPr>
          <w:color w:val="auto"/>
          <w:highlight w:val="none"/>
        </w:rPr>
        <w:fldChar w:fldCharType="separate"/>
      </w:r>
      <w:r>
        <w:rPr>
          <w:color w:val="auto"/>
          <w:highlight w:val="none"/>
        </w:rPr>
        <w:t>61</w:t>
      </w:r>
      <w:r>
        <w:rPr>
          <w:color w:val="auto"/>
          <w:highlight w:val="none"/>
        </w:rPr>
        <w:fldChar w:fldCharType="end"/>
      </w:r>
      <w:r>
        <w:rPr>
          <w:rFonts w:ascii="宋体" w:hAnsi="宋体"/>
          <w:color w:val="auto"/>
          <w:szCs w:val="30"/>
          <w:highlight w:val="none"/>
        </w:rPr>
        <w:fldChar w:fldCharType="end"/>
      </w:r>
    </w:p>
    <w:p w14:paraId="147F5873">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_Toc24718 </w:instrText>
      </w:r>
      <w:r>
        <w:rPr>
          <w:rFonts w:ascii="宋体" w:hAnsi="宋体"/>
          <w:color w:val="auto"/>
          <w:szCs w:val="30"/>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_Toc24718 \h </w:instrText>
      </w:r>
      <w:r>
        <w:rPr>
          <w:color w:val="auto"/>
          <w:highlight w:val="none"/>
        </w:rPr>
        <w:fldChar w:fldCharType="separate"/>
      </w:r>
      <w:r>
        <w:rPr>
          <w:color w:val="auto"/>
          <w:highlight w:val="none"/>
        </w:rPr>
        <w:t>62</w:t>
      </w:r>
      <w:r>
        <w:rPr>
          <w:color w:val="auto"/>
          <w:highlight w:val="none"/>
        </w:rPr>
        <w:fldChar w:fldCharType="end"/>
      </w:r>
      <w:r>
        <w:rPr>
          <w:rFonts w:ascii="宋体" w:hAnsi="宋体"/>
          <w:color w:val="auto"/>
          <w:szCs w:val="30"/>
          <w:highlight w:val="none"/>
        </w:rPr>
        <w:fldChar w:fldCharType="end"/>
      </w:r>
    </w:p>
    <w:p w14:paraId="6161E601">
      <w:pPr>
        <w:pStyle w:val="23"/>
        <w:tabs>
          <w:tab w:val="right" w:leader="dot" w:pos="8845"/>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_Toc4729 </w:instrText>
      </w:r>
      <w:r>
        <w:rPr>
          <w:rFonts w:ascii="宋体" w:hAnsi="宋体"/>
          <w:color w:val="auto"/>
          <w:szCs w:val="30"/>
          <w:highlight w:val="none"/>
        </w:rPr>
        <w:fldChar w:fldCharType="separate"/>
      </w:r>
      <w:r>
        <w:rPr>
          <w:rFonts w:hint="eastAsia"/>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_Toc4729 \h </w:instrText>
      </w:r>
      <w:r>
        <w:rPr>
          <w:color w:val="auto"/>
          <w:highlight w:val="none"/>
        </w:rPr>
        <w:fldChar w:fldCharType="separate"/>
      </w:r>
      <w:r>
        <w:rPr>
          <w:color w:val="auto"/>
          <w:highlight w:val="none"/>
        </w:rPr>
        <w:t>63</w:t>
      </w:r>
      <w:r>
        <w:rPr>
          <w:color w:val="auto"/>
          <w:highlight w:val="none"/>
        </w:rPr>
        <w:fldChar w:fldCharType="end"/>
      </w:r>
      <w:r>
        <w:rPr>
          <w:rFonts w:ascii="宋体" w:hAnsi="宋体"/>
          <w:color w:val="auto"/>
          <w:szCs w:val="30"/>
          <w:highlight w:val="none"/>
        </w:rPr>
        <w:fldChar w:fldCharType="end"/>
      </w:r>
    </w:p>
    <w:p w14:paraId="52AB1C71">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_Toc31265 </w:instrText>
      </w:r>
      <w:r>
        <w:rPr>
          <w:rFonts w:ascii="宋体" w:hAnsi="宋体"/>
          <w:color w:val="auto"/>
          <w:szCs w:val="30"/>
          <w:highlight w:val="none"/>
        </w:rPr>
        <w:fldChar w:fldCharType="separate"/>
      </w:r>
      <w:r>
        <w:rPr>
          <w:rFonts w:hint="eastAsia" w:ascii="宋体" w:hAnsi="宋体"/>
          <w:color w:val="auto"/>
          <w:highlight w:val="none"/>
          <w:lang w:val="en-US" w:eastAsia="zh-CN"/>
        </w:rPr>
        <w:t>第一节 封面格式</w:t>
      </w:r>
      <w:r>
        <w:rPr>
          <w:color w:val="auto"/>
          <w:highlight w:val="none"/>
        </w:rPr>
        <w:tab/>
      </w:r>
      <w:r>
        <w:rPr>
          <w:color w:val="auto"/>
          <w:highlight w:val="none"/>
        </w:rPr>
        <w:fldChar w:fldCharType="begin"/>
      </w:r>
      <w:r>
        <w:rPr>
          <w:color w:val="auto"/>
          <w:highlight w:val="none"/>
        </w:rPr>
        <w:instrText xml:space="preserve"> PAGEREF _Toc31265 \h </w:instrText>
      </w:r>
      <w:r>
        <w:rPr>
          <w:color w:val="auto"/>
          <w:highlight w:val="none"/>
        </w:rPr>
        <w:fldChar w:fldCharType="separate"/>
      </w:r>
      <w:r>
        <w:rPr>
          <w:color w:val="auto"/>
          <w:highlight w:val="none"/>
        </w:rPr>
        <w:t>64</w:t>
      </w:r>
      <w:r>
        <w:rPr>
          <w:color w:val="auto"/>
          <w:highlight w:val="none"/>
        </w:rPr>
        <w:fldChar w:fldCharType="end"/>
      </w:r>
      <w:r>
        <w:rPr>
          <w:rFonts w:ascii="宋体" w:hAnsi="宋体"/>
          <w:color w:val="auto"/>
          <w:szCs w:val="30"/>
          <w:highlight w:val="none"/>
        </w:rPr>
        <w:fldChar w:fldCharType="end"/>
      </w:r>
    </w:p>
    <w:p w14:paraId="5E2F8C09">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_Toc14688 </w:instrText>
      </w:r>
      <w:r>
        <w:rPr>
          <w:rFonts w:ascii="宋体" w:hAnsi="宋体"/>
          <w:color w:val="auto"/>
          <w:szCs w:val="30"/>
          <w:highlight w:val="none"/>
        </w:rPr>
        <w:fldChar w:fldCharType="separate"/>
      </w:r>
      <w:r>
        <w:rPr>
          <w:rFonts w:hint="eastAsia" w:ascii="宋体" w:hAnsi="宋体"/>
          <w:bCs w:val="0"/>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_Toc14688 \h </w:instrText>
      </w:r>
      <w:r>
        <w:rPr>
          <w:color w:val="auto"/>
          <w:highlight w:val="none"/>
        </w:rPr>
        <w:fldChar w:fldCharType="separate"/>
      </w:r>
      <w:r>
        <w:rPr>
          <w:color w:val="auto"/>
          <w:highlight w:val="none"/>
        </w:rPr>
        <w:t>65</w:t>
      </w:r>
      <w:r>
        <w:rPr>
          <w:color w:val="auto"/>
          <w:highlight w:val="none"/>
        </w:rPr>
        <w:fldChar w:fldCharType="end"/>
      </w:r>
      <w:r>
        <w:rPr>
          <w:rFonts w:ascii="宋体" w:hAnsi="宋体"/>
          <w:color w:val="auto"/>
          <w:szCs w:val="30"/>
          <w:highlight w:val="none"/>
        </w:rPr>
        <w:fldChar w:fldCharType="end"/>
      </w:r>
    </w:p>
    <w:p w14:paraId="32CA7FDE">
      <w:pPr>
        <w:pStyle w:val="25"/>
        <w:tabs>
          <w:tab w:val="right" w:leader="dot" w:pos="8845"/>
          <w:tab w:val="clear" w:pos="8296"/>
        </w:tabs>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_Toc3506 </w:instrText>
      </w:r>
      <w:r>
        <w:rPr>
          <w:rFonts w:ascii="宋体" w:hAnsi="宋体"/>
          <w:color w:val="auto"/>
          <w:szCs w:val="30"/>
          <w:highlight w:val="none"/>
        </w:rPr>
        <w:fldChar w:fldCharType="separate"/>
      </w:r>
      <w:r>
        <w:rPr>
          <w:rFonts w:hint="eastAsia" w:ascii="宋体" w:hAnsi="宋体"/>
          <w:bCs w:val="0"/>
          <w:color w:val="auto"/>
          <w:highlight w:val="none"/>
        </w:rPr>
        <w:t>第</w:t>
      </w:r>
      <w:r>
        <w:rPr>
          <w:rFonts w:hint="eastAsia" w:ascii="宋体" w:hAnsi="宋体"/>
          <w:bCs w:val="0"/>
          <w:color w:val="auto"/>
          <w:highlight w:val="none"/>
          <w:lang w:eastAsia="zh-CN"/>
        </w:rPr>
        <w:t>三</w:t>
      </w:r>
      <w:r>
        <w:rPr>
          <w:rFonts w:hint="eastAsia" w:ascii="宋体" w:hAnsi="宋体"/>
          <w:bCs w:val="0"/>
          <w:color w:val="auto"/>
          <w:highlight w:val="none"/>
        </w:rPr>
        <w:t xml:space="preserve">节 </w:t>
      </w:r>
      <w:r>
        <w:rPr>
          <w:rFonts w:hint="eastAsia" w:ascii="宋体" w:hAnsi="宋体"/>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_Toc3506 \h </w:instrText>
      </w:r>
      <w:r>
        <w:rPr>
          <w:color w:val="auto"/>
          <w:highlight w:val="none"/>
        </w:rPr>
        <w:fldChar w:fldCharType="separate"/>
      </w:r>
      <w:r>
        <w:rPr>
          <w:color w:val="auto"/>
          <w:highlight w:val="none"/>
        </w:rPr>
        <w:t>75</w:t>
      </w:r>
      <w:r>
        <w:rPr>
          <w:color w:val="auto"/>
          <w:highlight w:val="none"/>
        </w:rPr>
        <w:fldChar w:fldCharType="end"/>
      </w:r>
      <w:r>
        <w:rPr>
          <w:rFonts w:ascii="宋体" w:hAnsi="宋体"/>
          <w:color w:val="auto"/>
          <w:szCs w:val="30"/>
          <w:highlight w:val="none"/>
        </w:rPr>
        <w:fldChar w:fldCharType="end"/>
      </w:r>
    </w:p>
    <w:p w14:paraId="2FA49E80">
      <w:pPr>
        <w:pStyle w:val="25"/>
        <w:tabs>
          <w:tab w:val="right" w:leader="dot" w:pos="8845"/>
          <w:tab w:val="clear" w:pos="8296"/>
        </w:tabs>
        <w:rPr>
          <w:rFonts w:hint="eastAsia" w:eastAsia="宋体"/>
          <w:color w:val="auto"/>
          <w:highlight w:val="none"/>
          <w:lang w:val="en-US" w:eastAsia="zh-CN"/>
        </w:rPr>
      </w:pPr>
      <w:r>
        <w:rPr>
          <w:rFonts w:ascii="宋体" w:hAnsi="宋体"/>
          <w:color w:val="auto"/>
          <w:szCs w:val="30"/>
          <w:highlight w:val="none"/>
        </w:rPr>
        <w:fldChar w:fldCharType="begin"/>
      </w:r>
      <w:r>
        <w:rPr>
          <w:rFonts w:ascii="宋体" w:hAnsi="宋体"/>
          <w:color w:val="auto"/>
          <w:szCs w:val="30"/>
          <w:highlight w:val="none"/>
        </w:rPr>
        <w:instrText xml:space="preserve"> HYPERLINK \l _Toc15486 </w:instrText>
      </w:r>
      <w:r>
        <w:rPr>
          <w:rFonts w:ascii="宋体" w:hAnsi="宋体"/>
          <w:color w:val="auto"/>
          <w:szCs w:val="30"/>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rFonts w:hint="eastAsia"/>
          <w:color w:val="auto"/>
          <w:highlight w:val="none"/>
          <w:lang w:val="en-US" w:eastAsia="zh-CN"/>
        </w:rPr>
        <w:t>8</w:t>
      </w:r>
      <w:r>
        <w:rPr>
          <w:rFonts w:ascii="宋体" w:hAnsi="宋体"/>
          <w:color w:val="auto"/>
          <w:szCs w:val="30"/>
          <w:highlight w:val="none"/>
        </w:rPr>
        <w:fldChar w:fldCharType="end"/>
      </w:r>
      <w:r>
        <w:rPr>
          <w:rFonts w:hint="eastAsia" w:ascii="宋体" w:hAnsi="宋体"/>
          <w:color w:val="auto"/>
          <w:szCs w:val="30"/>
          <w:highlight w:val="none"/>
          <w:lang w:val="en-US" w:eastAsia="zh-CN"/>
        </w:rPr>
        <w:t>7</w:t>
      </w:r>
    </w:p>
    <w:p w14:paraId="3D5B4EFD">
      <w:pPr>
        <w:pStyle w:val="25"/>
        <w:tabs>
          <w:tab w:val="right" w:leader="dot" w:pos="8845"/>
          <w:tab w:val="clear" w:pos="8296"/>
        </w:tabs>
        <w:rPr>
          <w:rFonts w:hint="eastAsia" w:eastAsia="宋体"/>
          <w:color w:val="auto"/>
          <w:highlight w:val="none"/>
          <w:lang w:val="en-US" w:eastAsia="zh-CN"/>
        </w:rPr>
      </w:pPr>
      <w:r>
        <w:rPr>
          <w:rFonts w:ascii="宋体" w:hAnsi="宋体"/>
          <w:color w:val="auto"/>
          <w:szCs w:val="30"/>
          <w:highlight w:val="none"/>
        </w:rPr>
        <w:fldChar w:fldCharType="begin"/>
      </w:r>
      <w:r>
        <w:rPr>
          <w:rFonts w:ascii="宋体" w:hAnsi="宋体"/>
          <w:color w:val="auto"/>
          <w:szCs w:val="30"/>
          <w:highlight w:val="none"/>
        </w:rPr>
        <w:instrText xml:space="preserve"> HYPERLINK \l _Toc18183 </w:instrText>
      </w:r>
      <w:r>
        <w:rPr>
          <w:rFonts w:ascii="宋体" w:hAnsi="宋体"/>
          <w:color w:val="auto"/>
          <w:szCs w:val="30"/>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rFonts w:hint="eastAsia"/>
          <w:color w:val="auto"/>
          <w:highlight w:val="none"/>
          <w:lang w:val="en-US" w:eastAsia="zh-CN"/>
        </w:rPr>
        <w:t>9</w:t>
      </w:r>
      <w:r>
        <w:rPr>
          <w:rFonts w:ascii="宋体" w:hAnsi="宋体"/>
          <w:color w:val="auto"/>
          <w:szCs w:val="30"/>
          <w:highlight w:val="none"/>
        </w:rPr>
        <w:fldChar w:fldCharType="end"/>
      </w:r>
      <w:r>
        <w:rPr>
          <w:rFonts w:hint="eastAsia" w:ascii="宋体" w:hAnsi="宋体"/>
          <w:color w:val="auto"/>
          <w:szCs w:val="30"/>
          <w:highlight w:val="none"/>
          <w:lang w:val="en-US" w:eastAsia="zh-CN"/>
        </w:rPr>
        <w:t>2</w:t>
      </w:r>
    </w:p>
    <w:p w14:paraId="27C81D49">
      <w:pPr>
        <w:pStyle w:val="23"/>
        <w:tabs>
          <w:tab w:val="right" w:leader="dot" w:pos="8845"/>
        </w:tabs>
        <w:rPr>
          <w:rFonts w:hint="eastAsia" w:eastAsia="宋体"/>
          <w:color w:val="auto"/>
          <w:highlight w:val="none"/>
          <w:lang w:val="en-US" w:eastAsia="zh-CN"/>
        </w:rPr>
      </w:pPr>
      <w:r>
        <w:rPr>
          <w:rFonts w:ascii="宋体" w:hAnsi="宋体"/>
          <w:color w:val="auto"/>
          <w:szCs w:val="30"/>
          <w:highlight w:val="none"/>
        </w:rPr>
        <w:fldChar w:fldCharType="begin"/>
      </w:r>
      <w:r>
        <w:rPr>
          <w:rFonts w:ascii="宋体" w:hAnsi="宋体"/>
          <w:color w:val="auto"/>
          <w:szCs w:val="30"/>
          <w:highlight w:val="none"/>
        </w:rPr>
        <w:instrText xml:space="preserve"> HYPERLINK \l _Toc21523 </w:instrText>
      </w:r>
      <w:r>
        <w:rPr>
          <w:rFonts w:ascii="宋体" w:hAnsi="宋体"/>
          <w:color w:val="auto"/>
          <w:szCs w:val="30"/>
          <w:highlight w:val="none"/>
        </w:rPr>
        <w:fldChar w:fldCharType="separate"/>
      </w:r>
      <w:r>
        <w:rPr>
          <w:rFonts w:hint="eastAsia" w:ascii="宋体" w:hAnsi="宋体"/>
          <w:bCs w:val="0"/>
          <w:color w:val="auto"/>
          <w:highlight w:val="none"/>
        </w:rPr>
        <w:t xml:space="preserve">第六章 </w:t>
      </w:r>
      <w:r>
        <w:rPr>
          <w:rFonts w:ascii="宋体" w:hAnsi="宋体"/>
          <w:bCs w:val="0"/>
          <w:color w:val="auto"/>
          <w:highlight w:val="none"/>
        </w:rPr>
        <w:t xml:space="preserve"> </w:t>
      </w:r>
      <w:r>
        <w:rPr>
          <w:rFonts w:hint="eastAsia" w:ascii="宋体" w:hAnsi="宋体"/>
          <w:bCs w:val="0"/>
          <w:color w:val="auto"/>
          <w:highlight w:val="none"/>
        </w:rPr>
        <w:t>合同文本</w:t>
      </w:r>
      <w:r>
        <w:rPr>
          <w:rFonts w:hint="eastAsia" w:ascii="仿宋_GB2312" w:hAnsi="楷体" w:eastAsia="仿宋_GB2312"/>
          <w:color w:val="auto"/>
          <w:highlight w:val="none"/>
        </w:rPr>
        <w:t>“</w:t>
      </w:r>
      <w:r>
        <w:rPr>
          <w:rFonts w:hint="eastAsia" w:ascii="仿宋_GB2312" w:hAnsi="楷体" w:eastAsia="仿宋_GB2312" w:cs="Times New Roman"/>
          <w:color w:val="auto"/>
          <w:highlight w:val="none"/>
        </w:rPr>
        <w:t>广西政府采购云”平</w:t>
      </w:r>
      <w:r>
        <w:rPr>
          <w:rFonts w:hint="eastAsia" w:ascii="仿宋_GB2312" w:hAnsi="楷体" w:eastAsia="仿宋_GB2312"/>
          <w:color w:val="auto"/>
          <w:highlight w:val="none"/>
        </w:rPr>
        <w:t>台合同编号：</w:t>
      </w:r>
      <w:r>
        <w:rPr>
          <w:color w:val="auto"/>
          <w:highlight w:val="none"/>
        </w:rPr>
        <w:tab/>
      </w:r>
      <w:r>
        <w:rPr>
          <w:rFonts w:hint="eastAsia"/>
          <w:color w:val="auto"/>
          <w:highlight w:val="none"/>
          <w:lang w:val="en-US" w:eastAsia="zh-CN"/>
        </w:rPr>
        <w:t>9</w:t>
      </w:r>
      <w:r>
        <w:rPr>
          <w:rFonts w:ascii="宋体" w:hAnsi="宋体"/>
          <w:color w:val="auto"/>
          <w:szCs w:val="30"/>
          <w:highlight w:val="none"/>
        </w:rPr>
        <w:fldChar w:fldCharType="end"/>
      </w:r>
      <w:r>
        <w:rPr>
          <w:rFonts w:hint="eastAsia" w:ascii="宋体" w:hAnsi="宋体"/>
          <w:color w:val="auto"/>
          <w:szCs w:val="30"/>
          <w:highlight w:val="none"/>
          <w:lang w:val="en-US" w:eastAsia="zh-CN"/>
        </w:rPr>
        <w:t>4</w:t>
      </w:r>
    </w:p>
    <w:p w14:paraId="4F37F814">
      <w:pPr>
        <w:pStyle w:val="25"/>
        <w:tabs>
          <w:tab w:val="right" w:leader="dot" w:pos="8845"/>
          <w:tab w:val="clear" w:pos="8296"/>
        </w:tabs>
        <w:rPr>
          <w:rFonts w:hint="eastAsia" w:eastAsia="宋体"/>
          <w:color w:val="auto"/>
          <w:highlight w:val="none"/>
          <w:lang w:val="en-US" w:eastAsia="zh-CN"/>
        </w:rPr>
      </w:pPr>
      <w:r>
        <w:rPr>
          <w:rFonts w:ascii="宋体" w:hAnsi="宋体"/>
          <w:color w:val="auto"/>
          <w:szCs w:val="30"/>
          <w:highlight w:val="none"/>
        </w:rPr>
        <w:fldChar w:fldCharType="begin"/>
      </w:r>
      <w:r>
        <w:rPr>
          <w:rFonts w:ascii="宋体" w:hAnsi="宋体"/>
          <w:color w:val="auto"/>
          <w:szCs w:val="30"/>
          <w:highlight w:val="none"/>
        </w:rPr>
        <w:instrText xml:space="preserve"> HYPERLINK \l _Toc4775 </w:instrText>
      </w:r>
      <w:r>
        <w:rPr>
          <w:rFonts w:ascii="宋体" w:hAnsi="宋体"/>
          <w:color w:val="auto"/>
          <w:szCs w:val="30"/>
          <w:highlight w:val="none"/>
        </w:rPr>
        <w:fldChar w:fldCharType="separate"/>
      </w:r>
      <w:r>
        <w:rPr>
          <w:rFonts w:hint="eastAsia" w:ascii="宋体" w:hAnsi="宋体" w:eastAsia="宋体" w:cs="宋体"/>
          <w:color w:val="auto"/>
          <w:szCs w:val="28"/>
          <w:highlight w:val="none"/>
        </w:rPr>
        <w:t>第一部分 合同书</w:t>
      </w:r>
      <w:r>
        <w:rPr>
          <w:color w:val="auto"/>
          <w:highlight w:val="none"/>
        </w:rPr>
        <w:tab/>
      </w:r>
      <w:r>
        <w:rPr>
          <w:rFonts w:hint="eastAsia"/>
          <w:color w:val="auto"/>
          <w:highlight w:val="none"/>
          <w:lang w:val="en-US" w:eastAsia="zh-CN"/>
        </w:rPr>
        <w:t>9</w:t>
      </w:r>
      <w:r>
        <w:rPr>
          <w:rFonts w:ascii="宋体" w:hAnsi="宋体"/>
          <w:color w:val="auto"/>
          <w:szCs w:val="30"/>
          <w:highlight w:val="none"/>
        </w:rPr>
        <w:fldChar w:fldCharType="end"/>
      </w:r>
      <w:r>
        <w:rPr>
          <w:rFonts w:hint="eastAsia" w:ascii="宋体" w:hAnsi="宋体"/>
          <w:color w:val="auto"/>
          <w:szCs w:val="30"/>
          <w:highlight w:val="none"/>
          <w:lang w:val="en-US" w:eastAsia="zh-CN"/>
        </w:rPr>
        <w:t>6</w:t>
      </w:r>
    </w:p>
    <w:p w14:paraId="3FAB164F">
      <w:pPr>
        <w:pStyle w:val="25"/>
        <w:tabs>
          <w:tab w:val="right" w:leader="dot" w:pos="8845"/>
          <w:tab w:val="clear" w:pos="8296"/>
        </w:tabs>
        <w:rPr>
          <w:rFonts w:hint="eastAsia" w:eastAsia="宋体"/>
          <w:color w:val="auto"/>
          <w:highlight w:val="none"/>
          <w:lang w:val="en-US" w:eastAsia="zh-CN"/>
        </w:rPr>
      </w:pPr>
      <w:r>
        <w:rPr>
          <w:rFonts w:ascii="宋体" w:hAnsi="宋体"/>
          <w:color w:val="auto"/>
          <w:szCs w:val="30"/>
          <w:highlight w:val="none"/>
        </w:rPr>
        <w:fldChar w:fldCharType="begin"/>
      </w:r>
      <w:r>
        <w:rPr>
          <w:rFonts w:ascii="宋体" w:hAnsi="宋体"/>
          <w:color w:val="auto"/>
          <w:szCs w:val="30"/>
          <w:highlight w:val="none"/>
        </w:rPr>
        <w:instrText xml:space="preserve"> HYPERLINK \l _Toc8876 </w:instrText>
      </w:r>
      <w:r>
        <w:rPr>
          <w:rFonts w:ascii="宋体" w:hAnsi="宋体"/>
          <w:color w:val="auto"/>
          <w:szCs w:val="30"/>
          <w:highlight w:val="none"/>
        </w:rPr>
        <w:fldChar w:fldCharType="separate"/>
      </w:r>
      <w:r>
        <w:rPr>
          <w:rFonts w:hint="eastAsia" w:ascii="宋体" w:hAnsi="宋体" w:eastAsia="宋体" w:cs="宋体"/>
          <w:color w:val="auto"/>
          <w:szCs w:val="28"/>
          <w:highlight w:val="none"/>
        </w:rPr>
        <w:t>第二部分 合同一般条款</w:t>
      </w:r>
      <w:r>
        <w:rPr>
          <w:color w:val="auto"/>
          <w:highlight w:val="none"/>
        </w:rPr>
        <w:tab/>
      </w:r>
      <w:r>
        <w:rPr>
          <w:rFonts w:hint="eastAsia"/>
          <w:color w:val="auto"/>
          <w:highlight w:val="none"/>
          <w:lang w:val="en-US" w:eastAsia="zh-CN"/>
        </w:rPr>
        <w:t>9</w:t>
      </w:r>
      <w:r>
        <w:rPr>
          <w:rFonts w:ascii="宋体" w:hAnsi="宋体"/>
          <w:color w:val="auto"/>
          <w:szCs w:val="30"/>
          <w:highlight w:val="none"/>
        </w:rPr>
        <w:fldChar w:fldCharType="end"/>
      </w:r>
      <w:r>
        <w:rPr>
          <w:rFonts w:hint="eastAsia" w:ascii="宋体" w:hAnsi="宋体"/>
          <w:color w:val="auto"/>
          <w:szCs w:val="30"/>
          <w:highlight w:val="none"/>
          <w:lang w:val="en-US" w:eastAsia="zh-CN"/>
        </w:rPr>
        <w:t>9</w:t>
      </w:r>
    </w:p>
    <w:p w14:paraId="5BE42665">
      <w:pPr>
        <w:pStyle w:val="25"/>
        <w:tabs>
          <w:tab w:val="right" w:leader="dot" w:pos="8845"/>
          <w:tab w:val="clear" w:pos="8296"/>
        </w:tabs>
        <w:rPr>
          <w:rFonts w:hint="default" w:eastAsia="宋体"/>
          <w:color w:val="auto"/>
          <w:highlight w:val="none"/>
          <w:lang w:val="en-US" w:eastAsia="zh-CN"/>
        </w:rPr>
      </w:pPr>
      <w:r>
        <w:rPr>
          <w:rFonts w:ascii="宋体" w:hAnsi="宋体"/>
          <w:color w:val="auto"/>
          <w:szCs w:val="30"/>
          <w:highlight w:val="none"/>
        </w:rPr>
        <w:fldChar w:fldCharType="begin"/>
      </w:r>
      <w:r>
        <w:rPr>
          <w:rFonts w:ascii="宋体" w:hAnsi="宋体"/>
          <w:color w:val="auto"/>
          <w:szCs w:val="30"/>
          <w:highlight w:val="none"/>
        </w:rPr>
        <w:instrText xml:space="preserve"> HYPERLINK \l _Toc22669 </w:instrText>
      </w:r>
      <w:r>
        <w:rPr>
          <w:rFonts w:ascii="宋体" w:hAnsi="宋体"/>
          <w:color w:val="auto"/>
          <w:szCs w:val="30"/>
          <w:highlight w:val="none"/>
        </w:rPr>
        <w:fldChar w:fldCharType="separate"/>
      </w:r>
      <w:r>
        <w:rPr>
          <w:rFonts w:hint="eastAsia" w:ascii="宋体" w:hAnsi="宋体" w:eastAsia="宋体" w:cs="宋体"/>
          <w:color w:val="auto"/>
          <w:szCs w:val="28"/>
          <w:highlight w:val="none"/>
        </w:rPr>
        <w:t>第三部分  合同专用条款</w:t>
      </w:r>
      <w:r>
        <w:rPr>
          <w:color w:val="auto"/>
          <w:highlight w:val="none"/>
        </w:rPr>
        <w:tab/>
      </w:r>
      <w:r>
        <w:rPr>
          <w:rFonts w:hint="eastAsia"/>
          <w:color w:val="auto"/>
          <w:highlight w:val="none"/>
          <w:lang w:val="en-US" w:eastAsia="zh-CN"/>
        </w:rPr>
        <w:t>1</w:t>
      </w:r>
      <w:r>
        <w:rPr>
          <w:rFonts w:ascii="宋体" w:hAnsi="宋体"/>
          <w:color w:val="auto"/>
          <w:szCs w:val="30"/>
          <w:highlight w:val="none"/>
        </w:rPr>
        <w:fldChar w:fldCharType="end"/>
      </w:r>
      <w:r>
        <w:rPr>
          <w:rFonts w:hint="eastAsia" w:ascii="宋体" w:hAnsi="宋体"/>
          <w:color w:val="auto"/>
          <w:szCs w:val="30"/>
          <w:highlight w:val="none"/>
          <w:lang w:val="en-US" w:eastAsia="zh-CN"/>
        </w:rPr>
        <w:t>04</w:t>
      </w:r>
    </w:p>
    <w:p w14:paraId="7BEA9FD0">
      <w:pPr>
        <w:pStyle w:val="23"/>
        <w:tabs>
          <w:tab w:val="right" w:leader="dot" w:pos="8845"/>
        </w:tabs>
        <w:rPr>
          <w:rFonts w:hint="default" w:eastAsia="宋体"/>
          <w:color w:val="auto"/>
          <w:highlight w:val="none"/>
          <w:lang w:val="en-US" w:eastAsia="zh-CN"/>
        </w:rPr>
      </w:pPr>
      <w:r>
        <w:rPr>
          <w:rFonts w:ascii="宋体" w:hAnsi="宋体"/>
          <w:color w:val="auto"/>
          <w:szCs w:val="30"/>
          <w:highlight w:val="none"/>
        </w:rPr>
        <w:fldChar w:fldCharType="begin"/>
      </w:r>
      <w:r>
        <w:rPr>
          <w:rFonts w:ascii="宋体" w:hAnsi="宋体"/>
          <w:color w:val="auto"/>
          <w:szCs w:val="30"/>
          <w:highlight w:val="none"/>
        </w:rPr>
        <w:instrText xml:space="preserve"> HYPERLINK \l _Toc27024 </w:instrText>
      </w:r>
      <w:r>
        <w:rPr>
          <w:rFonts w:ascii="宋体" w:hAnsi="宋体"/>
          <w:color w:val="auto"/>
          <w:szCs w:val="30"/>
          <w:highlight w:val="none"/>
        </w:rPr>
        <w:fldChar w:fldCharType="separate"/>
      </w:r>
      <w:r>
        <w:rPr>
          <w:rFonts w:hint="eastAsia" w:ascii="宋体" w:hAnsi="宋体" w:cs="仿宋_GB2312"/>
          <w:color w:val="auto"/>
          <w:highlight w:val="none"/>
        </w:rPr>
        <w:t>第七章 质疑、投诉材料格式</w:t>
      </w:r>
      <w:r>
        <w:rPr>
          <w:color w:val="auto"/>
          <w:highlight w:val="none"/>
        </w:rPr>
        <w:tab/>
      </w:r>
      <w:r>
        <w:rPr>
          <w:rFonts w:hint="eastAsia"/>
          <w:color w:val="auto"/>
          <w:highlight w:val="none"/>
          <w:lang w:val="en-US" w:eastAsia="zh-CN"/>
        </w:rPr>
        <w:t>1</w:t>
      </w:r>
      <w:r>
        <w:rPr>
          <w:rFonts w:ascii="宋体" w:hAnsi="宋体"/>
          <w:color w:val="auto"/>
          <w:szCs w:val="30"/>
          <w:highlight w:val="none"/>
        </w:rPr>
        <w:fldChar w:fldCharType="end"/>
      </w:r>
      <w:r>
        <w:rPr>
          <w:rFonts w:hint="eastAsia" w:ascii="宋体" w:hAnsi="宋体"/>
          <w:color w:val="auto"/>
          <w:szCs w:val="30"/>
          <w:highlight w:val="none"/>
          <w:lang w:val="en-US" w:eastAsia="zh-CN"/>
        </w:rPr>
        <w:t>07</w:t>
      </w:r>
    </w:p>
    <w:p w14:paraId="6C5CE921">
      <w:pPr>
        <w:pStyle w:val="25"/>
        <w:rPr>
          <w:rFonts w:hint="eastAsia"/>
          <w:color w:val="auto"/>
          <w:sz w:val="28"/>
          <w:szCs w:val="28"/>
          <w:highlight w:val="none"/>
        </w:rPr>
      </w:pPr>
      <w:r>
        <w:rPr>
          <w:rFonts w:ascii="宋体" w:hAnsi="宋体"/>
          <w:color w:val="auto"/>
          <w:szCs w:val="30"/>
          <w:highlight w:val="none"/>
        </w:rPr>
        <w:fldChar w:fldCharType="end"/>
      </w:r>
    </w:p>
    <w:p w14:paraId="1ACA4642">
      <w:pPr>
        <w:tabs>
          <w:tab w:val="left" w:pos="5536"/>
        </w:tabs>
        <w:spacing w:line="400" w:lineRule="exact"/>
        <w:jc w:val="left"/>
        <w:rPr>
          <w:rFonts w:hint="eastAsia" w:ascii="宋体" w:hAnsi="宋体"/>
          <w:b/>
          <w:color w:val="auto"/>
          <w:sz w:val="32"/>
          <w:szCs w:val="32"/>
          <w:highlight w:val="none"/>
        </w:rPr>
      </w:pPr>
      <w:r>
        <w:rPr>
          <w:rFonts w:hint="eastAsia" w:ascii="宋体" w:hAnsi="宋体"/>
          <w:b/>
          <w:color w:val="auto"/>
          <w:sz w:val="32"/>
          <w:szCs w:val="32"/>
          <w:highlight w:val="none"/>
        </w:rPr>
        <w:tab/>
      </w:r>
    </w:p>
    <w:p w14:paraId="2DEF80AA">
      <w:pPr>
        <w:spacing w:line="400" w:lineRule="exact"/>
        <w:jc w:val="center"/>
        <w:rPr>
          <w:rFonts w:hint="eastAsia" w:ascii="宋体" w:hAnsi="宋体"/>
          <w:b/>
          <w:color w:val="auto"/>
          <w:sz w:val="32"/>
          <w:szCs w:val="32"/>
          <w:highlight w:val="none"/>
        </w:rPr>
      </w:pPr>
    </w:p>
    <w:p w14:paraId="75A57D81">
      <w:pPr>
        <w:spacing w:line="400" w:lineRule="exact"/>
        <w:jc w:val="center"/>
        <w:rPr>
          <w:rFonts w:hint="eastAsia" w:ascii="宋体" w:hAnsi="宋体"/>
          <w:b/>
          <w:color w:val="auto"/>
          <w:sz w:val="32"/>
          <w:szCs w:val="32"/>
          <w:highlight w:val="none"/>
        </w:rPr>
      </w:pPr>
    </w:p>
    <w:p w14:paraId="34026C7D">
      <w:pPr>
        <w:spacing w:line="400" w:lineRule="exact"/>
        <w:jc w:val="center"/>
        <w:rPr>
          <w:rFonts w:hint="eastAsia" w:ascii="宋体" w:hAnsi="宋体"/>
          <w:b/>
          <w:color w:val="auto"/>
          <w:sz w:val="32"/>
          <w:szCs w:val="32"/>
          <w:highlight w:val="none"/>
        </w:rPr>
        <w:sectPr>
          <w:headerReference r:id="rId6" w:type="default"/>
          <w:footerReference r:id="rId7" w:type="default"/>
          <w:pgSz w:w="11906" w:h="16838"/>
          <w:pgMar w:top="1134" w:right="1474" w:bottom="1134" w:left="1587" w:header="720" w:footer="720" w:gutter="0"/>
          <w:pgNumType w:fmt="decimal"/>
          <w:cols w:space="720" w:num="1"/>
          <w:docGrid w:type="lines" w:linePitch="331" w:charSpace="0"/>
        </w:sectPr>
      </w:pPr>
    </w:p>
    <w:p w14:paraId="164C1999">
      <w:pPr>
        <w:pStyle w:val="7"/>
        <w:rPr>
          <w:rFonts w:hint="eastAsia"/>
          <w:color w:val="auto"/>
          <w:highlight w:val="none"/>
        </w:rPr>
      </w:pPr>
    </w:p>
    <w:p w14:paraId="759A75CF">
      <w:pPr>
        <w:pStyle w:val="2"/>
        <w:spacing w:line="400" w:lineRule="exact"/>
        <w:jc w:val="center"/>
        <w:rPr>
          <w:rFonts w:hint="eastAsia" w:ascii="黑体" w:hAnsi="黑体" w:eastAsia="黑体" w:cs="宋体"/>
          <w:bCs w:val="0"/>
          <w:color w:val="auto"/>
          <w:sz w:val="24"/>
          <w:szCs w:val="24"/>
          <w:highlight w:val="none"/>
          <w:lang w:eastAsia="zh-CN"/>
        </w:rPr>
      </w:pPr>
      <w:bookmarkStart w:id="1" w:name="_Toc11277"/>
      <w:r>
        <w:rPr>
          <w:rFonts w:hint="eastAsia"/>
          <w:color w:val="auto"/>
          <w:highlight w:val="none"/>
        </w:rPr>
        <w:t>第一章 竞争性磋商公告</w:t>
      </w:r>
      <w:bookmarkEnd w:id="1"/>
      <w:bookmarkStart w:id="2" w:name="_Toc44229878"/>
      <w:bookmarkStart w:id="3" w:name="_Toc35393629"/>
      <w:bookmarkStart w:id="4" w:name="_Toc28359012"/>
      <w:bookmarkStart w:id="5" w:name="_Toc28359089"/>
      <w:bookmarkStart w:id="6" w:name="_Toc35393798"/>
      <w:bookmarkStart w:id="7" w:name="_Toc35393623"/>
      <w:bookmarkStart w:id="8" w:name="_Toc28359004"/>
      <w:bookmarkStart w:id="9" w:name="_Toc28359081"/>
      <w:bookmarkStart w:id="10" w:name="_Toc35393792"/>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89D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noWrap w:val="0"/>
            <w:vAlign w:val="top"/>
          </w:tcPr>
          <w:p w14:paraId="094868B9">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1"/>
                <w:szCs w:val="21"/>
                <w:highlight w:val="none"/>
                <w:vertAlign w:val="baseline"/>
              </w:rPr>
            </w:pPr>
            <w:r>
              <w:rPr>
                <w:rFonts w:hint="eastAsia" w:ascii="宋体" w:hAnsi="宋体" w:eastAsia="宋体" w:cs="宋体"/>
                <w:bCs/>
                <w:color w:val="auto"/>
                <w:sz w:val="21"/>
                <w:szCs w:val="21"/>
                <w:highlight w:val="none"/>
                <w:vertAlign w:val="baseline"/>
              </w:rPr>
              <w:t>项目概况</w:t>
            </w:r>
          </w:p>
          <w:p w14:paraId="40F69D48">
            <w:pPr>
              <w:keepNext w:val="0"/>
              <w:keepLines w:val="0"/>
              <w:suppressLineNumbers w:val="0"/>
              <w:spacing w:before="0" w:beforeAutospacing="0" w:after="0" w:afterAutospacing="0" w:line="360" w:lineRule="auto"/>
              <w:ind w:left="0" w:right="0" w:firstLine="420" w:firstLineChars="200"/>
              <w:rPr>
                <w:rFonts w:hint="eastAsia" w:ascii="黑体" w:hAnsi="黑体" w:eastAsia="黑体" w:cs="宋体"/>
                <w:bCs/>
                <w:color w:val="auto"/>
                <w:sz w:val="24"/>
                <w:highlight w:val="none"/>
                <w:vertAlign w:val="baseline"/>
              </w:rPr>
            </w:pPr>
            <w:r>
              <w:rPr>
                <w:rFonts w:hint="eastAsia" w:ascii="宋体" w:hAnsi="宋体" w:eastAsia="宋体" w:cs="宋体"/>
                <w:bCs/>
                <w:color w:val="auto"/>
                <w:sz w:val="21"/>
                <w:szCs w:val="21"/>
                <w:highlight w:val="none"/>
                <w:vertAlign w:val="baseline"/>
              </w:rPr>
              <w:t xml:space="preserve"> </w:t>
            </w:r>
            <w:r>
              <w:rPr>
                <w:rFonts w:hint="eastAsia" w:ascii="宋体" w:hAnsi="宋体" w:eastAsia="宋体" w:cs="宋体"/>
                <w:bCs/>
                <w:color w:val="auto"/>
                <w:sz w:val="21"/>
                <w:szCs w:val="21"/>
                <w:highlight w:val="none"/>
                <w:u w:val="single"/>
                <w:vertAlign w:val="baseline"/>
              </w:rPr>
              <w:t>2026年南宁市武鸣区基层就业服务网点（就业服务站）项目</w:t>
            </w:r>
            <w:r>
              <w:rPr>
                <w:rFonts w:hint="eastAsia" w:ascii="宋体" w:hAnsi="宋体" w:eastAsia="宋体" w:cs="宋体"/>
                <w:bCs/>
                <w:color w:val="auto"/>
                <w:sz w:val="21"/>
                <w:szCs w:val="21"/>
                <w:highlight w:val="none"/>
                <w:vertAlign w:val="baseline"/>
              </w:rPr>
              <w:t xml:space="preserve"> 的潜在供应商应在广西政府采购云平台（https://www.gcy.zfcg.gxzf.gov.cn）获取（下载）获取竞争性磋商文件，并于</w:t>
            </w:r>
            <w:r>
              <w:rPr>
                <w:rFonts w:hint="eastAsia" w:ascii="宋体" w:hAnsi="宋体" w:eastAsia="宋体" w:cs="宋体"/>
                <w:bCs/>
                <w:color w:val="0000FF"/>
                <w:sz w:val="21"/>
                <w:szCs w:val="21"/>
                <w:highlight w:val="none"/>
                <w:u w:val="single"/>
                <w:vertAlign w:val="baseline"/>
              </w:rPr>
              <w:t>202</w:t>
            </w:r>
            <w:r>
              <w:rPr>
                <w:rFonts w:hint="eastAsia" w:ascii="宋体" w:hAnsi="宋体" w:eastAsia="宋体" w:cs="宋体"/>
                <w:bCs/>
                <w:color w:val="0000FF"/>
                <w:sz w:val="21"/>
                <w:szCs w:val="21"/>
                <w:highlight w:val="none"/>
                <w:u w:val="single"/>
                <w:vertAlign w:val="baseline"/>
                <w:lang w:val="en-US" w:eastAsia="zh-CN"/>
              </w:rPr>
              <w:t>6</w:t>
            </w:r>
            <w:r>
              <w:rPr>
                <w:rFonts w:hint="eastAsia" w:ascii="宋体" w:hAnsi="宋体" w:eastAsia="宋体" w:cs="宋体"/>
                <w:bCs/>
                <w:color w:val="0000FF"/>
                <w:sz w:val="21"/>
                <w:szCs w:val="21"/>
                <w:highlight w:val="none"/>
                <w:u w:val="single"/>
                <w:vertAlign w:val="baseline"/>
              </w:rPr>
              <w:t>年</w:t>
            </w:r>
            <w:r>
              <w:rPr>
                <w:rFonts w:hint="eastAsia" w:ascii="宋体" w:hAnsi="宋体" w:cs="宋体"/>
                <w:bCs/>
                <w:color w:val="0000FF"/>
                <w:sz w:val="21"/>
                <w:szCs w:val="21"/>
                <w:highlight w:val="none"/>
                <w:u w:val="single"/>
                <w:vertAlign w:val="baseline"/>
                <w:lang w:val="en-US" w:eastAsia="zh-CN"/>
              </w:rPr>
              <w:t>09</w:t>
            </w:r>
            <w:r>
              <w:rPr>
                <w:rFonts w:hint="eastAsia" w:ascii="宋体" w:hAnsi="宋体" w:eastAsia="宋体" w:cs="宋体"/>
                <w:bCs/>
                <w:color w:val="0000FF"/>
                <w:sz w:val="21"/>
                <w:szCs w:val="21"/>
                <w:highlight w:val="none"/>
                <w:u w:val="single"/>
                <w:vertAlign w:val="baseline"/>
              </w:rPr>
              <w:t>月</w:t>
            </w:r>
            <w:r>
              <w:rPr>
                <w:rFonts w:hint="eastAsia" w:ascii="宋体" w:hAnsi="宋体" w:cs="宋体"/>
                <w:bCs/>
                <w:color w:val="0000FF"/>
                <w:sz w:val="21"/>
                <w:szCs w:val="21"/>
                <w:highlight w:val="none"/>
                <w:u w:val="single"/>
                <w:vertAlign w:val="baseline"/>
                <w:lang w:val="en-US" w:eastAsia="zh-CN"/>
              </w:rPr>
              <w:t>14</w:t>
            </w:r>
            <w:r>
              <w:rPr>
                <w:rFonts w:hint="eastAsia" w:ascii="宋体" w:hAnsi="宋体" w:eastAsia="宋体" w:cs="宋体"/>
                <w:bCs/>
                <w:color w:val="0000FF"/>
                <w:sz w:val="21"/>
                <w:szCs w:val="21"/>
                <w:highlight w:val="none"/>
                <w:u w:val="single"/>
                <w:vertAlign w:val="baseline"/>
              </w:rPr>
              <w:t>日9 点30分（</w:t>
            </w:r>
            <w:r>
              <w:rPr>
                <w:rFonts w:hint="eastAsia" w:ascii="宋体" w:hAnsi="宋体" w:eastAsia="宋体" w:cs="宋体"/>
                <w:bCs/>
                <w:color w:val="auto"/>
                <w:sz w:val="21"/>
                <w:szCs w:val="21"/>
                <w:highlight w:val="none"/>
                <w:u w:val="single"/>
                <w:vertAlign w:val="baseline"/>
              </w:rPr>
              <w:t>北京时间）</w:t>
            </w:r>
            <w:r>
              <w:rPr>
                <w:rFonts w:hint="eastAsia" w:ascii="宋体" w:hAnsi="宋体" w:eastAsia="宋体" w:cs="宋体"/>
                <w:bCs/>
                <w:color w:val="auto"/>
                <w:sz w:val="21"/>
                <w:szCs w:val="21"/>
                <w:highlight w:val="none"/>
                <w:vertAlign w:val="baseline"/>
              </w:rPr>
              <w:t>前提交响应文件。</w:t>
            </w:r>
          </w:p>
        </w:tc>
      </w:tr>
    </w:tbl>
    <w:p w14:paraId="58563B59">
      <w:pPr>
        <w:spacing w:line="360" w:lineRule="auto"/>
        <w:ind w:firstLine="480" w:firstLineChars="200"/>
        <w:rPr>
          <w:color w:val="auto"/>
          <w:highlight w:val="none"/>
        </w:rPr>
      </w:pPr>
      <w:r>
        <w:rPr>
          <w:rFonts w:hint="eastAsia" w:ascii="黑体" w:hAnsi="黑体" w:eastAsia="黑体" w:cs="宋体"/>
          <w:bCs/>
          <w:color w:val="auto"/>
          <w:sz w:val="24"/>
          <w:highlight w:val="none"/>
        </w:rPr>
        <w:t>一、项目基本情况</w:t>
      </w:r>
      <w:bookmarkEnd w:id="2"/>
      <w:bookmarkEnd w:id="3"/>
      <w:bookmarkEnd w:id="4"/>
      <w:bookmarkEnd w:id="5"/>
      <w:bookmarkEnd w:id="6"/>
    </w:p>
    <w:p w14:paraId="1816C12E">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项目编号：</w:t>
      </w:r>
      <w:r>
        <w:rPr>
          <w:rFonts w:hint="eastAsia" w:ascii="宋体" w:hAnsi="宋体"/>
          <w:color w:val="auto"/>
          <w:szCs w:val="21"/>
          <w:highlight w:val="none"/>
          <w:lang w:eastAsia="zh-CN"/>
        </w:rPr>
        <w:t>NNZC2026-C3-100081-GXXZ</w:t>
      </w:r>
    </w:p>
    <w:p w14:paraId="16E8B488">
      <w:pPr>
        <w:spacing w:line="360" w:lineRule="auto"/>
        <w:ind w:firstLine="630" w:firstLineChars="300"/>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eastAsia="zh-CN"/>
        </w:rPr>
        <w:t>政府采购计划编号：</w:t>
      </w:r>
      <w:r>
        <w:rPr>
          <w:rFonts w:hint="eastAsia" w:ascii="宋体" w:hAnsi="宋体" w:cs="Times New Roman"/>
          <w:color w:val="auto"/>
          <w:szCs w:val="21"/>
          <w:highlight w:val="none"/>
          <w:lang w:val="en-US" w:eastAsia="zh-CN"/>
        </w:rPr>
        <w:t>WMZC2026-C3-01170、WMZC2026-C3-01171</w:t>
      </w:r>
    </w:p>
    <w:p w14:paraId="68FD6326">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2026年南宁市武鸣区基层就业服务网点（就业服务站）项目</w:t>
      </w:r>
    </w:p>
    <w:p w14:paraId="79B4B13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AA6A5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4.预算金额：</w:t>
      </w:r>
      <w:r>
        <w:rPr>
          <w:rFonts w:hint="eastAsia" w:ascii="宋体" w:hAnsi="宋体"/>
          <w:color w:val="auto"/>
          <w:szCs w:val="21"/>
          <w:highlight w:val="none"/>
          <w:lang w:val="en-US" w:eastAsia="zh-CN"/>
        </w:rPr>
        <w:t>209.50万</w:t>
      </w:r>
      <w:r>
        <w:rPr>
          <w:rFonts w:hint="eastAsia" w:ascii="宋体" w:hAnsi="宋体"/>
          <w:color w:val="auto"/>
          <w:szCs w:val="21"/>
          <w:highlight w:val="none"/>
        </w:rPr>
        <w:t xml:space="preserve">元 </w:t>
      </w:r>
    </w:p>
    <w:p w14:paraId="77DB63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5.最高限价</w:t>
      </w:r>
      <w:bookmarkStart w:id="11" w:name="_Hlk66782034"/>
      <w:r>
        <w:rPr>
          <w:rFonts w:hint="eastAsia" w:ascii="宋体" w:hAnsi="宋体"/>
          <w:color w:val="auto"/>
          <w:szCs w:val="21"/>
          <w:highlight w:val="none"/>
        </w:rPr>
        <w:t>（如有）</w:t>
      </w:r>
      <w:bookmarkEnd w:id="11"/>
      <w:r>
        <w:rPr>
          <w:rFonts w:hint="eastAsia" w:ascii="宋体" w:hAnsi="宋体"/>
          <w:color w:val="auto"/>
          <w:szCs w:val="21"/>
          <w:highlight w:val="none"/>
        </w:rPr>
        <w:t>：</w:t>
      </w:r>
      <w:r>
        <w:rPr>
          <w:rFonts w:hint="eastAsia" w:ascii="宋体" w:hAnsi="宋体"/>
          <w:color w:val="auto"/>
          <w:szCs w:val="21"/>
          <w:highlight w:val="none"/>
          <w:lang w:val="en-US" w:eastAsia="zh-CN"/>
        </w:rPr>
        <w:t>209.50万</w:t>
      </w:r>
      <w:r>
        <w:rPr>
          <w:rFonts w:hint="eastAsia" w:ascii="宋体" w:hAnsi="宋体"/>
          <w:color w:val="auto"/>
          <w:szCs w:val="21"/>
          <w:highlight w:val="none"/>
        </w:rPr>
        <w:t xml:space="preserve">元 </w:t>
      </w:r>
    </w:p>
    <w:p w14:paraId="37EBC27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采购需求：</w:t>
      </w:r>
      <w:r>
        <w:rPr>
          <w:rFonts w:ascii="宋体" w:hAnsi="宋体"/>
          <w:color w:val="auto"/>
          <w:szCs w:val="21"/>
          <w:highlight w:val="none"/>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6"/>
        <w:gridCol w:w="1545"/>
        <w:gridCol w:w="975"/>
        <w:gridCol w:w="6242"/>
      </w:tblGrid>
      <w:tr w14:paraId="0A7B3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14:paraId="5AB4DC18">
            <w:pPr>
              <w:keepNext w:val="0"/>
              <w:keepLines w:val="0"/>
              <w:suppressLineNumbers w:val="0"/>
              <w:snapToGrid w:val="0"/>
              <w:spacing w:before="0" w:beforeAutospacing="0" w:after="0" w:afterAutospacing="0" w:line="360" w:lineRule="auto"/>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序号</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55CEDA24">
            <w:pPr>
              <w:keepNext w:val="0"/>
              <w:keepLines w:val="0"/>
              <w:suppressLineNumbers w:val="0"/>
              <w:snapToGrid w:val="0"/>
              <w:spacing w:before="0" w:beforeAutospacing="0" w:after="0" w:afterAutospacing="0" w:line="360" w:lineRule="auto"/>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标的的名称</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8340B66">
            <w:pPr>
              <w:keepNext w:val="0"/>
              <w:keepLines w:val="0"/>
              <w:suppressLineNumbers w:val="0"/>
              <w:snapToGrid w:val="0"/>
              <w:spacing w:before="0" w:beforeAutospacing="0" w:after="0" w:afterAutospacing="0" w:line="360" w:lineRule="auto"/>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数量及单位</w:t>
            </w:r>
          </w:p>
        </w:tc>
        <w:tc>
          <w:tcPr>
            <w:tcW w:w="6242" w:type="dxa"/>
            <w:tcBorders>
              <w:top w:val="single" w:color="auto" w:sz="4" w:space="0"/>
              <w:left w:val="single" w:color="auto" w:sz="4" w:space="0"/>
              <w:bottom w:val="single" w:color="auto" w:sz="4" w:space="0"/>
              <w:right w:val="single" w:color="auto" w:sz="4" w:space="0"/>
            </w:tcBorders>
            <w:noWrap w:val="0"/>
            <w:vAlign w:val="center"/>
          </w:tcPr>
          <w:p w14:paraId="2E1AD1C9">
            <w:pPr>
              <w:keepNext w:val="0"/>
              <w:keepLines w:val="0"/>
              <w:suppressLineNumbers w:val="0"/>
              <w:snapToGrid w:val="0"/>
              <w:spacing w:before="0" w:beforeAutospacing="0" w:after="0" w:afterAutospacing="0" w:line="360" w:lineRule="auto"/>
              <w:ind w:left="0" w:right="0" w:firstLine="420" w:firstLineChars="200"/>
              <w:jc w:val="center"/>
              <w:rPr>
                <w:rFonts w:hint="default" w:ascii="宋体" w:hAnsi="宋体" w:cs="Calibri"/>
                <w:color w:val="auto"/>
                <w:szCs w:val="21"/>
                <w:highlight w:val="none"/>
              </w:rPr>
            </w:pPr>
            <w:r>
              <w:rPr>
                <w:rFonts w:hint="eastAsia" w:ascii="宋体" w:hAnsi="宋体" w:cs="Calibri"/>
                <w:color w:val="auto"/>
                <w:szCs w:val="21"/>
                <w:highlight w:val="none"/>
              </w:rPr>
              <w:t>简要技术需求或者服务要求</w:t>
            </w:r>
          </w:p>
        </w:tc>
      </w:tr>
      <w:tr w14:paraId="0E131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6"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14:paraId="2A02ED54">
            <w:pPr>
              <w:keepNext w:val="0"/>
              <w:keepLines w:val="0"/>
              <w:suppressLineNumbers w:val="0"/>
              <w:snapToGrid w:val="0"/>
              <w:spacing w:before="0" w:beforeAutospacing="0" w:after="0" w:afterAutospacing="0" w:line="360" w:lineRule="auto"/>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01</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554F1EDC">
            <w:pPr>
              <w:keepNext w:val="0"/>
              <w:keepLines w:val="0"/>
              <w:suppressLineNumbers w:val="0"/>
              <w:snapToGrid w:val="0"/>
              <w:spacing w:before="0" w:beforeAutospacing="0" w:after="0" w:afterAutospacing="0" w:line="360" w:lineRule="auto"/>
              <w:ind w:left="0" w:right="0"/>
              <w:rPr>
                <w:rFonts w:hint="eastAsia" w:ascii="宋体" w:hAnsi="宋体" w:eastAsia="宋体" w:cs="Calibri"/>
                <w:color w:val="auto"/>
                <w:szCs w:val="21"/>
                <w:highlight w:val="none"/>
                <w:lang w:eastAsia="zh-CN"/>
              </w:rPr>
            </w:pPr>
            <w:r>
              <w:rPr>
                <w:rFonts w:hint="eastAsia" w:ascii="宋体" w:hAnsi="宋体" w:cs="Calibri"/>
                <w:color w:val="auto"/>
                <w:szCs w:val="21"/>
                <w:highlight w:val="none"/>
                <w:lang w:eastAsia="zh-CN"/>
              </w:rPr>
              <w:t>2026年南宁市武鸣区基层就业服务网点（就业服务站）项目</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63072985">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Cs w:val="21"/>
                <w:highlight w:val="none"/>
              </w:rPr>
            </w:pPr>
            <w:r>
              <w:rPr>
                <w:rFonts w:hint="eastAsia" w:ascii="宋体" w:hAnsi="宋体" w:cs="Calibri"/>
                <w:color w:val="auto"/>
                <w:szCs w:val="21"/>
                <w:highlight w:val="none"/>
              </w:rPr>
              <w:t>1项</w:t>
            </w:r>
          </w:p>
        </w:tc>
        <w:tc>
          <w:tcPr>
            <w:tcW w:w="6242" w:type="dxa"/>
            <w:tcBorders>
              <w:top w:val="single" w:color="auto" w:sz="4" w:space="0"/>
              <w:left w:val="single" w:color="auto" w:sz="4" w:space="0"/>
              <w:bottom w:val="single" w:color="auto" w:sz="4" w:space="0"/>
              <w:right w:val="single" w:color="auto" w:sz="4" w:space="0"/>
            </w:tcBorders>
            <w:noWrap w:val="0"/>
            <w:vAlign w:val="top"/>
          </w:tcPr>
          <w:p w14:paraId="140AA440">
            <w:pPr>
              <w:keepNext w:val="0"/>
              <w:keepLines w:val="0"/>
              <w:suppressLineNumbers w:val="0"/>
              <w:snapToGrid w:val="0"/>
              <w:spacing w:before="0" w:beforeAutospacing="0" w:after="0" w:afterAutospacing="0" w:line="360" w:lineRule="auto"/>
              <w:ind w:left="0" w:right="0" w:firstLine="420" w:firstLineChars="200"/>
              <w:rPr>
                <w:rFonts w:hint="eastAsia" w:ascii="宋体" w:hAnsi="宋体" w:cs="Calibri"/>
                <w:color w:val="auto"/>
                <w:szCs w:val="21"/>
                <w:highlight w:val="none"/>
              </w:rPr>
            </w:pPr>
            <w:r>
              <w:rPr>
                <w:rFonts w:hint="eastAsia" w:ascii="宋体" w:hAnsi="宋体" w:eastAsia="宋体" w:cs="Times New Roman"/>
                <w:color w:val="auto"/>
                <w:szCs w:val="21"/>
                <w:highlight w:val="none"/>
                <w:lang w:eastAsia="zh-CN"/>
              </w:rPr>
              <w:t>面向武鸣区提供7个一级就业服务站，涵盖为失业人员、就业困难人员、脱贫劳动力、返乡回流人员、高校毕业生等重点群体提供政策宣讲、岗位推荐、零工服务、技能培训、就业援助等就业创业专业服务，为用人单位提供用工登记、信息发布、招工送工、创业培训等服务的公共就业服务；定期组织招聘会、政策宣传、公益性技能培训、就业创业服务等活动；提供线上线下一体化信息平台，为求职者、用人单位提供自助便捷的就业服务，基层管理人</w:t>
            </w:r>
            <w:r>
              <w:rPr>
                <w:rFonts w:hint="eastAsia" w:ascii="宋体" w:hAnsi="宋体" w:eastAsia="宋体" w:cs="Times New Roman"/>
                <w:color w:val="auto"/>
                <w:szCs w:val="21"/>
                <w:highlight w:val="none"/>
                <w:lang w:val="en-US" w:eastAsia="zh-CN"/>
              </w:rPr>
              <w:t>员</w:t>
            </w:r>
            <w:r>
              <w:rPr>
                <w:rFonts w:hint="eastAsia" w:ascii="宋体" w:hAnsi="宋体" w:eastAsia="宋体" w:cs="Times New Roman"/>
                <w:color w:val="auto"/>
                <w:szCs w:val="21"/>
                <w:highlight w:val="none"/>
                <w:lang w:eastAsia="zh-CN"/>
              </w:rPr>
              <w:t>可通过后台查阅、调取服务数据和资料，实现线上线下就业服务站数据实时同步……（具体内容详见采购文件第二章采购需求）</w:t>
            </w:r>
          </w:p>
        </w:tc>
      </w:tr>
    </w:tbl>
    <w:p w14:paraId="4346FA14">
      <w:pPr>
        <w:numPr>
          <w:ilvl w:val="0"/>
          <w:numId w:val="2"/>
        </w:num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合同履行期限：</w:t>
      </w:r>
      <w:r>
        <w:rPr>
          <w:rFonts w:hint="eastAsia" w:ascii="宋体" w:hAnsi="宋体" w:eastAsia="宋体" w:cs="Times New Roman"/>
          <w:color w:val="auto"/>
          <w:szCs w:val="21"/>
          <w:highlight w:val="none"/>
          <w:lang w:val="en-US" w:eastAsia="zh-CN"/>
        </w:rPr>
        <w:t>服务期分为筹备和运营两个阶段。筹备期为自签订采购服务合同之日起至2026年11月30日，完成全部站点的规范配备并投入试运营；正式运营服务期自全部站点投入试运营之日的次月1日起12个月。</w:t>
      </w:r>
    </w:p>
    <w:p w14:paraId="0534FB87">
      <w:pPr>
        <w:numPr>
          <w:ilvl w:val="0"/>
          <w:numId w:val="2"/>
        </w:num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本项目是否接受联合体：□是，☑否。</w:t>
      </w:r>
    </w:p>
    <w:p w14:paraId="25638BB8">
      <w:pPr>
        <w:spacing w:line="360" w:lineRule="auto"/>
        <w:ind w:firstLine="482" w:firstLineChars="200"/>
        <w:rPr>
          <w:rFonts w:ascii="黑体" w:hAnsi="黑体" w:eastAsia="黑体" w:cs="宋体"/>
          <w:bCs/>
          <w:color w:val="auto"/>
          <w:sz w:val="24"/>
          <w:highlight w:val="none"/>
        </w:rPr>
      </w:pPr>
      <w:bookmarkStart w:id="12" w:name="_Toc35393630"/>
      <w:bookmarkStart w:id="13" w:name="_Toc28359013"/>
      <w:bookmarkStart w:id="14" w:name="_Toc44229879"/>
      <w:bookmarkStart w:id="15" w:name="_Toc35393799"/>
      <w:bookmarkStart w:id="16" w:name="_Toc28359090"/>
      <w:r>
        <w:rPr>
          <w:rFonts w:hint="eastAsia" w:ascii="黑体" w:hAnsi="黑体" w:eastAsia="黑体" w:cs="宋体"/>
          <w:b/>
          <w:color w:val="auto"/>
          <w:kern w:val="44"/>
          <w:sz w:val="24"/>
          <w:highlight w:val="none"/>
        </w:rPr>
        <w:t>二、供应商的资格条件</w:t>
      </w:r>
      <w:bookmarkEnd w:id="12"/>
      <w:bookmarkEnd w:id="13"/>
      <w:bookmarkEnd w:id="14"/>
      <w:bookmarkEnd w:id="15"/>
      <w:bookmarkEnd w:id="16"/>
    </w:p>
    <w:p w14:paraId="0C9698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34214E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p>
    <w:p w14:paraId="5D8C7834">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☑专门面向中小企业采购的项目（供应商应为中小微企业、监狱企业、残疾人福利性单位)</w:t>
      </w:r>
    </w:p>
    <w:p w14:paraId="1151A0D6">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14:paraId="764413A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3.本项目的特定资格要求：</w:t>
      </w:r>
      <w:r>
        <w:rPr>
          <w:rFonts w:hint="eastAsia" w:ascii="宋体" w:hAnsi="宋体" w:eastAsia="宋体" w:cs="Times New Roman"/>
          <w:color w:val="auto"/>
          <w:szCs w:val="21"/>
          <w:highlight w:val="none"/>
          <w:lang w:eastAsia="zh-CN"/>
        </w:rPr>
        <w:t>须</w:t>
      </w:r>
      <w:r>
        <w:rPr>
          <w:rFonts w:hint="eastAsia" w:ascii="宋体" w:hAnsi="宋体" w:eastAsia="宋体" w:cs="Times New Roman"/>
          <w:color w:val="auto"/>
          <w:szCs w:val="21"/>
          <w:highlight w:val="none"/>
        </w:rPr>
        <w:t>具</w:t>
      </w:r>
      <w:r>
        <w:rPr>
          <w:rFonts w:hint="eastAsia" w:ascii="宋体" w:hAnsi="宋体" w:eastAsia="宋体" w:cs="Times New Roman"/>
          <w:color w:val="auto"/>
          <w:szCs w:val="21"/>
          <w:highlight w:val="none"/>
          <w:lang w:eastAsia="zh-CN"/>
        </w:rPr>
        <w:t>备人力资源和社会保障部门颁发的有效的《人力资源服务许可证》</w:t>
      </w:r>
      <w:r>
        <w:rPr>
          <w:rFonts w:hint="eastAsia" w:ascii="宋体" w:hAnsi="宋体" w:eastAsia="宋体" w:cs="Times New Roman"/>
          <w:color w:val="auto"/>
          <w:szCs w:val="21"/>
          <w:highlight w:val="none"/>
          <w:lang w:val="en-US" w:eastAsia="zh-CN"/>
        </w:rPr>
        <w:t>；</w:t>
      </w:r>
    </w:p>
    <w:p w14:paraId="0FE945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本项目的特定条件：</w:t>
      </w:r>
      <w:r>
        <w:rPr>
          <w:rFonts w:hint="eastAsia" w:ascii="宋体" w:hAnsi="宋体"/>
          <w:color w:val="auto"/>
          <w:szCs w:val="21"/>
          <w:highlight w:val="none"/>
          <w:lang w:eastAsia="zh-CN"/>
        </w:rPr>
        <w:t>无</w:t>
      </w:r>
    </w:p>
    <w:p w14:paraId="1D2CAE7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DDDE7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对在“信用中国”网站</w:t>
      </w:r>
      <w:r>
        <w:rPr>
          <w:rFonts w:hint="eastAsia" w:ascii="宋体" w:hAnsi="宋体"/>
          <w:color w:val="auto"/>
          <w:szCs w:val="21"/>
          <w:highlight w:val="none"/>
          <w:lang w:eastAsia="zh-CN"/>
        </w:rPr>
        <w:t>（</w:t>
      </w:r>
      <w:r>
        <w:rPr>
          <w:rFonts w:hint="eastAsia" w:ascii="宋体" w:hAnsi="宋体"/>
          <w:color w:val="auto"/>
          <w:szCs w:val="21"/>
          <w:highlight w:val="none"/>
        </w:rPr>
        <w:t>www.creditchina.gov.cn) 、中国政府采购网</w:t>
      </w:r>
      <w:r>
        <w:rPr>
          <w:rFonts w:hint="eastAsia" w:ascii="宋体" w:hAnsi="宋体"/>
          <w:color w:val="auto"/>
          <w:szCs w:val="21"/>
          <w:highlight w:val="none"/>
          <w:lang w:eastAsia="zh-CN"/>
        </w:rPr>
        <w:t>（</w:t>
      </w:r>
      <w:r>
        <w:rPr>
          <w:rFonts w:hint="eastAsia" w:ascii="宋体" w:hAnsi="宋体"/>
          <w:color w:val="auto"/>
          <w:szCs w:val="21"/>
          <w:highlight w:val="none"/>
        </w:rPr>
        <w:t>www.ccgp.gov.cn</w:t>
      </w:r>
      <w:r>
        <w:rPr>
          <w:rFonts w:hint="eastAsia" w:ascii="宋体" w:hAnsi="宋体"/>
          <w:color w:val="auto"/>
          <w:szCs w:val="21"/>
          <w:highlight w:val="none"/>
          <w:lang w:eastAsia="zh-CN"/>
        </w:rPr>
        <w:t>）</w:t>
      </w:r>
      <w:r>
        <w:rPr>
          <w:rFonts w:hint="eastAsia" w:ascii="宋体" w:hAnsi="宋体"/>
          <w:color w:val="auto"/>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66EA774F">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7"/>
      <w:bookmarkEnd w:id="8"/>
      <w:bookmarkEnd w:id="9"/>
      <w:bookmarkEnd w:id="10"/>
    </w:p>
    <w:p w14:paraId="1586C204">
      <w:pPr>
        <w:spacing w:line="360" w:lineRule="auto"/>
        <w:ind w:firstLine="420" w:firstLineChars="200"/>
        <w:rPr>
          <w:rFonts w:hint="eastAsia" w:ascii="宋体" w:hAnsi="宋体"/>
          <w:color w:val="auto"/>
          <w:szCs w:val="21"/>
          <w:highlight w:val="none"/>
        </w:rPr>
      </w:pPr>
      <w:bookmarkStart w:id="17" w:name="_Toc28359082"/>
      <w:bookmarkStart w:id="18" w:name="_Toc28359005"/>
      <w:bookmarkStart w:id="19" w:name="_Toc35393624"/>
      <w:bookmarkStart w:id="20" w:name="_Toc35393793"/>
      <w:r>
        <w:rPr>
          <w:rFonts w:hint="eastAsia" w:ascii="宋体" w:hAnsi="宋体"/>
          <w:color w:val="auto"/>
          <w:szCs w:val="21"/>
          <w:highlight w:val="none"/>
        </w:rPr>
        <w:t>时间：自公告发布之日起。</w:t>
      </w:r>
    </w:p>
    <w:p w14:paraId="3C135036">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w:t>
      </w:r>
      <w:r>
        <w:rPr>
          <w:rFonts w:hint="eastAsia" w:ascii="宋体" w:hAnsi="宋体"/>
          <w:color w:val="auto"/>
          <w:szCs w:val="21"/>
          <w:highlight w:val="none"/>
        </w:rPr>
        <w:t>网上下载。</w:t>
      </w:r>
      <w:r>
        <w:rPr>
          <w:rFonts w:hint="eastAsia" w:ascii="宋体" w:hAnsi="宋体" w:eastAsia="宋体" w:cs="Times New Roman"/>
          <w:color w:val="auto"/>
          <w:szCs w:val="21"/>
          <w:highlight w:val="none"/>
        </w:rPr>
        <w:t>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057514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443FDF0D">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7"/>
      <w:bookmarkEnd w:id="18"/>
      <w:bookmarkEnd w:id="19"/>
      <w:bookmarkEnd w:id="20"/>
      <w:r>
        <w:rPr>
          <w:rFonts w:hint="eastAsia" w:ascii="黑体" w:hAnsi="黑体" w:eastAsia="黑体"/>
          <w:b/>
          <w:bCs/>
          <w:color w:val="auto"/>
          <w:sz w:val="24"/>
          <w:highlight w:val="none"/>
        </w:rPr>
        <w:t>响应文件提交</w:t>
      </w:r>
    </w:p>
    <w:p w14:paraId="28557776">
      <w:pPr>
        <w:spacing w:line="360" w:lineRule="auto"/>
        <w:ind w:firstLine="420" w:firstLineChars="200"/>
        <w:rPr>
          <w:rFonts w:ascii="宋体" w:hAnsi="宋体" w:cs="宋体"/>
          <w:color w:val="auto"/>
          <w:szCs w:val="21"/>
          <w:highlight w:val="none"/>
          <w:u w:val="single"/>
        </w:rPr>
      </w:pPr>
      <w:r>
        <w:rPr>
          <w:rFonts w:hint="eastAsia" w:ascii="宋体" w:hAnsi="宋体"/>
          <w:color w:val="auto"/>
          <w:szCs w:val="21"/>
          <w:highlight w:val="none"/>
        </w:rPr>
        <w:t>1</w:t>
      </w:r>
      <w:r>
        <w:rPr>
          <w:rFonts w:hint="eastAsia" w:ascii="宋体" w:hAnsi="宋体"/>
          <w:color w:val="auto"/>
          <w:szCs w:val="21"/>
          <w:highlight w:val="none"/>
          <w:lang w:eastAsia="zh-CN"/>
        </w:rPr>
        <w:t>.</w:t>
      </w:r>
      <w:r>
        <w:rPr>
          <w:rFonts w:hint="eastAsia" w:ascii="宋体" w:hAnsi="宋体"/>
          <w:color w:val="auto"/>
          <w:szCs w:val="21"/>
          <w:highlight w:val="none"/>
        </w:rPr>
        <w:t>首次响应文件提交截止时间</w:t>
      </w:r>
      <w:r>
        <w:rPr>
          <w:rFonts w:hint="eastAsia" w:ascii="宋体" w:hAnsi="宋体"/>
          <w:bCs/>
          <w:color w:val="auto"/>
          <w:szCs w:val="21"/>
          <w:highlight w:val="none"/>
        </w:rPr>
        <w:t>（北京时间）：</w:t>
      </w:r>
      <w:bookmarkStart w:id="21" w:name="PO_3000001868_PM015"/>
      <w:r>
        <w:rPr>
          <w:rFonts w:hint="eastAsia" w:ascii="宋体" w:hAnsi="宋体" w:eastAsia="宋体" w:cs="Times New Roman"/>
          <w:color w:val="0000FF"/>
          <w:szCs w:val="21"/>
          <w:highlight w:val="none"/>
          <w:u w:val="single"/>
          <w:lang w:eastAsia="zh-CN"/>
        </w:rPr>
        <w:t>202</w:t>
      </w:r>
      <w:r>
        <w:rPr>
          <w:rFonts w:hint="eastAsia" w:ascii="宋体" w:hAnsi="宋体" w:eastAsia="宋体" w:cs="Times New Roman"/>
          <w:color w:val="0000FF"/>
          <w:szCs w:val="21"/>
          <w:highlight w:val="none"/>
          <w:u w:val="single"/>
          <w:lang w:val="en-US" w:eastAsia="zh-CN"/>
        </w:rPr>
        <w:t>6</w:t>
      </w:r>
      <w:r>
        <w:rPr>
          <w:rFonts w:hint="eastAsia" w:ascii="宋体" w:hAnsi="宋体" w:eastAsia="宋体" w:cs="Times New Roman"/>
          <w:color w:val="0000FF"/>
          <w:szCs w:val="21"/>
          <w:highlight w:val="none"/>
          <w:u w:val="single"/>
          <w:lang w:eastAsia="zh-CN"/>
        </w:rPr>
        <w:t>年</w:t>
      </w:r>
      <w:r>
        <w:rPr>
          <w:rFonts w:hint="eastAsia" w:ascii="宋体" w:hAnsi="宋体" w:cs="Times New Roman"/>
          <w:color w:val="0000FF"/>
          <w:szCs w:val="21"/>
          <w:highlight w:val="none"/>
          <w:u w:val="single"/>
          <w:lang w:val="en-US" w:eastAsia="zh-CN"/>
        </w:rPr>
        <w:t>09</w:t>
      </w:r>
      <w:r>
        <w:rPr>
          <w:rFonts w:hint="eastAsia" w:ascii="宋体" w:hAnsi="宋体" w:eastAsia="宋体" w:cs="Times New Roman"/>
          <w:color w:val="0000FF"/>
          <w:szCs w:val="21"/>
          <w:highlight w:val="none"/>
          <w:u w:val="single"/>
          <w:lang w:eastAsia="zh-CN"/>
        </w:rPr>
        <w:t>月</w:t>
      </w:r>
      <w:r>
        <w:rPr>
          <w:rFonts w:hint="eastAsia" w:ascii="宋体" w:hAnsi="宋体" w:cs="Times New Roman"/>
          <w:color w:val="0000FF"/>
          <w:szCs w:val="21"/>
          <w:highlight w:val="none"/>
          <w:u w:val="single"/>
          <w:lang w:val="en-US" w:eastAsia="zh-CN"/>
        </w:rPr>
        <w:t>14</w:t>
      </w:r>
      <w:r>
        <w:rPr>
          <w:rFonts w:hint="eastAsia" w:ascii="宋体" w:hAnsi="宋体" w:eastAsia="宋体" w:cs="Times New Roman"/>
          <w:color w:val="0000FF"/>
          <w:szCs w:val="21"/>
          <w:highlight w:val="none"/>
          <w:u w:val="single"/>
          <w:lang w:eastAsia="zh-CN"/>
        </w:rPr>
        <w:t>日09:30:00</w:t>
      </w:r>
      <w:bookmarkEnd w:id="21"/>
      <w:r>
        <w:rPr>
          <w:rFonts w:hint="eastAsia" w:ascii="宋体" w:hAnsi="宋体" w:cs="宋体"/>
          <w:color w:val="auto"/>
          <w:szCs w:val="21"/>
          <w:highlight w:val="none"/>
          <w:u w:val="single"/>
        </w:rPr>
        <w:t>（从磋商文件开始发出之日起至供应商提交首次响应文件截止之日止不得少于10日）</w:t>
      </w:r>
    </w:p>
    <w:p w14:paraId="5D8B163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w:t>
      </w:r>
      <w:r>
        <w:rPr>
          <w:rFonts w:hint="eastAsia" w:ascii="宋体" w:hAnsi="宋体"/>
          <w:color w:val="auto"/>
          <w:szCs w:val="21"/>
          <w:highlight w:val="none"/>
        </w:rPr>
        <w:t>首次响应文件提交地点：</w:t>
      </w:r>
    </w:p>
    <w:p w14:paraId="5DBE28F7">
      <w:pPr>
        <w:widowControl/>
        <w:spacing w:line="360" w:lineRule="auto"/>
        <w:ind w:firstLine="420" w:firstLineChars="200"/>
        <w:jc w:val="both"/>
        <w:rPr>
          <w:rFonts w:ascii="宋体" w:hAnsi="宋体"/>
          <w:color w:val="auto"/>
          <w:szCs w:val="21"/>
          <w:highlight w:val="none"/>
        </w:rPr>
      </w:pPr>
      <w:r>
        <w:rPr>
          <w:rFonts w:hint="eastAsia" w:ascii="宋体" w:hAnsi="宋体"/>
          <w:color w:val="auto"/>
          <w:szCs w:val="21"/>
          <w:highlight w:val="none"/>
        </w:rPr>
        <w:t>（1）响应文件提交方式：</w:t>
      </w:r>
      <w:r>
        <w:rPr>
          <w:rFonts w:hint="eastAsia" w:ascii="宋体" w:hAnsi="宋体" w:eastAsia="宋体" w:cs="Times New Roman"/>
          <w:color w:val="auto"/>
          <w:szCs w:val="21"/>
          <w:highlight w:val="none"/>
        </w:rPr>
        <w:t>本项目为南宁市全流程电子化项目，通过“广西政府采购云平台”（https://www.gcy.zfcg.gxzf.gov.cn）实行在线电子响应，供应商应先安装“广西政府采购云平台新版客户端”（</w:t>
      </w:r>
      <w:r>
        <w:rPr>
          <w:rFonts w:hint="eastAsia" w:ascii="宋体" w:hAnsi="宋体"/>
          <w:color w:val="auto"/>
          <w:szCs w:val="21"/>
          <w:highlight w:val="none"/>
        </w:rPr>
        <w:t>（请自行前往“</w:t>
      </w:r>
      <w:r>
        <w:rPr>
          <w:rFonts w:hint="eastAsia" w:ascii="宋体" w:hAnsi="宋体"/>
          <w:color w:val="auto"/>
          <w:szCs w:val="21"/>
          <w:highlight w:val="none"/>
          <w:lang w:eastAsia="zh-CN"/>
        </w:rPr>
        <w:t>广西政府采购</w:t>
      </w:r>
      <w:r>
        <w:rPr>
          <w:rFonts w:hint="eastAsia" w:ascii="宋体" w:hAnsi="宋体"/>
          <w:color w:val="auto"/>
          <w:szCs w:val="21"/>
          <w:highlight w:val="none"/>
        </w:rPr>
        <w:t>云”平台进行下载）</w:t>
      </w:r>
      <w:r>
        <w:rPr>
          <w:rFonts w:hint="eastAsia" w:ascii="宋体" w:hAnsi="宋体" w:eastAsia="宋体" w:cs="Times New Roman"/>
          <w:color w:val="auto"/>
          <w:szCs w:val="21"/>
          <w:highlight w:val="none"/>
        </w:rPr>
        <w:t>），并按照本项目采购文件和“广西政府采购云平台”的要求编制、加密后在投标截止时间前通过网络上传至“广西政府采购云平台”，供应商在“广西政府采购云平台”提交电子版响应文件时，请填写参加远程采购活动经办人联系方式，电子响应文件具体操作流程详见本公告附件2</w:t>
      </w:r>
      <w:r>
        <w:rPr>
          <w:rFonts w:hint="eastAsia" w:ascii="宋体" w:hAnsi="宋体"/>
          <w:color w:val="auto"/>
          <w:szCs w:val="21"/>
          <w:highlight w:val="none"/>
        </w:rPr>
        <w:t>。</w:t>
      </w:r>
    </w:p>
    <w:p w14:paraId="491ACD92">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w:t>
      </w:r>
      <w:r>
        <w:rPr>
          <w:rFonts w:hint="eastAsia" w:ascii="宋体" w:hAnsi="宋体" w:cs="宋体"/>
          <w:color w:val="auto"/>
          <w:szCs w:val="21"/>
          <w:highlight w:val="none"/>
        </w:rPr>
        <w:t>供应商只需办理其中一家</w:t>
      </w:r>
      <w:r>
        <w:rPr>
          <w:rFonts w:ascii="宋体" w:hAnsi="宋体" w:cs="宋体"/>
          <w:color w:val="auto"/>
          <w:szCs w:val="21"/>
          <w:highlight w:val="none"/>
        </w:rPr>
        <w:t>CA数字证书及签章</w:t>
      </w:r>
      <w:r>
        <w:rPr>
          <w:rFonts w:hint="eastAsia" w:ascii="宋体" w:hAnsi="宋体"/>
          <w:color w:val="auto"/>
          <w:szCs w:val="21"/>
          <w:highlight w:val="none"/>
        </w:rPr>
        <w:t>。</w:t>
      </w:r>
    </w:p>
    <w:p w14:paraId="10958CFA">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数字证书并使用有效的CA数字证书参与整个采购活动。</w:t>
      </w:r>
    </w:p>
    <w:p w14:paraId="04E2DFEA">
      <w:pPr>
        <w:spacing w:line="360" w:lineRule="auto"/>
        <w:ind w:firstLine="420" w:firstLineChars="200"/>
        <w:rPr>
          <w:rFonts w:hint="eastAsia" w:ascii="宋体" w:hAnsi="宋体"/>
          <w:bCs/>
          <w:color w:val="auto"/>
          <w:szCs w:val="21"/>
          <w:highlight w:val="none"/>
          <w:u w:val="single"/>
        </w:rPr>
      </w:pPr>
      <w:r>
        <w:rPr>
          <w:rFonts w:hint="eastAsia" w:ascii="宋体" w:hAnsi="宋体" w:eastAsia="宋体" w:cs="Times New Roman"/>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w:t>
      </w:r>
      <w:r>
        <w:rPr>
          <w:rFonts w:hint="eastAsia" w:ascii="宋体" w:hAnsi="宋体"/>
          <w:bCs/>
          <w:color w:val="auto"/>
          <w:szCs w:val="21"/>
          <w:highlight w:val="none"/>
          <w:u w:val="single"/>
        </w:rPr>
        <w:t>予以拒收。</w:t>
      </w:r>
    </w:p>
    <w:p w14:paraId="78F64E4B">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CA证书在线解密：首次响应文件开启时，须要供应商携带制作响应文件时用来加密的有效数字证书（CA认证）登录“</w:t>
      </w:r>
      <w:r>
        <w:rPr>
          <w:rFonts w:hint="eastAsia" w:ascii="宋体" w:hAnsi="宋体" w:eastAsia="宋体" w:cs="Times New Roman"/>
          <w:color w:val="auto"/>
          <w:szCs w:val="21"/>
          <w:highlight w:val="none"/>
        </w:rPr>
        <w:t>广西政府采购云平台</w:t>
      </w:r>
      <w:r>
        <w:rPr>
          <w:rFonts w:hint="eastAsia" w:ascii="宋体" w:hAnsi="宋体" w:cs="宋体"/>
          <w:color w:val="auto"/>
          <w:kern w:val="0"/>
          <w:szCs w:val="21"/>
          <w:highlight w:val="none"/>
        </w:rPr>
        <w:t>”平台电子开标大厅现场按规定时间对加密的响应文件进行解</w:t>
      </w:r>
      <w:r>
        <w:rPr>
          <w:rFonts w:hint="eastAsia" w:ascii="宋体" w:hAnsi="宋体" w:eastAsia="宋体" w:cs="宋体"/>
          <w:color w:val="auto"/>
          <w:kern w:val="0"/>
          <w:szCs w:val="21"/>
          <w:highlight w:val="none"/>
        </w:rPr>
        <w:t>密，未能按要求进行解密的，由此产生的后果由投标人自行承担。</w:t>
      </w:r>
    </w:p>
    <w:p w14:paraId="04F26348">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供应商需要在具备摄像头及语音功能且互联网网络状况良好的电脑登录“</w:t>
      </w:r>
      <w:r>
        <w:rPr>
          <w:rFonts w:hint="eastAsia" w:ascii="宋体" w:hAnsi="宋体" w:eastAsia="宋体" w:cs="Times New Roman"/>
          <w:color w:val="auto"/>
          <w:szCs w:val="21"/>
          <w:highlight w:val="none"/>
        </w:rPr>
        <w:t>广西政府采购云平台</w:t>
      </w:r>
      <w:r>
        <w:rPr>
          <w:rFonts w:hint="eastAsia" w:ascii="宋体" w:hAnsi="宋体" w:cs="宋体"/>
          <w:color w:val="auto"/>
          <w:kern w:val="0"/>
          <w:szCs w:val="21"/>
          <w:highlight w:val="none"/>
        </w:rPr>
        <w:t>”平台远程开标大厅参与本次磋商，否则后果自负。</w:t>
      </w:r>
    </w:p>
    <w:p w14:paraId="33E51360">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5D1D4FFD">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hint="eastAsia" w:ascii="宋体" w:hAnsi="宋体"/>
          <w:color w:val="auto"/>
          <w:szCs w:val="21"/>
          <w:highlight w:val="none"/>
          <w:lang w:eastAsia="zh-CN"/>
        </w:rPr>
        <w:t>.</w:t>
      </w:r>
      <w:r>
        <w:rPr>
          <w:rFonts w:hint="eastAsia" w:ascii="宋体" w:hAnsi="宋体"/>
          <w:color w:val="auto"/>
          <w:szCs w:val="21"/>
          <w:highlight w:val="none"/>
        </w:rPr>
        <w:t>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eastAsia="宋体" w:cs="Times New Roman"/>
          <w:color w:val="0000FF"/>
          <w:szCs w:val="21"/>
          <w:highlight w:val="none"/>
          <w:u w:val="single"/>
          <w:lang w:eastAsia="zh-CN"/>
        </w:rPr>
        <w:t>202</w:t>
      </w:r>
      <w:r>
        <w:rPr>
          <w:rFonts w:hint="eastAsia" w:ascii="宋体" w:hAnsi="宋体" w:eastAsia="宋体" w:cs="Times New Roman"/>
          <w:color w:val="0000FF"/>
          <w:szCs w:val="21"/>
          <w:highlight w:val="none"/>
          <w:u w:val="single"/>
          <w:lang w:val="en-US" w:eastAsia="zh-CN"/>
        </w:rPr>
        <w:t>6</w:t>
      </w:r>
      <w:r>
        <w:rPr>
          <w:rFonts w:hint="eastAsia" w:ascii="宋体" w:hAnsi="宋体" w:eastAsia="宋体" w:cs="Times New Roman"/>
          <w:color w:val="0000FF"/>
          <w:szCs w:val="21"/>
          <w:highlight w:val="none"/>
          <w:u w:val="single"/>
          <w:lang w:eastAsia="zh-CN"/>
        </w:rPr>
        <w:t>年</w:t>
      </w:r>
      <w:r>
        <w:rPr>
          <w:rFonts w:hint="eastAsia" w:ascii="宋体" w:hAnsi="宋体" w:cs="Times New Roman"/>
          <w:color w:val="0000FF"/>
          <w:szCs w:val="21"/>
          <w:highlight w:val="none"/>
          <w:u w:val="single"/>
          <w:lang w:val="en-US" w:eastAsia="zh-CN"/>
        </w:rPr>
        <w:t>09</w:t>
      </w:r>
      <w:r>
        <w:rPr>
          <w:rFonts w:hint="eastAsia" w:ascii="宋体" w:hAnsi="宋体" w:eastAsia="宋体" w:cs="Times New Roman"/>
          <w:color w:val="0000FF"/>
          <w:szCs w:val="21"/>
          <w:highlight w:val="none"/>
          <w:u w:val="single"/>
          <w:lang w:eastAsia="zh-CN"/>
        </w:rPr>
        <w:t>月</w:t>
      </w:r>
      <w:r>
        <w:rPr>
          <w:rFonts w:hint="eastAsia" w:ascii="宋体" w:hAnsi="宋体" w:cs="Times New Roman"/>
          <w:color w:val="0000FF"/>
          <w:szCs w:val="21"/>
          <w:highlight w:val="none"/>
          <w:u w:val="single"/>
          <w:lang w:val="en-US" w:eastAsia="zh-CN"/>
        </w:rPr>
        <w:t>14</w:t>
      </w:r>
      <w:r>
        <w:rPr>
          <w:rFonts w:hint="eastAsia" w:ascii="宋体" w:hAnsi="宋体" w:eastAsia="宋体" w:cs="Times New Roman"/>
          <w:color w:val="0000FF"/>
          <w:szCs w:val="21"/>
          <w:highlight w:val="none"/>
          <w:u w:val="single"/>
          <w:lang w:eastAsia="zh-CN"/>
        </w:rPr>
        <w:t>日</w:t>
      </w:r>
      <w:r>
        <w:rPr>
          <w:rFonts w:hint="eastAsia" w:ascii="宋体" w:hAnsi="宋体"/>
          <w:bCs/>
          <w:color w:val="0000FF"/>
          <w:szCs w:val="21"/>
          <w:highlight w:val="none"/>
          <w:u w:val="single"/>
        </w:rPr>
        <w:t>09:30</w:t>
      </w:r>
      <w:r>
        <w:rPr>
          <w:rFonts w:hint="eastAsia" w:ascii="宋体" w:hAnsi="宋体"/>
          <w:bCs/>
          <w:color w:val="0000FF"/>
          <w:szCs w:val="21"/>
          <w:highlight w:val="none"/>
          <w:u w:val="single"/>
          <w:lang w:val="en-US" w:eastAsia="zh-CN"/>
        </w:rPr>
        <w:t xml:space="preserve"> </w:t>
      </w:r>
      <w:r>
        <w:rPr>
          <w:rFonts w:hint="eastAsia" w:ascii="宋体" w:hAnsi="宋体"/>
          <w:color w:val="auto"/>
          <w:szCs w:val="21"/>
          <w:highlight w:val="none"/>
        </w:rPr>
        <w:t>后</w:t>
      </w:r>
    </w:p>
    <w:p w14:paraId="0C4A7609">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hint="eastAsia" w:ascii="宋体" w:hAnsi="宋体"/>
          <w:color w:val="auto"/>
          <w:szCs w:val="21"/>
          <w:highlight w:val="none"/>
          <w:lang w:eastAsia="zh-CN"/>
        </w:rPr>
        <w:t>.</w:t>
      </w:r>
      <w:r>
        <w:rPr>
          <w:rFonts w:hint="eastAsia" w:ascii="宋体" w:hAnsi="宋体"/>
          <w:color w:val="auto"/>
          <w:szCs w:val="21"/>
          <w:highlight w:val="none"/>
        </w:rPr>
        <w:t>地点：</w:t>
      </w:r>
      <w:r>
        <w:rPr>
          <w:rFonts w:hint="eastAsia" w:ascii="宋体" w:hAnsi="宋体" w:eastAsia="宋体" w:cs="Times New Roman"/>
          <w:color w:val="auto"/>
          <w:szCs w:val="21"/>
          <w:highlight w:val="none"/>
          <w:u w:val="single"/>
        </w:rPr>
        <w:t>广西政府采购云平台远程开标大厅</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2D7E8013">
      <w:pPr>
        <w:spacing w:line="360" w:lineRule="auto"/>
        <w:ind w:firstLine="482" w:firstLineChars="200"/>
        <w:rPr>
          <w:rFonts w:ascii="黑体" w:hAnsi="黑体" w:eastAsia="黑体"/>
          <w:b/>
          <w:bCs/>
          <w:color w:val="auto"/>
          <w:sz w:val="24"/>
          <w:highlight w:val="none"/>
        </w:rPr>
      </w:pPr>
      <w:bookmarkStart w:id="22" w:name="_Toc35393794"/>
      <w:bookmarkStart w:id="23" w:name="_Toc28359084"/>
      <w:bookmarkStart w:id="24" w:name="_Toc35393625"/>
      <w:bookmarkStart w:id="25" w:name="_Toc28359007"/>
      <w:r>
        <w:rPr>
          <w:rFonts w:hint="eastAsia" w:ascii="黑体" w:hAnsi="黑体" w:eastAsia="黑体"/>
          <w:b/>
          <w:bCs/>
          <w:color w:val="auto"/>
          <w:sz w:val="24"/>
          <w:highlight w:val="none"/>
        </w:rPr>
        <w:t>六、公告期限</w:t>
      </w:r>
      <w:bookmarkEnd w:id="22"/>
      <w:bookmarkEnd w:id="23"/>
      <w:bookmarkEnd w:id="24"/>
      <w:bookmarkEnd w:id="25"/>
    </w:p>
    <w:p w14:paraId="172FD78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5FA70025">
      <w:pPr>
        <w:spacing w:line="360" w:lineRule="auto"/>
        <w:ind w:firstLine="482" w:firstLineChars="200"/>
        <w:rPr>
          <w:rFonts w:ascii="黑体" w:hAnsi="黑体" w:eastAsia="黑体"/>
          <w:b/>
          <w:bCs/>
          <w:color w:val="auto"/>
          <w:sz w:val="24"/>
          <w:highlight w:val="none"/>
        </w:rPr>
      </w:pPr>
      <w:bookmarkStart w:id="26" w:name="_Toc35393795"/>
      <w:bookmarkStart w:id="27" w:name="_Toc35393626"/>
      <w:r>
        <w:rPr>
          <w:rFonts w:hint="eastAsia" w:ascii="黑体" w:hAnsi="黑体" w:eastAsia="黑体"/>
          <w:b/>
          <w:bCs/>
          <w:color w:val="auto"/>
          <w:sz w:val="24"/>
          <w:highlight w:val="none"/>
        </w:rPr>
        <w:t>七、其他补充事宜</w:t>
      </w:r>
      <w:bookmarkEnd w:id="26"/>
      <w:bookmarkEnd w:id="27"/>
    </w:p>
    <w:p w14:paraId="79C3C119">
      <w:pPr>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（一）磋商保证金：本项目不收取磋商保证金</w:t>
      </w:r>
    </w:p>
    <w:p w14:paraId="58E2B9BE">
      <w:pPr>
        <w:spacing w:line="360" w:lineRule="auto"/>
        <w:ind w:left="420" w:leftChars="200" w:firstLine="0" w:firstLineChars="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（二）采购意向公开链接：https://zfcg.gxzf.gov.cn/site/detail?parentId=66485&amp;articleId=3Wup2jdQI1ukRwzBK4GGsQ==</w:t>
      </w:r>
    </w:p>
    <w:p w14:paraId="36BA4D38">
      <w:pPr>
        <w:spacing w:line="360" w:lineRule="auto"/>
        <w:ind w:firstLine="420" w:firstLineChars="200"/>
        <w:rPr>
          <w:rFonts w:ascii="宋体" w:hAnsi="宋体" w:cs="宋体"/>
          <w:color w:val="auto"/>
          <w:kern w:val="0"/>
          <w:szCs w:val="21"/>
          <w:highlight w:val="none"/>
        </w:rPr>
      </w:pPr>
      <w:bookmarkStart w:id="28" w:name="_Hlk37429595"/>
      <w:bookmarkStart w:id="29" w:name="_Hlk37429585"/>
      <w:r>
        <w:rPr>
          <w:rFonts w:hint="eastAsia" w:ascii="宋体" w:hAnsi="宋体" w:cs="宋体"/>
          <w:color w:val="auto"/>
          <w:kern w:val="0"/>
          <w:szCs w:val="21"/>
          <w:highlight w:val="none"/>
        </w:rPr>
        <w:t>（三）网上查询地址</w:t>
      </w:r>
    </w:p>
    <w:bookmarkEnd w:id="28"/>
    <w:bookmarkEnd w:id="29"/>
    <w:p w14:paraId="166C162D">
      <w:pPr>
        <w:spacing w:line="360" w:lineRule="auto"/>
        <w:ind w:firstLine="420" w:firstLineChars="200"/>
        <w:rPr>
          <w:rFonts w:hint="eastAsia" w:ascii="宋体" w:hAnsi="宋体" w:cs="宋体"/>
          <w:color w:val="auto"/>
          <w:kern w:val="0"/>
          <w:szCs w:val="21"/>
          <w:highlight w:val="none"/>
        </w:rPr>
      </w:pPr>
      <w:bookmarkStart w:id="30" w:name="_Hlk37429674"/>
      <w:r>
        <w:rPr>
          <w:rFonts w:hint="eastAsia" w:ascii="宋体" w:hAnsi="宋体" w:cs="宋体"/>
          <w:color w:val="auto"/>
          <w:kern w:val="0"/>
          <w:szCs w:val="21"/>
          <w:highlight w:val="none"/>
        </w:rPr>
        <w:t>www.ccgp.gov.cn(中国政府采购网)、http://zfcg.gxzf.gov.cn (广西政府采购网) 、</w:t>
      </w:r>
      <w:r>
        <w:rPr>
          <w:rFonts w:hint="eastAsia" w:ascii="宋体" w:hAnsi="宋体" w:eastAsia="宋体" w:cs="宋体"/>
          <w:color w:val="auto"/>
          <w:spacing w:val="-6"/>
          <w:kern w:val="0"/>
          <w:szCs w:val="21"/>
          <w:highlight w:val="none"/>
        </w:rPr>
        <w:t xml:space="preserve"> http:/</w:t>
      </w:r>
      <w:r>
        <w:rPr>
          <w:rFonts w:hint="eastAsia" w:ascii="宋体" w:hAnsi="宋体" w:eastAsia="宋体" w:cs="宋体"/>
          <w:color w:val="auto"/>
          <w:kern w:val="0"/>
          <w:szCs w:val="21"/>
          <w:highlight w:val="none"/>
        </w:rPr>
        <w:t>/ggzy.jgswj.gxzf.gov.cn/nnggzy/ (全国公共资源交易平台</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广西南宁</w:t>
      </w: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rPr>
        <w:t>；</w:t>
      </w:r>
    </w:p>
    <w:p w14:paraId="3D32943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（四）本项目需要落实的政府采购政策 </w:t>
      </w:r>
    </w:p>
    <w:p w14:paraId="363CC39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5D2B35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03DD8B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6DE15C6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7FCD49E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bookmarkEnd w:id="30"/>
    </w:p>
    <w:p w14:paraId="6B4015A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color w:val="auto"/>
          <w:highlight w:val="none"/>
        </w:rPr>
        <w:t>扶持不发达地区和少数民族地区政策</w:t>
      </w:r>
    </w:p>
    <w:p w14:paraId="156F2D8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五）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26CBCE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（六）若对项目采购电子交易系统操作有疑问，可登录“</w:t>
      </w:r>
      <w:r>
        <w:rPr>
          <w:rFonts w:hint="eastAsia" w:ascii="宋体" w:hAnsi="宋体" w:eastAsia="宋体" w:cs="宋体"/>
          <w:color w:val="auto"/>
          <w:kern w:val="0"/>
          <w:szCs w:val="21"/>
          <w:highlight w:val="none"/>
        </w:rPr>
        <w:t>广西政府采购云平台</w:t>
      </w:r>
      <w:r>
        <w:rPr>
          <w:rFonts w:hint="eastAsia" w:ascii="宋体" w:hAnsi="宋体" w:cs="宋体"/>
          <w:color w:val="auto"/>
          <w:kern w:val="0"/>
          <w:szCs w:val="21"/>
          <w:highlight w:val="none"/>
        </w:rPr>
        <w:t>”平台（</w:t>
      </w:r>
      <w:r>
        <w:rPr>
          <w:rFonts w:hint="eastAsia" w:ascii="宋体" w:hAnsi="宋体" w:eastAsia="宋体" w:cs="宋体"/>
          <w:color w:val="auto"/>
          <w:kern w:val="0"/>
          <w:szCs w:val="21"/>
          <w:highlight w:val="none"/>
        </w:rPr>
        <w:t>https://www.gcy.zfcg.gxzf.gov.cn</w:t>
      </w:r>
      <w:r>
        <w:rPr>
          <w:rFonts w:hint="eastAsia" w:ascii="宋体" w:hAnsi="宋体" w:cs="宋体"/>
          <w:color w:val="auto"/>
          <w:kern w:val="0"/>
          <w:szCs w:val="21"/>
          <w:highlight w:val="none"/>
        </w:rPr>
        <w:t>），点击右侧咨询小采，获取采小蜜智能服务管家帮助，</w:t>
      </w:r>
      <w:r>
        <w:rPr>
          <w:rFonts w:hint="eastAsia" w:ascii="宋体" w:hAnsi="宋体" w:eastAsia="宋体" w:cs="宋体"/>
          <w:color w:val="auto"/>
          <w:kern w:val="0"/>
          <w:szCs w:val="21"/>
          <w:highlight w:val="none"/>
        </w:rPr>
        <w:t>或拨打广西政府采购云平台服务热线95763获取热线服务帮助</w:t>
      </w:r>
      <w:r>
        <w:rPr>
          <w:rFonts w:hint="eastAsia" w:ascii="宋体" w:hAnsi="宋体" w:cs="宋体"/>
          <w:color w:val="auto"/>
          <w:kern w:val="0"/>
          <w:szCs w:val="21"/>
          <w:highlight w:val="none"/>
        </w:rPr>
        <w:t xml:space="preserve">。 </w:t>
      </w:r>
    </w:p>
    <w:p w14:paraId="531D9781">
      <w:pPr>
        <w:spacing w:line="360" w:lineRule="auto"/>
        <w:ind w:firstLine="482" w:firstLineChars="200"/>
        <w:rPr>
          <w:rFonts w:hint="eastAsia"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w:t>
      </w:r>
      <w:r>
        <w:rPr>
          <w:rFonts w:ascii="黑体" w:hAnsi="黑体" w:eastAsia="黑体" w:cs="宋体"/>
          <w:b/>
          <w:color w:val="auto"/>
          <w:kern w:val="44"/>
          <w:sz w:val="24"/>
          <w:highlight w:val="none"/>
        </w:rPr>
        <w:t>以下方式</w:t>
      </w:r>
      <w:r>
        <w:rPr>
          <w:rFonts w:hint="eastAsia" w:ascii="黑体" w:hAnsi="黑体" w:eastAsia="黑体" w:cs="宋体"/>
          <w:b/>
          <w:color w:val="auto"/>
          <w:kern w:val="44"/>
          <w:sz w:val="24"/>
          <w:highlight w:val="none"/>
        </w:rPr>
        <w:t>联系</w:t>
      </w:r>
    </w:p>
    <w:p w14:paraId="3D866025">
      <w:pPr>
        <w:keepNext w:val="0"/>
        <w:keepLines w:val="0"/>
        <w:pageBreakBefore w:val="0"/>
        <w:widowControl w:val="0"/>
        <w:kinsoku/>
        <w:wordWrap/>
        <w:overflowPunct/>
        <w:topLinePunct w:val="0"/>
        <w:autoSpaceDE/>
        <w:autoSpaceDN/>
        <w:bidi w:val="0"/>
        <w:adjustRightInd/>
        <w:snapToGrid/>
        <w:spacing w:line="440" w:lineRule="atLeast"/>
        <w:ind w:firstLine="735" w:firstLineChars="350"/>
        <w:jc w:val="left"/>
        <w:textAlignment w:val="auto"/>
        <w:rPr>
          <w:rFonts w:ascii="宋体" w:hAnsi="宋体"/>
          <w:color w:val="auto"/>
          <w:szCs w:val="21"/>
          <w:highlight w:val="none"/>
        </w:rPr>
      </w:pPr>
      <w:r>
        <w:rPr>
          <w:rFonts w:hint="eastAsia" w:ascii="宋体" w:hAnsi="宋体" w:cs="宋体"/>
          <w:color w:val="auto"/>
          <w:szCs w:val="21"/>
          <w:highlight w:val="none"/>
        </w:rPr>
        <w:t>1.采购人信息</w:t>
      </w:r>
    </w:p>
    <w:p w14:paraId="332BE4F3">
      <w:pPr>
        <w:keepNext w:val="0"/>
        <w:keepLines w:val="0"/>
        <w:pageBreakBefore w:val="0"/>
        <w:widowControl w:val="0"/>
        <w:kinsoku/>
        <w:wordWrap/>
        <w:overflowPunct/>
        <w:topLinePunct w:val="0"/>
        <w:autoSpaceDE/>
        <w:autoSpaceDN/>
        <w:bidi w:val="0"/>
        <w:adjustRightInd/>
        <w:snapToGrid/>
        <w:spacing w:line="440" w:lineRule="atLeast"/>
        <w:ind w:left="1041" w:leftChars="371" w:hanging="262" w:hangingChars="125"/>
        <w:jc w:val="left"/>
        <w:textAlignment w:val="auto"/>
        <w:rPr>
          <w:rFonts w:hint="eastAsia" w:ascii="宋体" w:hAnsi="宋体" w:eastAsia="宋体"/>
          <w:color w:val="auto"/>
          <w:szCs w:val="21"/>
          <w:highlight w:val="none"/>
          <w:u w:val="single"/>
          <w:lang w:eastAsia="zh-CN"/>
        </w:rPr>
      </w:pPr>
      <w:r>
        <w:rPr>
          <w:rFonts w:hint="eastAsia" w:ascii="宋体" w:hAnsi="宋体"/>
          <w:color w:val="auto"/>
          <w:szCs w:val="21"/>
          <w:highlight w:val="none"/>
        </w:rPr>
        <w:t>名 称：</w:t>
      </w:r>
      <w:r>
        <w:rPr>
          <w:rFonts w:hint="eastAsia" w:ascii="宋体" w:hAnsi="宋体"/>
          <w:color w:val="auto"/>
          <w:szCs w:val="21"/>
          <w:highlight w:val="none"/>
          <w:u w:val="single"/>
          <w:lang w:eastAsia="zh-CN"/>
        </w:rPr>
        <w:t>南宁市武鸣区人力资源和社会保障局</w:t>
      </w:r>
    </w:p>
    <w:p w14:paraId="17F1A81A">
      <w:pPr>
        <w:keepNext w:val="0"/>
        <w:keepLines w:val="0"/>
        <w:pageBreakBefore w:val="0"/>
        <w:widowControl w:val="0"/>
        <w:kinsoku/>
        <w:wordWrap/>
        <w:overflowPunct/>
        <w:topLinePunct w:val="0"/>
        <w:autoSpaceDE/>
        <w:autoSpaceDN/>
        <w:bidi w:val="0"/>
        <w:adjustRightInd/>
        <w:snapToGrid/>
        <w:spacing w:line="440" w:lineRule="atLeast"/>
        <w:ind w:left="1041" w:leftChars="371" w:hanging="262" w:hangingChars="125"/>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u w:val="single"/>
          <w:lang w:eastAsia="zh-CN"/>
        </w:rPr>
        <w:t>南宁市武鸣区新城路49号</w:t>
      </w:r>
    </w:p>
    <w:p w14:paraId="09865140">
      <w:pPr>
        <w:keepNext w:val="0"/>
        <w:keepLines w:val="0"/>
        <w:pageBreakBefore w:val="0"/>
        <w:widowControl w:val="0"/>
        <w:kinsoku/>
        <w:wordWrap/>
        <w:overflowPunct/>
        <w:topLinePunct w:val="0"/>
        <w:autoSpaceDE/>
        <w:autoSpaceDN/>
        <w:bidi w:val="0"/>
        <w:adjustRightInd/>
        <w:snapToGrid/>
        <w:spacing w:line="440" w:lineRule="atLeast"/>
        <w:ind w:left="1041" w:leftChars="371" w:hanging="262" w:hangingChars="125"/>
        <w:jc w:val="left"/>
        <w:textAlignment w:val="auto"/>
        <w:rPr>
          <w:rFonts w:hint="eastAsia" w:ascii="宋体" w:hAnsi="宋体" w:eastAsia="宋体" w:cs="Times New Roman"/>
          <w:color w:val="auto"/>
          <w:szCs w:val="21"/>
          <w:highlight w:val="none"/>
          <w:u w:val="single"/>
          <w:lang w:val="en-US" w:eastAsia="zh-CN"/>
        </w:rPr>
      </w:pPr>
      <w:r>
        <w:rPr>
          <w:rFonts w:hint="eastAsia" w:ascii="宋体" w:hAnsi="宋体"/>
          <w:color w:val="auto"/>
          <w:szCs w:val="21"/>
          <w:highlight w:val="none"/>
        </w:rPr>
        <w:t>项目联系人：</w:t>
      </w:r>
      <w:r>
        <w:rPr>
          <w:rFonts w:hint="eastAsia" w:ascii="宋体" w:hAnsi="宋体" w:eastAsia="宋体" w:cs="Times New Roman"/>
          <w:color w:val="auto"/>
          <w:szCs w:val="21"/>
          <w:highlight w:val="none"/>
          <w:u w:val="single"/>
          <w:lang w:eastAsia="zh-CN"/>
        </w:rPr>
        <w:t>罗赟琪</w:t>
      </w:r>
    </w:p>
    <w:p w14:paraId="02E520B9">
      <w:pPr>
        <w:keepNext w:val="0"/>
        <w:keepLines w:val="0"/>
        <w:pageBreakBefore w:val="0"/>
        <w:widowControl w:val="0"/>
        <w:kinsoku/>
        <w:wordWrap/>
        <w:overflowPunct/>
        <w:topLinePunct w:val="0"/>
        <w:autoSpaceDE/>
        <w:autoSpaceDN/>
        <w:bidi w:val="0"/>
        <w:adjustRightInd/>
        <w:snapToGrid/>
        <w:spacing w:line="440" w:lineRule="atLeast"/>
        <w:ind w:left="1041" w:leftChars="371" w:hanging="262" w:hangingChars="125"/>
        <w:jc w:val="left"/>
        <w:textAlignment w:val="auto"/>
        <w:rPr>
          <w:rFonts w:hint="eastAsia" w:ascii="宋体" w:hAnsi="宋体"/>
          <w:color w:val="auto"/>
          <w:szCs w:val="21"/>
          <w:highlight w:val="none"/>
          <w:u w:val="single"/>
          <w:lang w:val="en-US" w:eastAsia="zh-CN"/>
        </w:rPr>
      </w:pPr>
      <w:r>
        <w:rPr>
          <w:rFonts w:hint="eastAsia" w:ascii="宋体" w:hAnsi="宋体"/>
          <w:color w:val="auto"/>
          <w:szCs w:val="21"/>
          <w:highlight w:val="none"/>
        </w:rPr>
        <w:t>联系电话：</w:t>
      </w:r>
      <w:r>
        <w:rPr>
          <w:rFonts w:hint="eastAsia" w:ascii="宋体" w:hAnsi="宋体" w:eastAsia="宋体" w:cs="Times New Roman"/>
          <w:color w:val="auto"/>
          <w:szCs w:val="21"/>
          <w:highlight w:val="none"/>
          <w:u w:val="single"/>
          <w:lang w:eastAsia="zh-CN"/>
        </w:rPr>
        <w:t>0771-6222643</w:t>
      </w:r>
    </w:p>
    <w:p w14:paraId="04EC6EB1">
      <w:pPr>
        <w:keepNext w:val="0"/>
        <w:keepLines w:val="0"/>
        <w:pageBreakBefore w:val="0"/>
        <w:widowControl w:val="0"/>
        <w:kinsoku/>
        <w:wordWrap/>
        <w:overflowPunct/>
        <w:topLinePunct w:val="0"/>
        <w:autoSpaceDE/>
        <w:autoSpaceDN/>
        <w:bidi w:val="0"/>
        <w:adjustRightInd/>
        <w:snapToGrid/>
        <w:spacing w:line="440" w:lineRule="atLeast"/>
        <w:ind w:left="1041" w:leftChars="371" w:hanging="262" w:hangingChars="125"/>
        <w:jc w:val="left"/>
        <w:textAlignment w:val="auto"/>
        <w:rPr>
          <w:rFonts w:ascii="宋体" w:hAnsi="宋体"/>
          <w:color w:val="auto"/>
          <w:szCs w:val="21"/>
          <w:highlight w:val="none"/>
        </w:rPr>
      </w:pPr>
      <w:r>
        <w:rPr>
          <w:rFonts w:hint="eastAsia" w:ascii="宋体" w:hAnsi="宋体" w:cs="宋体"/>
          <w:color w:val="auto"/>
          <w:szCs w:val="21"/>
          <w:highlight w:val="none"/>
        </w:rPr>
        <w:t>2.采购代理机构信息</w:t>
      </w:r>
    </w:p>
    <w:p w14:paraId="1D7A18F0">
      <w:pPr>
        <w:keepNext w:val="0"/>
        <w:keepLines w:val="0"/>
        <w:pageBreakBefore w:val="0"/>
        <w:widowControl w:val="0"/>
        <w:kinsoku/>
        <w:wordWrap/>
        <w:overflowPunct/>
        <w:topLinePunct w:val="0"/>
        <w:autoSpaceDE/>
        <w:autoSpaceDN/>
        <w:bidi w:val="0"/>
        <w:adjustRightInd/>
        <w:snapToGrid/>
        <w:spacing w:line="440" w:lineRule="atLeast"/>
        <w:ind w:firstLine="735" w:firstLineChars="350"/>
        <w:textAlignment w:val="auto"/>
        <w:rPr>
          <w:rFonts w:hint="eastAsia" w:ascii="宋体" w:hAnsi="宋体"/>
          <w:color w:val="auto"/>
          <w:szCs w:val="21"/>
          <w:highlight w:val="none"/>
          <w:u w:val="single"/>
        </w:rPr>
      </w:pPr>
      <w:r>
        <w:rPr>
          <w:rFonts w:hint="eastAsia" w:ascii="宋体" w:hAnsi="宋体"/>
          <w:color w:val="auto"/>
          <w:szCs w:val="21"/>
          <w:highlight w:val="none"/>
        </w:rPr>
        <w:t>名 称：</w:t>
      </w:r>
      <w:bookmarkStart w:id="31" w:name="PO_3000001868_PM031_1"/>
      <w:r>
        <w:rPr>
          <w:rFonts w:hint="eastAsia" w:ascii="宋体" w:hAnsi="宋体"/>
          <w:color w:val="auto"/>
          <w:szCs w:val="21"/>
          <w:highlight w:val="none"/>
          <w:u w:val="single"/>
        </w:rPr>
        <w:t>广西翔正项目管理有限公司</w:t>
      </w:r>
      <w:bookmarkEnd w:id="31"/>
    </w:p>
    <w:p w14:paraId="1C7F146A">
      <w:pPr>
        <w:keepNext w:val="0"/>
        <w:keepLines w:val="0"/>
        <w:pageBreakBefore w:val="0"/>
        <w:widowControl w:val="0"/>
        <w:kinsoku/>
        <w:wordWrap/>
        <w:overflowPunct/>
        <w:topLinePunct w:val="0"/>
        <w:autoSpaceDE/>
        <w:autoSpaceDN/>
        <w:bidi w:val="0"/>
        <w:adjustRightInd/>
        <w:snapToGrid/>
        <w:spacing w:line="440" w:lineRule="atLeast"/>
        <w:ind w:firstLine="735" w:firstLineChars="350"/>
        <w:textAlignment w:val="auto"/>
        <w:rPr>
          <w:rFonts w:hint="eastAsia" w:ascii="宋体" w:hAnsi="宋体"/>
          <w:color w:val="auto"/>
          <w:szCs w:val="21"/>
          <w:highlight w:val="none"/>
        </w:rPr>
      </w:pPr>
      <w:r>
        <w:rPr>
          <w:rFonts w:hint="eastAsia" w:ascii="宋体" w:hAnsi="宋体"/>
          <w:color w:val="auto"/>
          <w:szCs w:val="21"/>
          <w:highlight w:val="none"/>
        </w:rPr>
        <w:t>地　址：</w:t>
      </w:r>
      <w:bookmarkStart w:id="32" w:name="PO_3000001868_PM035"/>
      <w:r>
        <w:rPr>
          <w:rFonts w:hint="eastAsia" w:ascii="宋体" w:hAnsi="宋体"/>
          <w:color w:val="auto"/>
          <w:szCs w:val="21"/>
          <w:highlight w:val="none"/>
          <w:u w:val="single"/>
        </w:rPr>
        <w:t>南宁市兴宁区秀厢大道199号金源城（建兴路）金源CBD东城25楼</w:t>
      </w:r>
      <w:bookmarkEnd w:id="32"/>
    </w:p>
    <w:p w14:paraId="3BD0382F">
      <w:pPr>
        <w:keepNext w:val="0"/>
        <w:keepLines w:val="0"/>
        <w:pageBreakBefore w:val="0"/>
        <w:widowControl w:val="0"/>
        <w:kinsoku/>
        <w:wordWrap/>
        <w:overflowPunct/>
        <w:topLinePunct w:val="0"/>
        <w:autoSpaceDE/>
        <w:autoSpaceDN/>
        <w:bidi w:val="0"/>
        <w:adjustRightInd/>
        <w:snapToGrid/>
        <w:spacing w:line="440" w:lineRule="atLeast"/>
        <w:ind w:firstLine="735" w:firstLineChars="350"/>
        <w:textAlignment w:val="auto"/>
        <w:rPr>
          <w:rFonts w:hint="eastAsia" w:ascii="宋体" w:hAnsi="宋体"/>
          <w:color w:val="auto"/>
          <w:szCs w:val="21"/>
          <w:highlight w:val="none"/>
        </w:rPr>
      </w:pPr>
      <w:r>
        <w:rPr>
          <w:rFonts w:hint="eastAsia" w:ascii="宋体" w:hAnsi="宋体"/>
          <w:color w:val="auto"/>
          <w:szCs w:val="21"/>
          <w:highlight w:val="none"/>
        </w:rPr>
        <w:t>联系电话：</w:t>
      </w:r>
      <w:bookmarkStart w:id="33" w:name="PO_3000001868_PM033"/>
      <w:r>
        <w:rPr>
          <w:rFonts w:hint="eastAsia" w:ascii="宋体" w:hAnsi="宋体"/>
          <w:color w:val="auto"/>
          <w:szCs w:val="21"/>
          <w:highlight w:val="none"/>
          <w:u w:val="single"/>
        </w:rPr>
        <w:t>0771-3925351</w:t>
      </w:r>
      <w:bookmarkEnd w:id="33"/>
    </w:p>
    <w:p w14:paraId="6E122853">
      <w:pPr>
        <w:keepNext w:val="0"/>
        <w:keepLines w:val="0"/>
        <w:pageBreakBefore w:val="0"/>
        <w:widowControl w:val="0"/>
        <w:kinsoku/>
        <w:wordWrap/>
        <w:overflowPunct/>
        <w:topLinePunct w:val="0"/>
        <w:autoSpaceDE/>
        <w:autoSpaceDN/>
        <w:bidi w:val="0"/>
        <w:adjustRightInd/>
        <w:snapToGrid/>
        <w:spacing w:line="440" w:lineRule="atLeast"/>
        <w:ind w:firstLine="735" w:firstLineChars="350"/>
        <w:textAlignment w:val="auto"/>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项目联系方式</w:t>
      </w:r>
    </w:p>
    <w:p w14:paraId="14E67989">
      <w:pPr>
        <w:keepNext w:val="0"/>
        <w:keepLines w:val="0"/>
        <w:pageBreakBefore w:val="0"/>
        <w:widowControl w:val="0"/>
        <w:kinsoku/>
        <w:wordWrap/>
        <w:overflowPunct/>
        <w:topLinePunct w:val="0"/>
        <w:autoSpaceDE/>
        <w:autoSpaceDN/>
        <w:bidi w:val="0"/>
        <w:adjustRightInd/>
        <w:snapToGrid/>
        <w:spacing w:line="440" w:lineRule="atLeast"/>
        <w:ind w:firstLine="735" w:firstLineChars="350"/>
        <w:textAlignment w:val="auto"/>
        <w:rPr>
          <w:rFonts w:hint="eastAsia" w:ascii="宋体" w:hAnsi="宋体"/>
          <w:color w:val="auto"/>
          <w:szCs w:val="21"/>
          <w:highlight w:val="none"/>
        </w:rPr>
      </w:pPr>
      <w:r>
        <w:rPr>
          <w:rFonts w:hint="eastAsia" w:ascii="宋体" w:hAnsi="宋体"/>
          <w:color w:val="auto"/>
          <w:szCs w:val="21"/>
          <w:highlight w:val="none"/>
        </w:rPr>
        <w:t>项目联系人：</w:t>
      </w:r>
      <w:r>
        <w:rPr>
          <w:rFonts w:hint="eastAsia" w:ascii="宋体" w:hAnsi="宋体"/>
          <w:color w:val="auto"/>
          <w:szCs w:val="21"/>
          <w:highlight w:val="none"/>
          <w:u w:val="single"/>
        </w:rPr>
        <w:t>苏晓英</w:t>
      </w:r>
      <w:r>
        <w:rPr>
          <w:rFonts w:hint="eastAsia" w:ascii="宋体" w:hAnsi="宋体"/>
          <w:color w:val="auto"/>
          <w:szCs w:val="21"/>
          <w:highlight w:val="none"/>
          <w:u w:val="single"/>
          <w:lang w:eastAsia="zh-CN"/>
        </w:rPr>
        <w:t>、黄翠丽</w:t>
      </w:r>
      <w:r>
        <w:rPr>
          <w:rFonts w:hint="eastAsia" w:ascii="宋体" w:hAnsi="宋体"/>
          <w:color w:val="auto"/>
          <w:szCs w:val="21"/>
          <w:highlight w:val="none"/>
          <w:u w:val="single"/>
        </w:rPr>
        <w:t xml:space="preserve">   </w:t>
      </w:r>
    </w:p>
    <w:p w14:paraId="0A5B394A">
      <w:pPr>
        <w:keepNext w:val="0"/>
        <w:keepLines w:val="0"/>
        <w:pageBreakBefore w:val="0"/>
        <w:widowControl w:val="0"/>
        <w:kinsoku/>
        <w:wordWrap/>
        <w:overflowPunct/>
        <w:topLinePunct w:val="0"/>
        <w:autoSpaceDE/>
        <w:autoSpaceDN/>
        <w:bidi w:val="0"/>
        <w:adjustRightInd/>
        <w:snapToGrid/>
        <w:spacing w:line="440" w:lineRule="atLeast"/>
        <w:ind w:firstLine="735" w:firstLineChars="350"/>
        <w:textAlignment w:val="auto"/>
        <w:rPr>
          <w:rFonts w:hint="eastAsia" w:ascii="宋体" w:hAnsi="宋体"/>
          <w:color w:val="auto"/>
          <w:szCs w:val="21"/>
          <w:highlight w:val="none"/>
        </w:rPr>
      </w:pPr>
      <w:r>
        <w:rPr>
          <w:rFonts w:hint="eastAsia" w:ascii="宋体" w:hAnsi="宋体"/>
          <w:color w:val="auto"/>
          <w:szCs w:val="21"/>
          <w:highlight w:val="none"/>
        </w:rPr>
        <w:t xml:space="preserve">电 </w:t>
      </w:r>
      <w:r>
        <w:rPr>
          <w:rFonts w:ascii="宋体" w:hAnsi="宋体"/>
          <w:color w:val="auto"/>
          <w:szCs w:val="21"/>
          <w:highlight w:val="none"/>
        </w:rPr>
        <w:t xml:space="preserve">   </w:t>
      </w:r>
      <w:r>
        <w:rPr>
          <w:rFonts w:hint="eastAsia" w:ascii="宋体" w:hAnsi="宋体"/>
          <w:color w:val="auto"/>
          <w:szCs w:val="21"/>
          <w:highlight w:val="none"/>
        </w:rPr>
        <w:t>话：</w:t>
      </w:r>
      <w:r>
        <w:rPr>
          <w:rFonts w:hint="eastAsia" w:ascii="宋体" w:hAnsi="宋体"/>
          <w:color w:val="auto"/>
          <w:szCs w:val="21"/>
          <w:highlight w:val="none"/>
          <w:u w:val="single"/>
        </w:rPr>
        <w:t xml:space="preserve"> 0771-3925351</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5660532</w:t>
      </w:r>
      <w:r>
        <w:rPr>
          <w:rFonts w:ascii="宋体" w:hAnsi="宋体"/>
          <w:color w:val="auto"/>
          <w:szCs w:val="21"/>
          <w:highlight w:val="none"/>
          <w:u w:val="single"/>
        </w:rPr>
        <w:t xml:space="preserve"> </w:t>
      </w:r>
    </w:p>
    <w:p w14:paraId="46268816">
      <w:pPr>
        <w:keepNext w:val="0"/>
        <w:keepLines w:val="0"/>
        <w:pageBreakBefore w:val="0"/>
        <w:widowControl w:val="0"/>
        <w:kinsoku/>
        <w:wordWrap/>
        <w:overflowPunct/>
        <w:topLinePunct w:val="0"/>
        <w:autoSpaceDE/>
        <w:autoSpaceDN/>
        <w:bidi w:val="0"/>
        <w:adjustRightInd/>
        <w:snapToGrid/>
        <w:spacing w:line="440" w:lineRule="atLeast"/>
        <w:ind w:firstLine="420" w:firstLineChars="200"/>
        <w:textAlignment w:val="auto"/>
        <w:rPr>
          <w:rFonts w:ascii="宋体" w:hAnsi="宋体"/>
          <w:color w:val="auto"/>
          <w:szCs w:val="21"/>
          <w:highlight w:val="none"/>
        </w:rPr>
      </w:pPr>
    </w:p>
    <w:p w14:paraId="7321DD2D">
      <w:pPr>
        <w:pStyle w:val="11"/>
        <w:keepNext w:val="0"/>
        <w:keepLines w:val="0"/>
        <w:pageBreakBefore w:val="0"/>
        <w:widowControl w:val="0"/>
        <w:kinsoku/>
        <w:wordWrap/>
        <w:overflowPunct/>
        <w:topLinePunct w:val="0"/>
        <w:autoSpaceDE/>
        <w:autoSpaceDN/>
        <w:bidi w:val="0"/>
        <w:adjustRightInd/>
        <w:snapToGrid/>
        <w:spacing w:line="440" w:lineRule="atLeast"/>
        <w:ind w:firstLine="420" w:firstLineChars="200"/>
        <w:textAlignment w:val="auto"/>
        <w:rPr>
          <w:rFonts w:ascii="宋体" w:hAnsi="宋体" w:eastAsia="宋体" w:cs="Times New Roman"/>
          <w:color w:val="auto"/>
          <w:szCs w:val="21"/>
          <w:highlight w:val="none"/>
        </w:rPr>
      </w:pPr>
      <w:r>
        <w:rPr>
          <w:rFonts w:hint="eastAsia" w:ascii="宋体" w:hAnsi="宋体"/>
          <w:color w:val="auto"/>
          <w:szCs w:val="21"/>
          <w:highlight w:val="none"/>
        </w:rPr>
        <w:t>附件：</w:t>
      </w:r>
      <w:r>
        <w:rPr>
          <w:rFonts w:hint="eastAsia" w:ascii="宋体" w:hAnsi="宋体" w:eastAsia="宋体" w:cs="Times New Roman"/>
          <w:color w:val="auto"/>
          <w:highlight w:val="none"/>
        </w:rPr>
        <w:t>1.CA证书申请方式及操作指南下载地址（登陆</w:t>
      </w:r>
      <w:r>
        <w:rPr>
          <w:rFonts w:ascii="宋体" w:hAnsi="宋体" w:eastAsia="宋体" w:cs="Times New Roman"/>
          <w:color w:val="auto"/>
          <w:highlight w:val="none"/>
        </w:rPr>
        <w:fldChar w:fldCharType="begin"/>
      </w:r>
      <w:r>
        <w:rPr>
          <w:rFonts w:ascii="宋体" w:hAnsi="宋体" w:eastAsia="宋体" w:cs="Times New Roman"/>
          <w:color w:val="auto"/>
          <w:highlight w:val="none"/>
        </w:rPr>
        <w:instrText xml:space="preserve"> HYPERLINK "http://nncz.nanning.gov.cn/" </w:instrText>
      </w:r>
      <w:r>
        <w:rPr>
          <w:rFonts w:ascii="宋体" w:hAnsi="宋体" w:eastAsia="宋体" w:cs="Times New Roman"/>
          <w:color w:val="auto"/>
          <w:highlight w:val="none"/>
        </w:rPr>
        <w:fldChar w:fldCharType="separate"/>
      </w:r>
      <w:r>
        <w:rPr>
          <w:rStyle w:val="36"/>
          <w:rFonts w:ascii="宋体" w:hAnsi="宋体" w:eastAsia="宋体" w:cs="Times New Roman"/>
          <w:color w:val="auto"/>
          <w:highlight w:val="none"/>
        </w:rPr>
        <w:t>http://nncz.nanning.gov.cn/</w:t>
      </w:r>
      <w:r>
        <w:rPr>
          <w:rStyle w:val="36"/>
          <w:rFonts w:ascii="宋体" w:hAnsi="宋体" w:eastAsia="宋体" w:cs="Times New Roman"/>
          <w:color w:val="auto"/>
          <w:highlight w:val="none"/>
        </w:rPr>
        <w:fldChar w:fldCharType="end"/>
      </w:r>
      <w:r>
        <w:rPr>
          <w:rFonts w:hint="eastAsia" w:ascii="宋体" w:hAnsi="宋体" w:eastAsia="宋体" w:cs="Times New Roman"/>
          <w:color w:val="auto"/>
          <w:highlight w:val="none"/>
        </w:rPr>
        <w:t>（南宁市财政局官网）</w:t>
      </w:r>
      <w:r>
        <w:rPr>
          <w:rFonts w:ascii="宋体" w:hAnsi="宋体" w:eastAsia="宋体" w:cs="Times New Roman"/>
          <w:color w:val="auto"/>
          <w:highlight w:val="none"/>
        </w:rPr>
        <w:t>-</w:t>
      </w:r>
      <w:r>
        <w:rPr>
          <w:rFonts w:hint="eastAsia" w:ascii="宋体" w:hAnsi="宋体" w:eastAsia="宋体" w:cs="Times New Roman"/>
          <w:color w:val="auto"/>
          <w:highlight w:val="none"/>
        </w:rPr>
        <w:t>业务专题-政府采购监督管理-资料下载</w:t>
      </w:r>
      <w:r>
        <w:rPr>
          <w:rFonts w:ascii="宋体" w:hAnsi="宋体" w:eastAsia="宋体" w:cs="Times New Roman"/>
          <w:color w:val="auto"/>
          <w:highlight w:val="none"/>
        </w:rPr>
        <w:t>-</w:t>
      </w:r>
      <w:r>
        <w:rPr>
          <w:rFonts w:hint="eastAsia" w:ascii="宋体" w:hAnsi="宋体" w:eastAsia="宋体" w:cs="Times New Roman"/>
          <w:color w:val="auto"/>
          <w:highlight w:val="none"/>
        </w:rPr>
        <w:t>“广西政采云西部</w:t>
      </w:r>
      <w:r>
        <w:rPr>
          <w:rFonts w:ascii="宋体" w:hAnsi="宋体" w:eastAsia="宋体" w:cs="Times New Roman"/>
          <w:color w:val="auto"/>
          <w:highlight w:val="none"/>
        </w:rPr>
        <w:t>CA</w:t>
      </w:r>
      <w:r>
        <w:rPr>
          <w:rFonts w:hint="eastAsia" w:ascii="宋体" w:hAnsi="宋体" w:eastAsia="宋体" w:cs="Times New Roman"/>
          <w:color w:val="auto"/>
          <w:highlight w:val="none"/>
        </w:rPr>
        <w:t>办理方式”或“南宁市政采云</w:t>
      </w:r>
      <w:r>
        <w:rPr>
          <w:rFonts w:ascii="宋体" w:hAnsi="宋体" w:eastAsia="宋体" w:cs="Times New Roman"/>
          <w:color w:val="auto"/>
          <w:highlight w:val="none"/>
        </w:rPr>
        <w:t>CA</w:t>
      </w:r>
      <w:r>
        <w:rPr>
          <w:rFonts w:hint="eastAsia" w:ascii="宋体" w:hAnsi="宋体" w:eastAsia="宋体" w:cs="Times New Roman"/>
          <w:color w:val="auto"/>
          <w:highlight w:val="none"/>
        </w:rPr>
        <w:t>证书办理操作指南”）</w:t>
      </w:r>
    </w:p>
    <w:p w14:paraId="5AE437EE">
      <w:pPr>
        <w:pStyle w:val="11"/>
        <w:keepNext w:val="0"/>
        <w:keepLines w:val="0"/>
        <w:pageBreakBefore w:val="0"/>
        <w:widowControl w:val="0"/>
        <w:kinsoku/>
        <w:wordWrap/>
        <w:overflowPunct/>
        <w:topLinePunct w:val="0"/>
        <w:autoSpaceDE/>
        <w:autoSpaceDN/>
        <w:bidi w:val="0"/>
        <w:adjustRightInd/>
        <w:snapToGrid/>
        <w:spacing w:line="440" w:lineRule="atLeast"/>
        <w:ind w:firstLine="420" w:firstLineChars="200"/>
        <w:textAlignment w:val="auto"/>
        <w:rPr>
          <w:rFonts w:ascii="宋体" w:hAnsi="宋体" w:eastAsia="宋体" w:cs="Times New Roman"/>
          <w:color w:val="auto"/>
          <w:highlight w:val="none"/>
        </w:rPr>
      </w:pPr>
      <w:r>
        <w:rPr>
          <w:rFonts w:hint="eastAsia" w:ascii="宋体" w:hAnsi="宋体" w:eastAsia="宋体" w:cs="Times New Roman"/>
          <w:color w:val="auto"/>
          <w:highlight w:val="none"/>
        </w:rPr>
        <w:t>2.电子投标文件制作与投送教程（在此网址下载：</w:t>
      </w:r>
      <w:r>
        <w:rPr>
          <w:rFonts w:ascii="宋体" w:hAnsi="宋体" w:eastAsia="宋体" w:cs="Times New Roman"/>
          <w:color w:val="auto"/>
          <w:highlight w:val="none"/>
        </w:rPr>
        <w:fldChar w:fldCharType="begin"/>
      </w:r>
      <w:r>
        <w:rPr>
          <w:rFonts w:ascii="宋体" w:hAnsi="宋体" w:eastAsia="宋体" w:cs="Times New Roman"/>
          <w:color w:val="auto"/>
          <w:highlight w:val="none"/>
        </w:rPr>
        <w:instrText xml:space="preserve"> HYPERLINK "http://nncz.nanning.gov.cn/" </w:instrText>
      </w:r>
      <w:r>
        <w:rPr>
          <w:rFonts w:ascii="宋体" w:hAnsi="宋体" w:eastAsia="宋体" w:cs="Times New Roman"/>
          <w:color w:val="auto"/>
          <w:highlight w:val="none"/>
        </w:rPr>
        <w:fldChar w:fldCharType="separate"/>
      </w:r>
      <w:r>
        <w:rPr>
          <w:rFonts w:hint="default" w:ascii="宋体" w:hAnsi="宋体" w:eastAsia="宋体" w:cs="Times New Roman"/>
          <w:color w:val="auto"/>
          <w:highlight w:val="none"/>
          <w:u w:val="single"/>
        </w:rPr>
        <w:t>http://nncz.nanning.gov.cn/</w:t>
      </w:r>
      <w:r>
        <w:rPr>
          <w:rFonts w:hint="default" w:ascii="宋体" w:hAnsi="宋体" w:eastAsia="宋体" w:cs="Times New Roman"/>
          <w:color w:val="auto"/>
          <w:highlight w:val="none"/>
          <w:u w:val="single"/>
        </w:rPr>
        <w:fldChar w:fldCharType="end"/>
      </w:r>
      <w:r>
        <w:rPr>
          <w:rFonts w:hint="eastAsia" w:ascii="宋体" w:hAnsi="宋体" w:eastAsia="宋体" w:cs="Times New Roman"/>
          <w:color w:val="auto"/>
          <w:highlight w:val="none"/>
        </w:rPr>
        <w:t>（南宁市财政局官网）</w:t>
      </w:r>
      <w:r>
        <w:rPr>
          <w:rFonts w:ascii="宋体" w:hAnsi="宋体" w:eastAsia="宋体" w:cs="Times New Roman"/>
          <w:color w:val="auto"/>
          <w:highlight w:val="none"/>
        </w:rPr>
        <w:t>-</w:t>
      </w:r>
      <w:r>
        <w:rPr>
          <w:rFonts w:hint="eastAsia" w:ascii="宋体" w:hAnsi="宋体" w:eastAsia="宋体" w:cs="Times New Roman"/>
          <w:color w:val="auto"/>
          <w:highlight w:val="none"/>
        </w:rPr>
        <w:t>业务专题-政府采购监督管理-资料下载-南宁市政府采购项目全流程电子化交易操作指南）</w:t>
      </w:r>
    </w:p>
    <w:p w14:paraId="2158CB9F">
      <w:pPr>
        <w:pStyle w:val="11"/>
        <w:spacing w:line="360" w:lineRule="auto"/>
        <w:ind w:firstLine="420" w:firstLineChars="200"/>
        <w:jc w:val="right"/>
        <w:rPr>
          <w:rFonts w:hint="eastAsia" w:ascii="宋体" w:hAnsi="宋体"/>
          <w:color w:val="auto"/>
          <w:szCs w:val="21"/>
          <w:highlight w:val="none"/>
          <w:u w:val="single"/>
          <w:lang w:eastAsia="zh-CN"/>
        </w:rPr>
      </w:pPr>
      <w:bookmarkStart w:id="34" w:name="PO_3000001868_PM031_2"/>
    </w:p>
    <w:p w14:paraId="208C3194">
      <w:pPr>
        <w:pStyle w:val="11"/>
        <w:spacing w:line="360" w:lineRule="auto"/>
        <w:ind w:firstLine="420" w:firstLineChars="200"/>
        <w:jc w:val="right"/>
        <w:rPr>
          <w:rFonts w:hint="eastAsia" w:ascii="宋体" w:hAnsi="宋体"/>
          <w:color w:val="auto"/>
          <w:szCs w:val="21"/>
          <w:highlight w:val="none"/>
          <w:lang w:eastAsia="zh-CN"/>
        </w:rPr>
      </w:pPr>
      <w:r>
        <w:rPr>
          <w:rFonts w:hint="eastAsia" w:ascii="宋体" w:hAnsi="宋体"/>
          <w:color w:val="auto"/>
          <w:szCs w:val="21"/>
          <w:highlight w:val="none"/>
          <w:u w:val="single"/>
          <w:lang w:eastAsia="zh-CN"/>
        </w:rPr>
        <w:t>广西翔正项目管理有限公司</w:t>
      </w:r>
      <w:bookmarkEnd w:id="34"/>
    </w:p>
    <w:p w14:paraId="5E6C18AC">
      <w:pPr>
        <w:keepNext w:val="0"/>
        <w:keepLines w:val="0"/>
        <w:pageBreakBefore w:val="0"/>
        <w:widowControl w:val="0"/>
        <w:kinsoku/>
        <w:wordWrap/>
        <w:overflowPunct/>
        <w:topLinePunct w:val="0"/>
        <w:autoSpaceDE/>
        <w:autoSpaceDN/>
        <w:bidi w:val="0"/>
        <w:adjustRightInd/>
        <w:snapToGrid/>
        <w:spacing w:line="440" w:lineRule="atLeast"/>
        <w:ind w:left="1041" w:leftChars="371" w:hanging="262" w:hangingChars="125"/>
        <w:jc w:val="right"/>
        <w:textAlignment w:val="auto"/>
        <w:rPr>
          <w:rFonts w:hint="eastAsia" w:ascii="宋体" w:hAnsi="宋体" w:eastAsia="宋体" w:cs="Times New Roman"/>
          <w:color w:val="auto"/>
          <w:szCs w:val="21"/>
          <w:highlight w:val="none"/>
          <w:u w:val="single"/>
          <w:lang w:eastAsia="zh-CN"/>
        </w:rPr>
      </w:pPr>
      <w:bookmarkStart w:id="262" w:name="_GoBack"/>
      <w:bookmarkEnd w:id="262"/>
      <w:r>
        <w:rPr>
          <w:rFonts w:hint="eastAsia" w:ascii="宋体" w:hAnsi="宋体" w:eastAsia="宋体" w:cs="Times New Roman"/>
          <w:color w:val="auto"/>
          <w:szCs w:val="21"/>
          <w:highlight w:val="none"/>
          <w:u w:val="single"/>
          <w:lang w:eastAsia="zh-CN"/>
        </w:rPr>
        <w:t>202</w:t>
      </w:r>
      <w:r>
        <w:rPr>
          <w:rFonts w:hint="eastAsia" w:ascii="宋体" w:hAnsi="宋体" w:eastAsia="宋体" w:cs="Times New Roman"/>
          <w:color w:val="auto"/>
          <w:szCs w:val="21"/>
          <w:highlight w:val="none"/>
          <w:u w:val="single"/>
          <w:lang w:val="en-US" w:eastAsia="zh-CN"/>
        </w:rPr>
        <w:t>6</w:t>
      </w:r>
      <w:r>
        <w:rPr>
          <w:rFonts w:hint="eastAsia" w:ascii="宋体" w:hAnsi="宋体" w:eastAsia="宋体" w:cs="Times New Roman"/>
          <w:color w:val="auto"/>
          <w:szCs w:val="21"/>
          <w:highlight w:val="none"/>
          <w:u w:val="single"/>
          <w:lang w:eastAsia="zh-CN"/>
        </w:rPr>
        <w:t>年</w:t>
      </w:r>
      <w:r>
        <w:rPr>
          <w:rFonts w:hint="eastAsia" w:ascii="宋体" w:hAnsi="宋体" w:cs="Times New Roman"/>
          <w:color w:val="auto"/>
          <w:szCs w:val="21"/>
          <w:highlight w:val="none"/>
          <w:u w:val="single"/>
          <w:lang w:val="en-US" w:eastAsia="zh-CN"/>
        </w:rPr>
        <w:t>08</w:t>
      </w:r>
      <w:r>
        <w:rPr>
          <w:rFonts w:hint="eastAsia" w:ascii="宋体" w:hAnsi="宋体" w:eastAsia="宋体" w:cs="Times New Roman"/>
          <w:color w:val="auto"/>
          <w:szCs w:val="21"/>
          <w:highlight w:val="none"/>
          <w:u w:val="single"/>
          <w:lang w:eastAsia="zh-CN"/>
        </w:rPr>
        <w:t>月</w:t>
      </w:r>
      <w:r>
        <w:rPr>
          <w:rFonts w:hint="eastAsia" w:ascii="宋体" w:hAnsi="宋体" w:cs="Times New Roman"/>
          <w:color w:val="auto"/>
          <w:szCs w:val="21"/>
          <w:highlight w:val="none"/>
          <w:u w:val="single"/>
          <w:lang w:val="en-US" w:eastAsia="zh-CN"/>
        </w:rPr>
        <w:t>24</w:t>
      </w:r>
      <w:r>
        <w:rPr>
          <w:rFonts w:hint="eastAsia" w:ascii="宋体" w:hAnsi="宋体" w:eastAsia="宋体" w:cs="Times New Roman"/>
          <w:color w:val="auto"/>
          <w:szCs w:val="21"/>
          <w:highlight w:val="none"/>
          <w:u w:val="single"/>
          <w:lang w:eastAsia="zh-CN"/>
        </w:rPr>
        <w:t>日</w:t>
      </w:r>
    </w:p>
    <w:p w14:paraId="64DA5E02">
      <w:pPr>
        <w:pStyle w:val="2"/>
        <w:keepNext/>
        <w:keepLines/>
        <w:pageBreakBefore/>
        <w:widowControl/>
        <w:kinsoku/>
        <w:wordWrap/>
        <w:overflowPunct/>
        <w:topLinePunct w:val="0"/>
        <w:autoSpaceDE/>
        <w:autoSpaceDN/>
        <w:bidi w:val="0"/>
        <w:adjustRightInd/>
        <w:snapToGrid/>
        <w:spacing w:line="240" w:lineRule="auto"/>
        <w:jc w:val="center"/>
        <w:textAlignment w:val="auto"/>
        <w:rPr>
          <w:rFonts w:hint="eastAsia"/>
          <w:color w:val="auto"/>
          <w:highlight w:val="none"/>
        </w:rPr>
      </w:pPr>
      <w:bookmarkStart w:id="35" w:name="_Toc30772"/>
      <w:r>
        <w:rPr>
          <w:rFonts w:hint="eastAsia" w:ascii="Cambria" w:hAnsi="Cambria"/>
          <w:bCs w:val="0"/>
          <w:color w:val="auto"/>
          <w:sz w:val="32"/>
          <w:szCs w:val="32"/>
          <w:highlight w:val="none"/>
        </w:rPr>
        <w:t>第二章 采购需求</w:t>
      </w:r>
      <w:bookmarkEnd w:id="35"/>
    </w:p>
    <w:p w14:paraId="2429149D">
      <w:pPr>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240CF6C3">
      <w:pPr>
        <w:spacing w:line="420" w:lineRule="exact"/>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为落实政府采购政策需满足的要求</w:t>
      </w:r>
      <w:r>
        <w:rPr>
          <w:rFonts w:hint="eastAsia"/>
          <w:color w:val="auto"/>
          <w:highlight w:val="none"/>
          <w:lang w:eastAsia="zh-CN"/>
        </w:rPr>
        <w:t>：</w:t>
      </w:r>
      <w:r>
        <w:rPr>
          <w:rFonts w:hint="eastAsia" w:ascii="宋体" w:hAnsi="宋体" w:cs="宋体"/>
          <w:color w:val="auto"/>
          <w:szCs w:val="21"/>
          <w:highlight w:val="none"/>
        </w:rPr>
        <w:t>本竞争性磋商采购文件所称中小企业必须符合《政府采购促进中小企业发展管理办法》（财库〔2020〕46号）的规定。</w:t>
      </w:r>
    </w:p>
    <w:p w14:paraId="50CC84B0">
      <w:pPr>
        <w:spacing w:line="420" w:lineRule="exact"/>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 xml:space="preserve"> </w:t>
      </w:r>
      <w:r>
        <w:rPr>
          <w:rFonts w:hint="eastAsia" w:ascii="宋体" w:hAnsi="宋体" w:cs="宋体"/>
          <w:b/>
          <w:bCs/>
          <w:color w:val="auto"/>
          <w:szCs w:val="21"/>
          <w:highlight w:val="none"/>
        </w:rPr>
        <w:t>“实质性要求”是指采购需求中带“▲”的条款或者不能负偏离的条款或者已经指明不满足按响应文件作无效处理的条款。</w:t>
      </w:r>
    </w:p>
    <w:p w14:paraId="0A802E21">
      <w:pPr>
        <w:spacing w:line="420" w:lineRule="exact"/>
        <w:ind w:firstLine="411" w:firstLineChars="196"/>
        <w:rPr>
          <w:rFonts w:hint="eastAsia" w:ascii="宋体" w:hAnsi="宋体" w:cs="宋体"/>
          <w:b/>
          <w:bCs/>
          <w:color w:val="auto"/>
          <w:szCs w:val="21"/>
          <w:highlight w:val="none"/>
        </w:rPr>
      </w:pPr>
      <w:r>
        <w:rPr>
          <w:rFonts w:hint="eastAsia" w:ascii="宋体" w:hAnsi="宋体" w:eastAsia="宋体" w:cs="宋体"/>
          <w:color w:val="auto"/>
          <w:highlight w:val="none"/>
          <w:lang w:val="en-US" w:eastAsia="zh-CN"/>
        </w:rPr>
        <w:t>3. 不需要竞标人对采购需求响应为具体数值的，此采购需求的数值后将以◆号标注。</w:t>
      </w:r>
    </w:p>
    <w:p w14:paraId="04A4EB7C">
      <w:pPr>
        <w:pStyle w:val="11"/>
        <w:spacing w:line="420" w:lineRule="exact"/>
        <w:ind w:firstLine="420" w:firstLineChars="200"/>
        <w:rPr>
          <w:rFonts w:hint="eastAsia"/>
          <w:color w:val="auto"/>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 </w:t>
      </w:r>
      <w:r>
        <w:rPr>
          <w:rFonts w:hint="eastAsia"/>
          <w:color w:val="auto"/>
          <w:highlight w:val="none"/>
          <w:lang w:eastAsia="zh-CN"/>
        </w:rPr>
        <w:t>如竞</w:t>
      </w:r>
      <w:r>
        <w:rPr>
          <w:rFonts w:hint="eastAsia"/>
          <w:color w:val="auto"/>
          <w:highlight w:val="none"/>
        </w:rPr>
        <w:t>标人</w:t>
      </w:r>
      <w:r>
        <w:rPr>
          <w:rFonts w:hint="eastAsia"/>
          <w:color w:val="auto"/>
          <w:highlight w:val="none"/>
          <w:lang w:eastAsia="zh-CN"/>
        </w:rPr>
        <w:t>竞</w:t>
      </w:r>
      <w:r>
        <w:rPr>
          <w:rFonts w:hint="eastAsia"/>
          <w:color w:val="auto"/>
          <w:highlight w:val="none"/>
        </w:rPr>
        <w:t>标</w:t>
      </w:r>
      <w:r>
        <w:rPr>
          <w:color w:val="auto"/>
          <w:highlight w:val="none"/>
        </w:rPr>
        <w:t>产品</w:t>
      </w:r>
      <w:r>
        <w:rPr>
          <w:rFonts w:hint="eastAsia"/>
          <w:color w:val="auto"/>
          <w:highlight w:val="none"/>
          <w:lang w:eastAsia="zh-CN"/>
        </w:rPr>
        <w:t>存在</w:t>
      </w:r>
      <w:r>
        <w:rPr>
          <w:color w:val="auto"/>
          <w:highlight w:val="none"/>
        </w:rPr>
        <w:t>侵犯</w:t>
      </w:r>
      <w:r>
        <w:rPr>
          <w:rFonts w:hint="eastAsia"/>
          <w:color w:val="auto"/>
          <w:highlight w:val="none"/>
        </w:rPr>
        <w:t>他人的知识产权或者专利成果行为</w:t>
      </w:r>
      <w:r>
        <w:rPr>
          <w:rFonts w:hint="eastAsia"/>
          <w:color w:val="auto"/>
          <w:highlight w:val="none"/>
          <w:lang w:eastAsia="zh-CN"/>
        </w:rPr>
        <w:t>的，应</w:t>
      </w:r>
      <w:r>
        <w:rPr>
          <w:color w:val="auto"/>
          <w:highlight w:val="none"/>
        </w:rPr>
        <w:t>承担相应法律责任</w:t>
      </w:r>
      <w:r>
        <w:rPr>
          <w:rFonts w:hint="eastAsia"/>
          <w:color w:val="auto"/>
          <w:highlight w:val="none"/>
        </w:rPr>
        <w:t>。</w:t>
      </w:r>
    </w:p>
    <w:p w14:paraId="517CA7E3">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lang w:val="en-US" w:eastAsia="zh-CN"/>
        </w:rPr>
        <w:t>5.本需求一览表中内容如与第五章“拟签订的合同文本”相关条款不一致的，以本表为准。</w:t>
      </w:r>
    </w:p>
    <w:p w14:paraId="79E3440B">
      <w:pPr>
        <w:pStyle w:val="11"/>
        <w:spacing w:line="420" w:lineRule="exact"/>
        <w:ind w:firstLine="420" w:firstLineChars="200"/>
        <w:rPr>
          <w:rFonts w:hint="eastAsia"/>
          <w:color w:val="auto"/>
          <w:highlight w:val="none"/>
          <w:lang w:eastAsia="zh-CN"/>
        </w:rPr>
      </w:pPr>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1103"/>
        <w:gridCol w:w="508"/>
        <w:gridCol w:w="537"/>
        <w:gridCol w:w="5873"/>
        <w:gridCol w:w="861"/>
        <w:gridCol w:w="694"/>
      </w:tblGrid>
      <w:tr w14:paraId="3A4A2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21" w:type="dxa"/>
            <w:gridSpan w:val="7"/>
            <w:tcBorders>
              <w:top w:val="single" w:color="auto" w:sz="4" w:space="0"/>
              <w:left w:val="single" w:color="auto" w:sz="4" w:space="0"/>
              <w:right w:val="single" w:color="auto" w:sz="4" w:space="0"/>
            </w:tcBorders>
            <w:noWrap w:val="0"/>
            <w:vAlign w:val="center"/>
          </w:tcPr>
          <w:p w14:paraId="0B3615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32"/>
                <w:szCs w:val="32"/>
                <w:highlight w:val="none"/>
              </w:rPr>
              <w:t>服务需求一览表</w:t>
            </w:r>
          </w:p>
        </w:tc>
      </w:tr>
      <w:tr w14:paraId="3C741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7ECD27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C8120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标的的名称</w:t>
            </w:r>
          </w:p>
        </w:tc>
        <w:tc>
          <w:tcPr>
            <w:tcW w:w="508" w:type="dxa"/>
            <w:tcBorders>
              <w:top w:val="single" w:color="auto" w:sz="4" w:space="0"/>
              <w:left w:val="single" w:color="auto" w:sz="4" w:space="0"/>
              <w:bottom w:val="single" w:color="auto" w:sz="4" w:space="0"/>
              <w:right w:val="single" w:color="auto" w:sz="4" w:space="0"/>
            </w:tcBorders>
            <w:noWrap w:val="0"/>
            <w:vAlign w:val="center"/>
          </w:tcPr>
          <w:p w14:paraId="4D3D2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537" w:type="dxa"/>
            <w:tcBorders>
              <w:top w:val="single" w:color="auto" w:sz="4" w:space="0"/>
              <w:left w:val="single" w:color="auto" w:sz="4" w:space="0"/>
              <w:bottom w:val="single" w:color="auto" w:sz="4" w:space="0"/>
              <w:right w:val="single" w:color="auto" w:sz="4" w:space="0"/>
            </w:tcBorders>
            <w:noWrap w:val="0"/>
            <w:vAlign w:val="center"/>
          </w:tcPr>
          <w:p w14:paraId="699AC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5873" w:type="dxa"/>
            <w:tcBorders>
              <w:top w:val="single" w:color="auto" w:sz="4" w:space="0"/>
              <w:left w:val="single" w:color="auto" w:sz="4" w:space="0"/>
              <w:bottom w:val="single" w:color="auto" w:sz="4" w:space="0"/>
              <w:right w:val="single" w:color="auto" w:sz="4" w:space="0"/>
            </w:tcBorders>
            <w:noWrap w:val="0"/>
            <w:vAlign w:val="center"/>
          </w:tcPr>
          <w:p w14:paraId="1E4134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服务参数</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2867B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分项预算合计万元）</w:t>
            </w:r>
          </w:p>
        </w:tc>
        <w:tc>
          <w:tcPr>
            <w:tcW w:w="694" w:type="dxa"/>
            <w:tcBorders>
              <w:top w:val="single" w:color="auto" w:sz="4" w:space="0"/>
              <w:left w:val="single" w:color="auto" w:sz="4" w:space="0"/>
              <w:bottom w:val="single" w:color="auto" w:sz="4" w:space="0"/>
              <w:right w:val="single" w:color="auto" w:sz="4" w:space="0"/>
            </w:tcBorders>
            <w:noWrap w:val="0"/>
            <w:vAlign w:val="center"/>
          </w:tcPr>
          <w:p w14:paraId="68FE5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中小企业划分标准所属行业名称（行业名称及划分见本章附件</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w:t>
            </w:r>
          </w:p>
        </w:tc>
      </w:tr>
      <w:tr w14:paraId="52B2C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545" w:type="dxa"/>
            <w:tcBorders>
              <w:top w:val="single" w:color="auto" w:sz="4" w:space="0"/>
              <w:left w:val="single" w:color="auto" w:sz="4" w:space="0"/>
              <w:right w:val="single" w:color="auto" w:sz="4" w:space="0"/>
            </w:tcBorders>
            <w:noWrap w:val="0"/>
            <w:vAlign w:val="center"/>
          </w:tcPr>
          <w:p w14:paraId="732B51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1F0D17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2026年南宁市武鸣区基层就业服务网点（就业服务站）项目</w:t>
            </w:r>
          </w:p>
        </w:tc>
        <w:tc>
          <w:tcPr>
            <w:tcW w:w="508" w:type="dxa"/>
            <w:tcBorders>
              <w:top w:val="single" w:color="auto" w:sz="4" w:space="0"/>
              <w:left w:val="single" w:color="auto" w:sz="4" w:space="0"/>
              <w:bottom w:val="single" w:color="auto" w:sz="4" w:space="0"/>
              <w:right w:val="single" w:color="auto" w:sz="4" w:space="0"/>
            </w:tcBorders>
            <w:noWrap w:val="0"/>
            <w:vAlign w:val="center"/>
          </w:tcPr>
          <w:p w14:paraId="484990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537" w:type="dxa"/>
            <w:tcBorders>
              <w:top w:val="single" w:color="auto" w:sz="4" w:space="0"/>
              <w:left w:val="single" w:color="auto" w:sz="4" w:space="0"/>
              <w:bottom w:val="single" w:color="auto" w:sz="4" w:space="0"/>
              <w:right w:val="single" w:color="auto" w:sz="4" w:space="0"/>
            </w:tcBorders>
            <w:noWrap w:val="0"/>
            <w:vAlign w:val="center"/>
          </w:tcPr>
          <w:p w14:paraId="69B12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873" w:type="dxa"/>
            <w:tcBorders>
              <w:top w:val="single" w:color="auto" w:sz="4" w:space="0"/>
              <w:left w:val="single" w:color="auto" w:sz="4" w:space="0"/>
              <w:bottom w:val="single" w:color="auto" w:sz="4" w:space="0"/>
              <w:right w:val="single" w:color="auto" w:sz="4" w:space="0"/>
            </w:tcBorders>
            <w:noWrap w:val="0"/>
            <w:vAlign w:val="top"/>
          </w:tcPr>
          <w:p w14:paraId="7549C5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一、项目背景</w:t>
            </w:r>
          </w:p>
          <w:p w14:paraId="65E8A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textAlignment w:val="auto"/>
              <w:rPr>
                <w:rFonts w:hint="eastAsia" w:ascii="宋体" w:hAnsi="宋体" w:eastAsia="宋体" w:cs="宋体"/>
                <w:strike/>
                <w:dstrike w:val="0"/>
                <w:color w:val="auto"/>
                <w:sz w:val="21"/>
                <w:szCs w:val="21"/>
                <w:highlight w:val="none"/>
                <w:u w:val="none"/>
              </w:rPr>
            </w:pPr>
            <w:r>
              <w:rPr>
                <w:rFonts w:hint="eastAsia" w:ascii="宋体" w:hAnsi="宋体" w:eastAsia="宋体" w:cs="宋体"/>
                <w:color w:val="auto"/>
                <w:sz w:val="21"/>
                <w:szCs w:val="21"/>
                <w:highlight w:val="none"/>
                <w:u w:val="none"/>
              </w:rPr>
              <w:t>为健全精准高效的就业公共服务体系，</w:t>
            </w:r>
            <w:r>
              <w:rPr>
                <w:rFonts w:hint="eastAsia" w:ascii="宋体" w:hAnsi="宋体" w:cs="宋体"/>
                <w:color w:val="auto"/>
                <w:sz w:val="21"/>
                <w:szCs w:val="21"/>
                <w:highlight w:val="none"/>
                <w:u w:val="none"/>
                <w:lang w:eastAsia="zh-CN"/>
              </w:rPr>
              <w:t>根据</w:t>
            </w:r>
            <w:r>
              <w:rPr>
                <w:rFonts w:hint="eastAsia"/>
                <w:color w:val="auto"/>
                <w:highlight w:val="none"/>
              </w:rPr>
              <w:t>《中共中央 国务院关于实施就业优先战略促进高质量充分就业的意见》（中发〔2024〕18 号）、《人力资源社会保障部等 5 部门关于进一步健全就业公共服务体系的意见》（人社部发〔2025〕21 号）、《广西壮族自治区人力资源和社会保障厅等 5 部门关于印发&lt;广西高质量就业公共服务体系建设三年行动方案（2025—2027）&gt;的通知》</w:t>
            </w:r>
            <w:r>
              <w:rPr>
                <w:rFonts w:hint="eastAsia"/>
                <w:color w:val="auto"/>
                <w:highlight w:val="none"/>
                <w:lang w:eastAsia="zh-CN"/>
              </w:rPr>
              <w:t>、</w:t>
            </w:r>
            <w:r>
              <w:rPr>
                <w:rFonts w:hint="eastAsia" w:ascii="宋体" w:hAnsi="宋体" w:eastAsia="宋体" w:cs="宋体"/>
                <w:color w:val="auto"/>
                <w:sz w:val="21"/>
                <w:szCs w:val="21"/>
                <w:highlight w:val="none"/>
                <w:u w:val="none"/>
              </w:rPr>
              <w:t>《南宁市人力资源和社会保障局 南宁市财政局关于印发南宁市高质量就业公共服务体系建设三年行动方案（2025—2027年）的通知》（南人社发〔2025〕18号）、《南宁市人力资源和社会保障局 关于印发南宁市基层公共就业服务机构服务补助实施细则（试行）的通知》（南人社规〔2025〕3号）</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《南宁市人力资源和社会保障局办公室关于进一步做好全市就业公共服务体系相关工作的通知》</w:t>
            </w:r>
            <w:r>
              <w:rPr>
                <w:rFonts w:hint="eastAsia" w:ascii="宋体" w:hAnsi="宋体" w:eastAsia="宋体" w:cs="宋体"/>
                <w:color w:val="auto"/>
                <w:sz w:val="21"/>
                <w:szCs w:val="21"/>
                <w:highlight w:val="none"/>
                <w:u w:val="none"/>
                <w:lang w:eastAsia="zh-CN"/>
              </w:rPr>
              <w:t>和</w:t>
            </w:r>
            <w:r>
              <w:rPr>
                <w:rFonts w:hint="eastAsia" w:ascii="宋体" w:hAnsi="宋体" w:eastAsia="宋体" w:cs="宋体"/>
                <w:color w:val="auto"/>
                <w:sz w:val="21"/>
                <w:szCs w:val="21"/>
                <w:highlight w:val="none"/>
                <w:lang w:val="en-US" w:eastAsia="zh-CN"/>
              </w:rPr>
              <w:t>《2026年南宁市为民办实事就业惠民工程—十五分钟就业服务（零工市场）项目实施方案的通知》</w:t>
            </w:r>
            <w:r>
              <w:rPr>
                <w:rFonts w:hint="eastAsia" w:ascii="宋体" w:hAnsi="宋体" w:eastAsia="宋体" w:cs="宋体"/>
                <w:color w:val="auto"/>
                <w:sz w:val="21"/>
                <w:szCs w:val="21"/>
                <w:highlight w:val="none"/>
                <w:u w:val="none"/>
              </w:rPr>
              <w:t>等文件精神，现拟通过政府采购的方式，引进专业的第三方服务机构提供基层就业服务网点（</w:t>
            </w:r>
            <w:r>
              <w:rPr>
                <w:rFonts w:hint="eastAsia" w:ascii="宋体" w:hAnsi="宋体" w:eastAsia="宋体" w:cs="宋体"/>
                <w:color w:val="auto"/>
                <w:sz w:val="21"/>
                <w:szCs w:val="21"/>
                <w:highlight w:val="none"/>
                <w:u w:val="none"/>
                <w:lang w:eastAsia="zh-CN"/>
              </w:rPr>
              <w:t>就业服务站</w:t>
            </w:r>
            <w:r>
              <w:rPr>
                <w:rFonts w:hint="eastAsia" w:ascii="宋体" w:hAnsi="宋体" w:eastAsia="宋体" w:cs="宋体"/>
                <w:color w:val="auto"/>
                <w:sz w:val="21"/>
                <w:szCs w:val="21"/>
                <w:highlight w:val="none"/>
                <w:u w:val="none"/>
              </w:rPr>
              <w:t>）项目运营服务，推进武鸣区零工市场、就业服务站全域覆盖</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形成就业公共服务常住人口全覆盖、用人主体广惠及、就业创业全贯通的服务体系。</w:t>
            </w:r>
          </w:p>
          <w:p w14:paraId="256CB3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二、采购</w:t>
            </w:r>
            <w:r>
              <w:rPr>
                <w:rFonts w:hint="eastAsia" w:ascii="宋体" w:hAnsi="宋体" w:eastAsia="宋体" w:cs="宋体"/>
                <w:b/>
                <w:bCs/>
                <w:color w:val="auto"/>
                <w:sz w:val="21"/>
                <w:szCs w:val="21"/>
                <w:highlight w:val="none"/>
              </w:rPr>
              <w:t>目标</w:t>
            </w:r>
          </w:p>
          <w:p w14:paraId="3BD2B5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通过政府购买服务方式，引入专业第三方服务机构承接运营，全面推进武鸣区15分钟就业服务圈建设，规范建成并运营7个一级就业服务站，服务内容涵盖为失业人员、就业困难人员、脱贫劳动力、返乡回流人员、高校毕业生等重点群体提供政策宣讲、岗位推荐、零工服务、技能培训、就业援助等就业创业专业服务，为用人单位提供用工登记、信息发布、招工送工、创业培训等服务的公共就业服务；定期组织招聘会、政策宣传、公益性技能培训、就业创业服务等活动；提供线上线下一体化信息平台，为求职者、用人单位提供自助便捷的就业服务，基层管理人员可通过后台查阅、调取服务数据和资料，实现线上线下就业服务站数据实时同步。就业服务站分布参考附件1《2026年南宁市武鸣区基层就业服务网点（就业服务站）项目站点分布明细表》（以下简写为附件1）。</w:t>
            </w:r>
          </w:p>
          <w:p w14:paraId="2A5D48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0" w:firstLineChars="1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三</w:t>
            </w:r>
            <w:r>
              <w:rPr>
                <w:rFonts w:hint="eastAsia" w:ascii="宋体" w:hAnsi="宋体" w:eastAsia="宋体" w:cs="宋体"/>
                <w:b/>
                <w:bCs/>
                <w:color w:val="auto"/>
                <w:sz w:val="21"/>
                <w:szCs w:val="21"/>
                <w:highlight w:val="none"/>
                <w:lang w:eastAsia="zh-CN"/>
              </w:rPr>
              <w:t>、采购服务内容</w:t>
            </w:r>
          </w:p>
          <w:p w14:paraId="7D32697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2" w:leftChars="0" w:right="0" w:firstLine="42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提供一级就业服务站运营服务</w:t>
            </w:r>
          </w:p>
          <w:p w14:paraId="4DA2990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面向武鸣区提供7个一级就业服务站运营服务，站点分布详见附件1。第三方服务机构按照“六统一”的原则，参照南宁市一级就业服务站规范配备标准，为每个站点配备支持包括但不限于办公服务、求职服务、便民服务、爱心服务、安全防护等必要的服务设备，并配备开展就业服务所需的专门运营团队（不少于16人</w:t>
            </w:r>
            <w:r>
              <w:rPr>
                <w:rFonts w:hint="eastAsia" w:ascii="宋体" w:hAnsi="宋体" w:cs="宋体"/>
                <w:color w:val="auto"/>
                <w:sz w:val="21"/>
                <w:szCs w:val="21"/>
                <w:highlight w:val="none"/>
                <w:lang w:val="en-US" w:eastAsia="zh-CN"/>
              </w:rPr>
              <w:t>，且具备大专及以上文化水平</w:t>
            </w:r>
            <w:r>
              <w:rPr>
                <w:rFonts w:hint="eastAsia" w:ascii="宋体" w:hAnsi="宋体" w:eastAsia="宋体" w:cs="宋体"/>
                <w:color w:val="auto"/>
                <w:sz w:val="21"/>
                <w:szCs w:val="21"/>
                <w:highlight w:val="none"/>
                <w:lang w:val="en-US" w:eastAsia="zh-CN"/>
              </w:rPr>
              <w:t>），严格对照一级就业服务站的服务内容，挖掘市场用工需求和掌握群众就业意向，常态化为就业服务站辖区及周边用工单位和群众提供免费的就业公共服务，对辖区重点群体开展就业帮扶服务，让更多群众实现在“家门口”就业(参考附件2.南宁市一级就业服务站规范配备标准（以下简写为附件2）、附件3.南宁市一级就业服务站服务事项清单（以下简写为附件3）、附件4.南宁市武鸣区一级就业服务站服务考核标准（以下简写为附件4）)。</w:t>
            </w:r>
          </w:p>
          <w:p w14:paraId="460C876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1.规范服务标准，提升运营效能</w:t>
            </w:r>
          </w:p>
          <w:p w14:paraId="0F91529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（1）招工与求职服务。</w:t>
            </w:r>
            <w:r>
              <w:rPr>
                <w:rFonts w:hint="eastAsia" w:ascii="宋体" w:hAnsi="宋体" w:eastAsia="宋体" w:cs="宋体"/>
                <w:color w:val="auto"/>
                <w:sz w:val="21"/>
                <w:szCs w:val="21"/>
                <w:highlight w:val="none"/>
                <w:lang w:val="en-US" w:eastAsia="zh-CN"/>
              </w:rPr>
              <w:t>依托广西“一库一平台”（一库：广西就业信息资源库，一平台：广西“数智人社”信息系统就业创业平台）及南宁市人力资源和社会保障局指定或认可的其他信息平台数据，整合工业园区、农产品、木材加工行业企业商户用工资源、培训需求等信息，常态化开展用工摸排、就业摸排、招工用工、校企对接、劳务输送、岗位推荐、技能培训等服务，运用大数据、人工智能实现岗位与求职者智能匹配，就近吸纳周边农村劳动力实现就业。依托春风行动、民营企业招聘月、乡镇圩日招聘会等载体常态化开展现场供需对接，推送就近岗位、创业贷款、技能培训等信息，助力农村劳动力就地就近就业增收。各站点配备智能自助终端，提供“扫码即荐岗”服务。</w:t>
            </w:r>
          </w:p>
          <w:p w14:paraId="785A874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（2）政策宣传与咨询服务。</w:t>
            </w:r>
            <w:r>
              <w:rPr>
                <w:rFonts w:hint="eastAsia" w:ascii="宋体" w:hAnsi="宋体" w:eastAsia="宋体" w:cs="宋体"/>
                <w:color w:val="auto"/>
                <w:sz w:val="21"/>
                <w:szCs w:val="21"/>
                <w:highlight w:val="none"/>
                <w:lang w:val="en-US" w:eastAsia="zh-CN"/>
              </w:rPr>
              <w:t>分类梳理就业创业补贴、创业担保贷款、技能培训等惠企惠民政策，多渠道做好政策答疑和申报指引。面向高校毕业生重点推送就业见习、就业补贴、创业扶持政策；面向农村劳动力、返乡创业者重点宣传返乡创业补贴、创业担保贷款、免费技能培训等政策；面向低保、残疾人、就业困难人员重点推介灵活就业社保补贴、公益性岗位安置等兜底政策。</w:t>
            </w:r>
          </w:p>
          <w:p w14:paraId="52E4D6B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（3）技能培训服务。</w:t>
            </w:r>
            <w:r>
              <w:rPr>
                <w:rFonts w:hint="eastAsia" w:ascii="宋体" w:hAnsi="宋体" w:eastAsia="宋体" w:cs="宋体"/>
                <w:color w:val="auto"/>
                <w:sz w:val="21"/>
                <w:szCs w:val="21"/>
                <w:highlight w:val="none"/>
                <w:lang w:val="en-US" w:eastAsia="zh-CN"/>
              </w:rPr>
              <w:t>紧扣武鸣沃柑产业、农产品电商、家政育婴、电工焊工、先进制造、新兴职业等市场紧缺工种，创新培训模式，利用劳动者业余时段开班授课，有针对性地组织引导有培训需求的农村劳动力参加实用技能培训、“技能夜校”和“周末技能课堂”等培训，培训后做好就业岗位推荐、就业情况跟踪登记。</w:t>
            </w:r>
          </w:p>
          <w:p w14:paraId="78D41D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（4）就业援助服务。</w:t>
            </w:r>
            <w:r>
              <w:rPr>
                <w:rFonts w:hint="eastAsia" w:ascii="宋体" w:hAnsi="宋体" w:eastAsia="宋体" w:cs="宋体"/>
                <w:color w:val="auto"/>
                <w:sz w:val="21"/>
                <w:szCs w:val="21"/>
                <w:highlight w:val="none"/>
                <w:lang w:val="en-US" w:eastAsia="zh-CN"/>
              </w:rPr>
              <w:t>建立武鸣区内登记失业人员、就业困难人员、退役军人、离校未就业高校毕业生、脱贫劳动力、防返贫监测户（防止返贫致贫对象）、农村返乡回流人员、雨露计划毕业生等重点群体帮扶台账，按要求开展</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1131”、“251”就业跟踪帮扶，实行一人一档一策、动态销号管理精准帮扶，就业帮扶率达100%</w:t>
            </w:r>
            <w:r>
              <w:rPr>
                <w:rFonts w:hint="eastAsia" w:ascii="宋体" w:hAnsi="宋体" w:cs="宋体"/>
                <w:color w:val="auto"/>
                <w:sz w:val="21"/>
                <w:szCs w:val="21"/>
                <w:highlight w:val="none"/>
                <w:lang w:val="en-US" w:eastAsia="zh-CN"/>
              </w:rPr>
              <w:t>。</w:t>
            </w:r>
          </w:p>
          <w:p w14:paraId="056431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（5）劳动维权服务。</w:t>
            </w:r>
            <w:r>
              <w:rPr>
                <w:rFonts w:hint="eastAsia" w:ascii="宋体" w:hAnsi="宋体" w:eastAsia="宋体" w:cs="宋体"/>
                <w:color w:val="auto"/>
                <w:sz w:val="21"/>
                <w:szCs w:val="21"/>
                <w:highlight w:val="none"/>
                <w:lang w:val="en-US" w:eastAsia="zh-CN"/>
              </w:rPr>
              <w:t>各站点设立劳动维权服务专窗，提供劳动者工资、社保、劳动关系等合法权益维权指引服务。</w:t>
            </w:r>
          </w:p>
          <w:p w14:paraId="7B22D7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（6）便民延伸服务。</w:t>
            </w:r>
            <w:r>
              <w:rPr>
                <w:rFonts w:hint="eastAsia" w:ascii="宋体" w:hAnsi="宋体" w:eastAsia="宋体" w:cs="宋体"/>
                <w:color w:val="auto"/>
                <w:sz w:val="21"/>
                <w:szCs w:val="21"/>
                <w:highlight w:val="none"/>
                <w:lang w:val="en-US" w:eastAsia="zh-CN"/>
              </w:rPr>
              <w:t>结合各站点周边群众实际需求，拓展简历免费打印修改、就业失业登记指引、灵活就业备案咨询、创业场地信息查询等配套服务，站点配套休息、饮水、手机充电、安全防护等便民设施设备，打造暖心便民服务阵地。</w:t>
            </w:r>
          </w:p>
          <w:p w14:paraId="04A6F4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2.强化标准引领，打造品质标杆</w:t>
            </w:r>
          </w:p>
          <w:p w14:paraId="1C8F304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（1）统一标准建设：</w:t>
            </w:r>
            <w:r>
              <w:rPr>
                <w:rFonts w:hint="eastAsia" w:ascii="宋体" w:hAnsi="宋体" w:eastAsia="宋体" w:cs="宋体"/>
                <w:color w:val="auto"/>
                <w:sz w:val="21"/>
                <w:szCs w:val="21"/>
                <w:highlight w:val="none"/>
                <w:lang w:val="en-US" w:eastAsia="zh-CN"/>
              </w:rPr>
              <w:t>按照有服务场所、有服务设施、有服务团队、有服务标识、有服务清单、有服务制度、有服务台账、有服务系统“八有”标准，严格执行统一命名规则、统一视觉识别、统一布局配置、统一服务清单、统一服务要求、统一调度监督“六统一”规范建设（详见附件2），打造站点标准样板，规范站点功能分区与日常运维。</w:t>
            </w:r>
          </w:p>
          <w:p w14:paraId="118A52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1"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（2）强化运营考核：</w:t>
            </w:r>
            <w:r>
              <w:rPr>
                <w:rFonts w:hint="eastAsia" w:ascii="宋体" w:hAnsi="宋体" w:eastAsia="宋体" w:cs="宋体"/>
                <w:color w:val="auto"/>
                <w:sz w:val="21"/>
                <w:szCs w:val="21"/>
                <w:highlight w:val="none"/>
                <w:lang w:val="en-US" w:eastAsia="zh-CN"/>
              </w:rPr>
              <w:t>根据服务事项、服务内容、服务考核标准等内容（详见附件3、附件4）规范运营考核，建立完整工作台账，按照“月汇总，季研判，年考核”工作机制开展站点自查自纠，配合城区人社部门及乡镇实地督查考核，根据考核督查情况优化服务举措。</w:t>
            </w:r>
          </w:p>
          <w:p w14:paraId="2514112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（二）提供智能化就业平台服务</w:t>
            </w:r>
          </w:p>
          <w:p w14:paraId="42D2A8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采购人未指定运营管理信息服务平台前，第三方服务机构须提供符合国家规范、具备合法运营资质的线上线下综合智能化就业服务平台。企业、群众可通过平台在线进行“找政策、找工作、找人才、找招聘会、找零工、找创业、找培训”等服务；采购方和基层管理人可通过后台查阅、调取服务数据和资料，以及进行服务监测分析和展示，实现线上线下就业服务网点数据实时同步；相关数据应同步共享关联至广西“数智人社”信息系统、广西就业信息平台和南宁市人力资源和社会保障局指定或认可的其他信息平台，实现数据互通、业务协同、信息同步。如采购人指定有运营能力的信息服务平台，第三方服务机构应全面统一使用该平台进行日常运营管理。</w:t>
            </w:r>
          </w:p>
          <w:p w14:paraId="602C92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1.便民服务掌上通办。</w:t>
            </w:r>
            <w:r>
              <w:rPr>
                <w:rFonts w:hint="eastAsia" w:ascii="宋体" w:hAnsi="宋体" w:eastAsia="宋体" w:cs="宋体"/>
                <w:color w:val="auto"/>
                <w:sz w:val="21"/>
                <w:szCs w:val="21"/>
                <w:highlight w:val="none"/>
                <w:lang w:val="en-US" w:eastAsia="zh-CN"/>
              </w:rPr>
              <w:t>提供就业服务APP或微信小程序等于一体的综合智能化就业服务平台，实现群众一键找工作、找零工、找招聘会、找培训、找创业、找政策、找补贴、找维权，平台嵌入点位导航功能，一键就近查找就业服务站点和用人单位位置。</w:t>
            </w:r>
          </w:p>
          <w:p w14:paraId="0C9CADD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2.就业数据动态归集。</w:t>
            </w:r>
            <w:r>
              <w:rPr>
                <w:rFonts w:hint="eastAsia" w:ascii="宋体" w:hAnsi="宋体" w:eastAsia="宋体" w:cs="宋体"/>
                <w:color w:val="auto"/>
                <w:sz w:val="21"/>
                <w:szCs w:val="21"/>
                <w:highlight w:val="none"/>
                <w:lang w:val="en-US" w:eastAsia="zh-CN"/>
              </w:rPr>
              <w:t>动态归集更新企业用工、城乡求职者、重点帮扶对象的基础信息，依托平台实现岗位、人才、政策智能匹配、精准定向推送，落实“政策找人、服务找人”，提升服务精准度。工作人员下沉村屯、园区走访摸排，摸排辖区内劳动力和用人单位资源，年内在广西“数智人社”系统完成农村劳动力数据更新率达90%以上。</w:t>
            </w:r>
          </w:p>
          <w:p w14:paraId="492CAA5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3.规范平台管理与数据互通。</w:t>
            </w:r>
            <w:r>
              <w:rPr>
                <w:rFonts w:hint="eastAsia" w:ascii="宋体" w:hAnsi="宋体" w:eastAsia="宋体" w:cs="宋体"/>
                <w:color w:val="auto"/>
                <w:sz w:val="21"/>
                <w:szCs w:val="21"/>
                <w:highlight w:val="none"/>
                <w:lang w:val="en-US" w:eastAsia="zh-CN"/>
              </w:rPr>
              <w:t>专人管理运维就业服务平台，运用数据可视化开展就业形势研判，形成月度报告、服务调度决策。规范跨层级数据互通与平台切换，按要求将平台相关经办数据实时同步录入至广西“数智人社”信息系统、广西就业信息平台和南宁市人社局指定的其他信息平台；采购人指定统一运营平台后，第三方服务机构按期完成系统切换、历史数据迁移，确保全部站点统一使用指定平台开展运营。</w:t>
            </w:r>
          </w:p>
          <w:p w14:paraId="47E2B1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1"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（三）其他相关服务要求</w:t>
            </w:r>
          </w:p>
          <w:p w14:paraId="095C5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站点建设前需提交建设设计方案、设备设施配置方案，经采购方审核同意后方可实施；建设完成后提交设备设施清单、造价明细，作为项目验收依据。所有站点须在规定期限内完成标准化建设、设备配齐、人员到位并投入试运营，按期通过采购方验收。</w:t>
            </w:r>
          </w:p>
          <w:p w14:paraId="4D759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（2）该项目配备常驻武鸣区主（专）管员不少于2名，每个站点常态化配备专职工作人员不少于2名，</w:t>
            </w:r>
            <w:r>
              <w:rPr>
                <w:rFonts w:hint="eastAsia" w:ascii="宋体" w:hAnsi="宋体" w:cs="宋体"/>
                <w:b w:val="0"/>
                <w:bCs w:val="0"/>
                <w:color w:val="auto"/>
                <w:sz w:val="21"/>
                <w:szCs w:val="21"/>
                <w:highlight w:val="none"/>
                <w:lang w:val="en-US" w:eastAsia="zh-CN"/>
              </w:rPr>
              <w:t>所有人员工作地点应报采购方同意。</w:t>
            </w:r>
            <w:r>
              <w:rPr>
                <w:rFonts w:hint="eastAsia" w:ascii="宋体" w:hAnsi="宋体" w:eastAsia="宋体" w:cs="宋体"/>
                <w:b w:val="0"/>
                <w:bCs w:val="0"/>
                <w:color w:val="auto"/>
                <w:sz w:val="21"/>
                <w:szCs w:val="21"/>
                <w:highlight w:val="none"/>
                <w:lang w:val="en-US" w:eastAsia="zh-CN"/>
              </w:rPr>
              <w:t>所有人员须熟悉就业创业政策，具备基层就业创业服务、职业指导、用工对接、招聘活动、技能培训等相关组织业务能力。</w:t>
            </w:r>
          </w:p>
          <w:p w14:paraId="0E9D09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（3）服务站筹备完成后，成交供应商须向采购人提供就业服务站规范配备的设备设施清单（含造价清单）（作为验收依据之一）。服务期满，</w:t>
            </w:r>
            <w:r>
              <w:rPr>
                <w:rFonts w:hint="eastAsia" w:ascii="宋体" w:hAnsi="宋体" w:cs="宋体"/>
                <w:b w:val="0"/>
                <w:bCs w:val="0"/>
                <w:color w:val="auto"/>
                <w:sz w:val="21"/>
                <w:szCs w:val="21"/>
                <w:highlight w:val="none"/>
                <w:lang w:val="en-US" w:eastAsia="zh-CN"/>
              </w:rPr>
              <w:t>所有服务</w:t>
            </w:r>
            <w:r>
              <w:rPr>
                <w:rFonts w:hint="eastAsia" w:ascii="宋体" w:hAnsi="宋体" w:eastAsia="宋体" w:cs="宋体"/>
                <w:b w:val="0"/>
                <w:bCs w:val="0"/>
                <w:color w:val="auto"/>
                <w:sz w:val="21"/>
                <w:szCs w:val="21"/>
                <w:highlight w:val="none"/>
                <w:lang w:val="en-US" w:eastAsia="zh-CN"/>
              </w:rPr>
              <w:t>站点</w:t>
            </w:r>
            <w:r>
              <w:rPr>
                <w:rFonts w:hint="eastAsia" w:ascii="宋体" w:hAnsi="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lang w:val="en-US" w:eastAsia="zh-CN"/>
              </w:rPr>
              <w:t>设备设施不</w:t>
            </w:r>
            <w:r>
              <w:rPr>
                <w:rFonts w:hint="eastAsia" w:ascii="宋体" w:hAnsi="宋体" w:cs="宋体"/>
                <w:b w:val="0"/>
                <w:bCs w:val="0"/>
                <w:color w:val="auto"/>
                <w:sz w:val="21"/>
                <w:szCs w:val="21"/>
                <w:highlight w:val="none"/>
                <w:lang w:val="en-US" w:eastAsia="zh-CN"/>
              </w:rPr>
              <w:t>允许</w:t>
            </w:r>
            <w:r>
              <w:rPr>
                <w:rFonts w:hint="eastAsia" w:ascii="宋体" w:hAnsi="宋体" w:eastAsia="宋体" w:cs="宋体"/>
                <w:b w:val="0"/>
                <w:bCs w:val="0"/>
                <w:color w:val="auto"/>
                <w:sz w:val="21"/>
                <w:szCs w:val="21"/>
                <w:highlight w:val="none"/>
                <w:lang w:val="en-US" w:eastAsia="zh-CN"/>
              </w:rPr>
              <w:t>拆卸、损坏或转移，应</w:t>
            </w:r>
            <w:r>
              <w:rPr>
                <w:rFonts w:hint="eastAsia" w:ascii="宋体" w:hAnsi="宋体" w:cs="宋体"/>
                <w:b w:val="0"/>
                <w:bCs w:val="0"/>
                <w:color w:val="auto"/>
                <w:sz w:val="21"/>
                <w:szCs w:val="21"/>
                <w:highlight w:val="none"/>
                <w:lang w:val="en-US" w:eastAsia="zh-CN"/>
              </w:rPr>
              <w:t>全部</w:t>
            </w:r>
            <w:r>
              <w:rPr>
                <w:rFonts w:hint="eastAsia" w:ascii="宋体" w:hAnsi="宋体" w:eastAsia="宋体" w:cs="宋体"/>
                <w:b w:val="0"/>
                <w:bCs w:val="0"/>
                <w:color w:val="auto"/>
                <w:sz w:val="21"/>
                <w:szCs w:val="21"/>
                <w:highlight w:val="none"/>
                <w:lang w:val="en-US" w:eastAsia="zh-CN"/>
              </w:rPr>
              <w:t>无偿完整移交</w:t>
            </w:r>
            <w:r>
              <w:rPr>
                <w:rFonts w:hint="eastAsia" w:ascii="宋体" w:hAnsi="宋体" w:cs="宋体"/>
                <w:b w:val="0"/>
                <w:bCs w:val="0"/>
                <w:color w:val="auto"/>
                <w:sz w:val="21"/>
                <w:szCs w:val="21"/>
                <w:highlight w:val="none"/>
                <w:lang w:val="en-US" w:eastAsia="zh-CN"/>
              </w:rPr>
              <w:t>至经采购</w:t>
            </w:r>
            <w:r>
              <w:rPr>
                <w:rFonts w:hint="eastAsia" w:ascii="宋体" w:hAnsi="宋体" w:eastAsia="宋体" w:cs="宋体"/>
                <w:b w:val="0"/>
                <w:bCs w:val="0"/>
                <w:color w:val="auto"/>
                <w:sz w:val="21"/>
                <w:szCs w:val="21"/>
                <w:highlight w:val="none"/>
                <w:lang w:val="en-US" w:eastAsia="zh-CN"/>
              </w:rPr>
              <w:t>或评审程序重新确定或采购</w:t>
            </w:r>
            <w:r>
              <w:rPr>
                <w:rFonts w:hint="eastAsia" w:ascii="宋体" w:hAnsi="宋体" w:cs="宋体"/>
                <w:b w:val="0"/>
                <w:bCs w:val="0"/>
                <w:color w:val="auto"/>
                <w:sz w:val="21"/>
                <w:szCs w:val="21"/>
                <w:highlight w:val="none"/>
                <w:lang w:val="en-US" w:eastAsia="zh-CN"/>
              </w:rPr>
              <w:t>人</w:t>
            </w:r>
            <w:r>
              <w:rPr>
                <w:rFonts w:hint="eastAsia" w:ascii="宋体" w:hAnsi="宋体" w:eastAsia="宋体" w:cs="宋体"/>
                <w:b w:val="0"/>
                <w:bCs w:val="0"/>
                <w:color w:val="auto"/>
                <w:sz w:val="21"/>
                <w:szCs w:val="21"/>
                <w:highlight w:val="none"/>
                <w:lang w:val="en-US" w:eastAsia="zh-CN"/>
              </w:rPr>
              <w:t>确定接管的服务单位继续使用。</w:t>
            </w:r>
          </w:p>
          <w:p w14:paraId="4935C1A6">
            <w:pPr>
              <w:pStyle w:val="7"/>
              <w:keepNext w:val="0"/>
              <w:keepLines w:val="0"/>
              <w:suppressLineNumbers w:val="0"/>
              <w:spacing w:before="0" w:beforeAutospacing="0" w:after="0" w:afterAutospacing="0"/>
              <w:ind w:left="0" w:leftChars="0" w:right="0" w:firstLine="210" w:firstLineChars="100"/>
              <w:rPr>
                <w:rFonts w:hint="eastAsia" w:ascii="Calibri" w:hAnsi="Calibri" w:cs="Calibri"/>
                <w:color w:val="auto"/>
                <w:highlight w:val="none"/>
                <w:lang w:val="en-US" w:eastAsia="zh-CN"/>
              </w:rPr>
            </w:pPr>
            <w:r>
              <w:rPr>
                <w:rFonts w:hint="eastAsia" w:ascii="宋体" w:hAnsi="宋体" w:eastAsia="宋体" w:cs="宋体"/>
                <w:b w:val="0"/>
                <w:bCs w:val="0"/>
                <w:color w:val="auto"/>
                <w:sz w:val="21"/>
                <w:szCs w:val="21"/>
                <w:highlight w:val="none"/>
                <w:lang w:val="en-US" w:eastAsia="zh-CN"/>
              </w:rPr>
              <w:t>（4）服务期内产生的水电、物业、清洁、通信、网络等费用由成交供应商承担，场地提供方免费提供的除外。</w:t>
            </w:r>
          </w:p>
          <w:p w14:paraId="13D9E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1" w:firstLineChars="1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四、采购要求</w:t>
            </w:r>
          </w:p>
          <w:p w14:paraId="5F8F8B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为确保项目可持续运营并提供高质量的服务，采购的第三方服务企业机构须满足（但不限于）以下要求：</w:t>
            </w:r>
          </w:p>
          <w:p w14:paraId="67BAAE9C">
            <w:pPr>
              <w:keepNext w:val="0"/>
              <w:keepLines w:val="0"/>
              <w:pageBreakBefore w:val="0"/>
              <w:widowControl w:val="0"/>
              <w:numPr>
                <w:ilvl w:val="0"/>
                <w:numId w:val="0"/>
              </w:numPr>
              <w:suppressLineNumbers w:val="0"/>
              <w:pBdr>
                <w:bottom w:val="single" w:color="FFFFFF" w:sz="4" w:space="28"/>
              </w:pBdr>
              <w:kinsoku/>
              <w:wordWrap/>
              <w:overflowPunct/>
              <w:topLinePunct/>
              <w:autoSpaceDE/>
              <w:autoSpaceDN/>
              <w:bidi w:val="0"/>
              <w:adjustRightInd w:val="0"/>
              <w:snapToGrid w:val="0"/>
              <w:spacing w:before="0" w:beforeAutospacing="0" w:after="0" w:afterAutospacing="0" w:line="360" w:lineRule="exact"/>
              <w:ind w:left="0" w:right="0" w:righ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具有较强招聘能力：有稳定的招聘服务团队，具有较强的招聘服务和吸纳就业的能力；为该项目组建一支不少于16人的专属团队</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具备大专及以上文化水平</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，且团队中吸纳的离校未就业高校毕业生、有相关工作经验的人员比例分别不少于30%。</w:t>
            </w:r>
          </w:p>
          <w:p w14:paraId="3E1184D1">
            <w:pPr>
              <w:keepNext w:val="0"/>
              <w:keepLines w:val="0"/>
              <w:pageBreakBefore w:val="0"/>
              <w:widowControl w:val="0"/>
              <w:numPr>
                <w:ilvl w:val="0"/>
                <w:numId w:val="0"/>
              </w:numPr>
              <w:suppressLineNumbers w:val="0"/>
              <w:pBdr>
                <w:bottom w:val="single" w:color="FFFFFF" w:sz="4" w:space="28"/>
              </w:pBdr>
              <w:kinsoku/>
              <w:wordWrap/>
              <w:overflowPunct/>
              <w:topLinePunct/>
              <w:autoSpaceDE/>
              <w:autoSpaceDN/>
              <w:bidi w:val="0"/>
              <w:adjustRightInd w:val="0"/>
              <w:snapToGrid w:val="0"/>
              <w:spacing w:before="0" w:beforeAutospacing="0" w:after="0" w:afterAutospacing="0" w:line="360" w:lineRule="exact"/>
              <w:ind w:left="0" w:right="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具备运营服务能力：具备跨区域、多层级资源整合能力和市场运营服务能力，能依托搭建的线上线下平台影响，拓展市场延伸性服务、精细化服务、关联性服务，保障武鸣区基层就业服务网点（就业服务站）项目长期稳定运行，</w:t>
            </w:r>
            <w:r>
              <w:rPr>
                <w:rFonts w:hint="eastAsia" w:ascii="宋体" w:hAnsi="宋体" w:cs="宋体"/>
                <w:b w:val="0"/>
                <w:bCs w:val="0"/>
                <w:strike w:val="0"/>
                <w:dstrike w:val="0"/>
                <w:color w:val="auto"/>
                <w:sz w:val="21"/>
                <w:szCs w:val="21"/>
                <w:highlight w:val="none"/>
                <w:lang w:val="en-US" w:eastAsia="zh-CN"/>
              </w:rPr>
              <w:t>有效发挥财政资金效益，持续完善就业公共服务供给。</w:t>
            </w:r>
          </w:p>
          <w:p w14:paraId="6B43CDDA">
            <w:pPr>
              <w:keepNext w:val="0"/>
              <w:keepLines w:val="0"/>
              <w:pageBreakBefore w:val="0"/>
              <w:widowControl w:val="0"/>
              <w:numPr>
                <w:ilvl w:val="0"/>
                <w:numId w:val="0"/>
              </w:numPr>
              <w:suppressLineNumbers w:val="0"/>
              <w:pBdr>
                <w:bottom w:val="single" w:color="FFFFFF" w:sz="4" w:space="28"/>
              </w:pBdr>
              <w:kinsoku/>
              <w:wordWrap/>
              <w:overflowPunct/>
              <w:topLinePunct/>
              <w:autoSpaceDE/>
              <w:autoSpaceDN/>
              <w:bidi w:val="0"/>
              <w:adjustRightInd w:val="0"/>
              <w:snapToGrid w:val="0"/>
              <w:spacing w:before="0" w:beforeAutospacing="0" w:after="0" w:afterAutospacing="0" w:line="360" w:lineRule="exact"/>
              <w:ind w:left="0" w:right="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3.具有技能培训能力：自主(控股或参股)经营有符合规定的职业技能培训机构，或与符合</w:t>
            </w:r>
            <w:r>
              <w:rPr>
                <w:rFonts w:hint="eastAsia" w:ascii="宋体" w:hAnsi="宋体" w:cs="宋体"/>
                <w:b w:val="0"/>
                <w:bCs w:val="0"/>
                <w:color w:val="auto"/>
                <w:sz w:val="21"/>
                <w:szCs w:val="21"/>
                <w:highlight w:val="none"/>
                <w:lang w:val="en-US" w:eastAsia="zh-CN"/>
              </w:rPr>
              <w:t>南宁市</w:t>
            </w:r>
            <w:r>
              <w:rPr>
                <w:rFonts w:hint="eastAsia" w:ascii="宋体" w:hAnsi="宋体" w:eastAsia="宋体" w:cs="宋体"/>
                <w:b w:val="0"/>
                <w:bCs w:val="0"/>
                <w:color w:val="auto"/>
                <w:sz w:val="21"/>
                <w:szCs w:val="21"/>
                <w:highlight w:val="none"/>
                <w:lang w:val="en-US" w:eastAsia="zh-CN"/>
              </w:rPr>
              <w:t>管理规定的职业技能培训机构签订</w:t>
            </w:r>
            <w:r>
              <w:rPr>
                <w:rFonts w:hint="eastAsia" w:ascii="宋体" w:hAnsi="宋体" w:cs="宋体"/>
                <w:b w:val="0"/>
                <w:bCs w:val="0"/>
                <w:color w:val="auto"/>
                <w:sz w:val="21"/>
                <w:szCs w:val="21"/>
                <w:highlight w:val="none"/>
                <w:lang w:val="en-US" w:eastAsia="zh-CN"/>
              </w:rPr>
              <w:t>过</w:t>
            </w:r>
            <w:r>
              <w:rPr>
                <w:rFonts w:hint="eastAsia" w:ascii="宋体" w:hAnsi="宋体" w:eastAsia="宋体" w:cs="宋体"/>
                <w:b w:val="0"/>
                <w:bCs w:val="0"/>
                <w:color w:val="auto"/>
                <w:sz w:val="21"/>
                <w:szCs w:val="21"/>
                <w:highlight w:val="none"/>
                <w:lang w:val="en-US" w:eastAsia="zh-CN"/>
              </w:rPr>
              <w:t>合作协议(合同)并在合作期内，具备为武鸣区常态化提供“岗位需求+技能培训+技能评价+就业服务”四位一体的培训模式服务能力。</w:t>
            </w:r>
          </w:p>
          <w:p w14:paraId="6EAD5EA6">
            <w:pPr>
              <w:keepNext w:val="0"/>
              <w:keepLines w:val="0"/>
              <w:pageBreakBefore w:val="0"/>
              <w:widowControl w:val="0"/>
              <w:numPr>
                <w:ilvl w:val="0"/>
                <w:numId w:val="0"/>
              </w:numPr>
              <w:suppressLineNumbers w:val="0"/>
              <w:pBdr>
                <w:bottom w:val="single" w:color="FFFFFF" w:sz="4" w:space="28"/>
              </w:pBdr>
              <w:kinsoku/>
              <w:wordWrap/>
              <w:overflowPunct/>
              <w:topLinePunct/>
              <w:autoSpaceDE/>
              <w:autoSpaceDN/>
              <w:bidi w:val="0"/>
              <w:adjustRightInd w:val="0"/>
              <w:snapToGrid w:val="0"/>
              <w:spacing w:before="0" w:beforeAutospacing="0" w:after="0" w:afterAutospacing="0" w:line="360" w:lineRule="exact"/>
              <w:ind w:left="0" w:right="0" w:firstLine="420" w:firstLineChars="200"/>
              <w:jc w:val="left"/>
              <w:textAlignment w:val="auto"/>
              <w:rPr>
                <w:rFonts w:hint="eastAsia" w:ascii="宋体" w:hAnsi="宋体" w:eastAsia="宋体" w:cs="宋体"/>
                <w:strike w:val="0"/>
                <w:dstrike w:val="0"/>
                <w:color w:val="auto"/>
                <w:sz w:val="21"/>
                <w:szCs w:val="21"/>
                <w:highlight w:val="none"/>
                <w:u w:val="none"/>
              </w:rPr>
            </w:pPr>
            <w:r>
              <w:rPr>
                <w:rFonts w:hint="eastAsia" w:ascii="宋体" w:hAnsi="宋体" w:eastAsia="宋体" w:cs="宋体"/>
                <w:b w:val="0"/>
                <w:bCs w:val="0"/>
                <w:color w:val="auto"/>
                <w:sz w:val="21"/>
                <w:szCs w:val="21"/>
                <w:highlight w:val="none"/>
                <w:lang w:val="en-US" w:eastAsia="zh-CN"/>
              </w:rPr>
              <w:t>4.具有较好服务意愿：能充分理解站点配备目标要求和服务内容，提供个性化针对性的服务方案和措施，具有高效透明的服务流程、专业精准的服务能力和持续改进的服务态度，保障每个服务站点能常年配备至少2名专职工作人员，确保常态有人在岗响应服务。</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B7A77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209.50</w:t>
            </w:r>
          </w:p>
        </w:tc>
        <w:tc>
          <w:tcPr>
            <w:tcW w:w="694" w:type="dxa"/>
            <w:tcBorders>
              <w:top w:val="single" w:color="auto" w:sz="4" w:space="0"/>
              <w:left w:val="single" w:color="auto" w:sz="4" w:space="0"/>
              <w:bottom w:val="single" w:color="auto" w:sz="4" w:space="0"/>
              <w:right w:val="single" w:color="auto" w:sz="4" w:space="0"/>
            </w:tcBorders>
            <w:noWrap w:val="0"/>
            <w:vAlign w:val="center"/>
          </w:tcPr>
          <w:p w14:paraId="34ABFF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商务服务业</w:t>
            </w:r>
          </w:p>
        </w:tc>
      </w:tr>
      <w:tr w14:paraId="720B1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551438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p>
          <w:p w14:paraId="1AD3B8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p>
          <w:p w14:paraId="58864A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p>
          <w:p w14:paraId="01BF1D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p>
          <w:p w14:paraId="2511CE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p>
          <w:p w14:paraId="6BCBC5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576" w:type="dxa"/>
            <w:gridSpan w:val="6"/>
            <w:tcBorders>
              <w:top w:val="single" w:color="auto" w:sz="4" w:space="0"/>
              <w:left w:val="single" w:color="auto" w:sz="4" w:space="0"/>
              <w:bottom w:val="single" w:color="auto" w:sz="4" w:space="0"/>
              <w:right w:val="single" w:color="auto" w:sz="4" w:space="0"/>
            </w:tcBorders>
            <w:noWrap w:val="0"/>
            <w:vAlign w:val="top"/>
          </w:tcPr>
          <w:p w14:paraId="05EA19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一、合同签订期：</w:t>
            </w:r>
            <w:r>
              <w:rPr>
                <w:rFonts w:hint="eastAsia" w:ascii="宋体" w:hAnsi="宋体" w:eastAsia="宋体" w:cs="宋体"/>
                <w:color w:val="auto"/>
                <w:sz w:val="21"/>
                <w:szCs w:val="21"/>
                <w:highlight w:val="none"/>
              </w:rPr>
              <w:t>自中标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通知书发出之日起</w:t>
            </w:r>
            <w:r>
              <w:rPr>
                <w:rFonts w:hint="eastAsia" w:ascii="宋体" w:hAnsi="宋体" w:eastAsia="宋体" w:cs="宋体"/>
                <w:color w:val="auto"/>
                <w:sz w:val="21"/>
                <w:szCs w:val="21"/>
                <w:highlight w:val="none"/>
                <w:u w:val="single"/>
              </w:rPr>
              <w:t>25</w:t>
            </w:r>
            <w:r>
              <w:rPr>
                <w:rFonts w:hint="eastAsia" w:ascii="宋体" w:hAnsi="宋体" w:eastAsia="宋体" w:cs="宋体"/>
                <w:color w:val="auto"/>
                <w:sz w:val="21"/>
                <w:szCs w:val="21"/>
                <w:highlight w:val="none"/>
              </w:rPr>
              <w:t>日内</w:t>
            </w:r>
            <w:r>
              <w:rPr>
                <w:rFonts w:hint="eastAsia" w:ascii="宋体" w:hAnsi="宋体" w:eastAsia="宋体" w:cs="宋体"/>
                <w:color w:val="auto"/>
                <w:sz w:val="21"/>
                <w:szCs w:val="21"/>
                <w:highlight w:val="none"/>
                <w:lang w:eastAsia="zh-CN"/>
              </w:rPr>
              <w:t>。</w:t>
            </w:r>
          </w:p>
          <w:p w14:paraId="24423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▲二</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服务期限</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服务期分为筹备和运营两个阶段。筹备期为自签订采购服务合同之日起至2026年11月30日，完成全部站点的规范配备并投入试运营；正式运营服务期自全部站点投入试运营之日的次月1日起12个月。</w:t>
            </w:r>
          </w:p>
          <w:p w14:paraId="371151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三、</w:t>
            </w:r>
            <w:r>
              <w:rPr>
                <w:rFonts w:hint="eastAsia" w:ascii="宋体" w:hAnsi="宋体" w:eastAsia="宋体" w:cs="宋体"/>
                <w:b/>
                <w:bCs/>
                <w:color w:val="auto"/>
                <w:sz w:val="21"/>
                <w:szCs w:val="21"/>
                <w:highlight w:val="none"/>
                <w:lang w:eastAsia="zh-CN"/>
              </w:rPr>
              <w:t>服务</w:t>
            </w:r>
            <w:r>
              <w:rPr>
                <w:rFonts w:hint="eastAsia" w:ascii="宋体" w:hAnsi="宋体" w:eastAsia="宋体" w:cs="宋体"/>
                <w:b/>
                <w:bCs/>
                <w:color w:val="auto"/>
                <w:sz w:val="21"/>
                <w:szCs w:val="21"/>
                <w:highlight w:val="none"/>
              </w:rPr>
              <w:t>地</w:t>
            </w:r>
            <w:r>
              <w:rPr>
                <w:rFonts w:hint="eastAsia" w:ascii="宋体" w:hAnsi="宋体" w:eastAsia="宋体" w:cs="宋体"/>
                <w:b/>
                <w:bCs/>
                <w:color w:val="auto"/>
                <w:sz w:val="21"/>
                <w:szCs w:val="21"/>
                <w:highlight w:val="none"/>
                <w:lang w:eastAsia="zh-CN"/>
              </w:rPr>
              <w:t>点</w:t>
            </w:r>
            <w:r>
              <w:rPr>
                <w:rFonts w:hint="eastAsia" w:ascii="宋体" w:hAnsi="宋体" w:eastAsia="宋体" w:cs="宋体"/>
                <w:color w:val="auto"/>
                <w:sz w:val="21"/>
                <w:szCs w:val="21"/>
                <w:highlight w:val="none"/>
                <w:lang w:eastAsia="zh-CN"/>
              </w:rPr>
              <w:t>：南宁市武鸣区范围内采购人指定地点。</w:t>
            </w:r>
          </w:p>
          <w:p w14:paraId="6B16AA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四、验收标准、规范：</w:t>
            </w:r>
          </w:p>
          <w:p w14:paraId="258FA0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1.验收依据：本项目</w:t>
            </w:r>
            <w:r>
              <w:rPr>
                <w:rFonts w:hint="eastAsia" w:ascii="宋体" w:hAnsi="宋体" w:eastAsia="宋体" w:cs="宋体"/>
                <w:b w:val="0"/>
                <w:bCs w:val="0"/>
                <w:color w:val="auto"/>
                <w:szCs w:val="21"/>
                <w:highlight w:val="none"/>
                <w:lang w:eastAsia="zh-CN"/>
              </w:rPr>
              <w:t>采购</w:t>
            </w:r>
            <w:r>
              <w:rPr>
                <w:rFonts w:hint="eastAsia" w:ascii="宋体" w:hAnsi="宋体" w:eastAsia="宋体" w:cs="宋体"/>
                <w:b w:val="0"/>
                <w:bCs w:val="0"/>
                <w:color w:val="auto"/>
                <w:szCs w:val="21"/>
                <w:highlight w:val="none"/>
              </w:rPr>
              <w:t>文件、</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供应商的</w:t>
            </w:r>
            <w:r>
              <w:rPr>
                <w:rFonts w:hint="eastAsia" w:ascii="宋体" w:hAnsi="宋体" w:eastAsia="宋体" w:cs="宋体"/>
                <w:b w:val="0"/>
                <w:bCs w:val="0"/>
                <w:color w:val="auto"/>
                <w:szCs w:val="21"/>
                <w:highlight w:val="none"/>
                <w:lang w:eastAsia="zh-CN"/>
              </w:rPr>
              <w:t>响应</w:t>
            </w:r>
            <w:r>
              <w:rPr>
                <w:rFonts w:hint="eastAsia" w:ascii="宋体" w:hAnsi="宋体" w:eastAsia="宋体" w:cs="宋体"/>
                <w:b w:val="0"/>
                <w:bCs w:val="0"/>
                <w:color w:val="auto"/>
                <w:szCs w:val="21"/>
                <w:highlight w:val="none"/>
              </w:rPr>
              <w:t>文件、合同书及《关于印发广西壮族自治区政府采购项目履约验收管理办法的通知》（桂财采〔2015〕22号）、《财政部关于进一步加强政府采购需求和履约验收管理的指导意见》（财库〔2016〕205号）。</w:t>
            </w:r>
          </w:p>
          <w:p w14:paraId="7D3405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2.验收所需交付的材料：</w:t>
            </w:r>
          </w:p>
          <w:p w14:paraId="0A948B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（1）筹备：</w:t>
            </w:r>
            <w:r>
              <w:rPr>
                <w:rFonts w:hint="eastAsia" w:ascii="宋体" w:hAnsi="宋体" w:eastAsia="宋体" w:cs="宋体"/>
                <w:b w:val="0"/>
                <w:bCs w:val="0"/>
                <w:color w:val="auto"/>
                <w:szCs w:val="21"/>
                <w:highlight w:val="none"/>
                <w:lang w:eastAsia="zh-CN"/>
              </w:rPr>
              <w:t>人力资源</w:t>
            </w:r>
            <w:r>
              <w:rPr>
                <w:rFonts w:hint="eastAsia" w:ascii="宋体" w:hAnsi="宋体" w:eastAsia="宋体" w:cs="宋体"/>
                <w:b w:val="0"/>
                <w:bCs w:val="0"/>
                <w:color w:val="auto"/>
                <w:szCs w:val="21"/>
                <w:highlight w:val="none"/>
              </w:rPr>
              <w:t>市场、就业服务站规范配备的设备设施清单，各站点运营团队人员投入名录及人员基本信息（含</w:t>
            </w:r>
            <w:r>
              <w:rPr>
                <w:rFonts w:hint="eastAsia" w:ascii="宋体" w:hAnsi="宋体" w:eastAsia="宋体" w:cs="宋体"/>
                <w:b w:val="0"/>
                <w:bCs w:val="0"/>
                <w:color w:val="auto"/>
                <w:szCs w:val="21"/>
                <w:highlight w:val="none"/>
                <w:lang w:val="en-US" w:eastAsia="zh-CN"/>
              </w:rPr>
              <w:t>离校未就业高校毕业生、有相关工作经验的人员</w:t>
            </w:r>
            <w:r>
              <w:rPr>
                <w:rFonts w:hint="eastAsia" w:ascii="宋体" w:hAnsi="宋体" w:eastAsia="宋体" w:cs="宋体"/>
                <w:b w:val="0"/>
                <w:bCs w:val="0"/>
                <w:color w:val="auto"/>
                <w:szCs w:val="21"/>
                <w:highlight w:val="none"/>
              </w:rPr>
              <w:t>投入情况）等。</w:t>
            </w:r>
          </w:p>
          <w:p w14:paraId="72E842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（2）运营：</w:t>
            </w:r>
            <w:r>
              <w:rPr>
                <w:rFonts w:hint="eastAsia" w:ascii="宋体" w:hAnsi="宋体" w:eastAsia="宋体" w:cs="宋体"/>
                <w:b w:val="0"/>
                <w:bCs w:val="0"/>
                <w:color w:val="auto"/>
                <w:szCs w:val="21"/>
                <w:highlight w:val="none"/>
                <w:lang w:eastAsia="zh-CN"/>
              </w:rPr>
              <w:t>满足</w:t>
            </w:r>
            <w:r>
              <w:rPr>
                <w:rFonts w:hint="eastAsia" w:ascii="宋体" w:hAnsi="宋体" w:eastAsia="宋体" w:cs="宋体"/>
                <w:b w:val="0"/>
                <w:bCs w:val="0"/>
                <w:color w:val="auto"/>
                <w:szCs w:val="21"/>
                <w:highlight w:val="none"/>
              </w:rPr>
              <w:t>就业服务站服务内容、考核标准的运营服务成果资料等。</w:t>
            </w:r>
          </w:p>
          <w:p w14:paraId="7CBFC2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3.验收事项</w:t>
            </w:r>
          </w:p>
          <w:p w14:paraId="193400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采购人可以根据采购项目具体情况自行组织验收，或者委托第三方机构或部门开展采购项目履约验收工作，</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供应商应予以全力配合。</w:t>
            </w:r>
          </w:p>
          <w:p w14:paraId="5C8A16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在验收过程中发现</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供应商有违约问题，可暂缓资金结算，待违约问题解决后，方可办理资金结算事宜。</w:t>
            </w:r>
          </w:p>
          <w:p w14:paraId="47D71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提供的服务内容与采购合同及</w:t>
            </w:r>
            <w:r>
              <w:rPr>
                <w:rFonts w:hint="eastAsia" w:ascii="宋体" w:hAnsi="宋体" w:eastAsia="宋体" w:cs="宋体"/>
                <w:b w:val="0"/>
                <w:bCs w:val="0"/>
                <w:color w:val="auto"/>
                <w:szCs w:val="21"/>
                <w:highlight w:val="none"/>
                <w:lang w:eastAsia="zh-CN"/>
              </w:rPr>
              <w:t>响应</w:t>
            </w:r>
            <w:r>
              <w:rPr>
                <w:rFonts w:hint="eastAsia" w:ascii="宋体" w:hAnsi="宋体" w:eastAsia="宋体" w:cs="宋体"/>
                <w:b w:val="0"/>
                <w:bCs w:val="0"/>
                <w:color w:val="auto"/>
                <w:szCs w:val="21"/>
                <w:highlight w:val="none"/>
              </w:rPr>
              <w:t>承诺一致；</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供应商根据采购人要求提交相关技术或服务成果资料。由于</w:t>
            </w:r>
            <w:r>
              <w:rPr>
                <w:rFonts w:hint="eastAsia" w:ascii="宋体" w:hAnsi="宋体" w:eastAsia="宋体" w:cs="宋体"/>
                <w:b w:val="0"/>
                <w:bCs w:val="0"/>
                <w:color w:val="auto"/>
                <w:szCs w:val="21"/>
                <w:highlight w:val="none"/>
                <w:lang w:eastAsia="zh-CN"/>
              </w:rPr>
              <w:t>成交供应商</w:t>
            </w:r>
            <w:r>
              <w:rPr>
                <w:rFonts w:hint="eastAsia" w:ascii="宋体" w:hAnsi="宋体" w:eastAsia="宋体" w:cs="宋体"/>
                <w:b w:val="0"/>
                <w:bCs w:val="0"/>
                <w:color w:val="auto"/>
                <w:szCs w:val="21"/>
                <w:highlight w:val="none"/>
              </w:rPr>
              <w:t>原因，未能按本合同规定的内容、时间及相关要求向采购人交付服务成果的，</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供应商承担违约责任，支付违约金。每逾期一天交付，按合同总费用的千分之三支付违约金。</w:t>
            </w:r>
          </w:p>
          <w:p w14:paraId="64195A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按时间结点完成服务站点的筹备和运营服务，并应及时整理筹备和运营服务成果资料并作出全面检查和整理，列出清单（包括但不限于涉及投入到服务所需的软硬件设备），作为采购人验收和使用的条件依据，清单应交给采购人；同时以书面形式通知采购人进行验收，采购人在收到通知后7个工作日内进行验收。</w:t>
            </w:r>
            <w:r>
              <w:rPr>
                <w:rFonts w:hint="eastAsia" w:ascii="宋体" w:hAnsi="宋体" w:eastAsia="宋体" w:cs="宋体"/>
                <w:b w:val="0"/>
                <w:bCs w:val="0"/>
                <w:color w:val="auto"/>
                <w:szCs w:val="21"/>
                <w:highlight w:val="none"/>
                <w:lang w:eastAsia="zh-CN"/>
              </w:rPr>
              <w:t>成交供应商</w:t>
            </w:r>
            <w:r>
              <w:rPr>
                <w:rFonts w:hint="eastAsia" w:ascii="宋体" w:hAnsi="宋体" w:eastAsia="宋体" w:cs="宋体"/>
                <w:b w:val="0"/>
                <w:bCs w:val="0"/>
                <w:color w:val="auto"/>
                <w:szCs w:val="21"/>
                <w:highlight w:val="none"/>
              </w:rPr>
              <w:t>必须到场配合，验收合格后双方在验收记录上签字确认。</w:t>
            </w:r>
          </w:p>
          <w:p w14:paraId="6D621C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本项目服务涉及的</w:t>
            </w:r>
            <w:r>
              <w:rPr>
                <w:rFonts w:hint="eastAsia" w:ascii="宋体" w:hAnsi="宋体" w:eastAsia="宋体" w:cs="宋体"/>
                <w:b w:val="0"/>
                <w:bCs w:val="0"/>
                <w:color w:val="auto"/>
                <w:szCs w:val="21"/>
                <w:highlight w:val="none"/>
                <w:lang w:eastAsia="zh-CN"/>
              </w:rPr>
              <w:t>配备的</w:t>
            </w:r>
            <w:r>
              <w:rPr>
                <w:rFonts w:hint="eastAsia" w:ascii="宋体" w:hAnsi="宋体" w:eastAsia="宋体" w:cs="宋体"/>
                <w:b w:val="0"/>
                <w:bCs w:val="0"/>
                <w:color w:val="auto"/>
                <w:szCs w:val="21"/>
                <w:highlight w:val="none"/>
              </w:rPr>
              <w:t>软硬件设备应对应服务站罗列清单，采购人或采购人委托的第三方机构等多方组成验收小组，将同时对</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供应商承诺配备的所有软硬件进行核实和验收。</w:t>
            </w:r>
          </w:p>
          <w:p w14:paraId="5BDB94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6</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在项目验收过程中，如项目验收不合格，有关返工、再行验收产生相关成本费用，以及给采购人造成的损失等费用由</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供应商承担。连续两次项目验收不合格的，或存在弄虚作假行为的，采购人将不予验收，采购人有权解除合同，并追究</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供应商的责任，由此带来的一切责任由</w:t>
            </w:r>
            <w:r>
              <w:rPr>
                <w:rFonts w:hint="eastAsia" w:ascii="宋体" w:hAnsi="宋体" w:eastAsia="宋体" w:cs="宋体"/>
                <w:b w:val="0"/>
                <w:bCs w:val="0"/>
                <w:color w:val="auto"/>
                <w:szCs w:val="21"/>
                <w:highlight w:val="none"/>
                <w:lang w:eastAsia="zh-CN"/>
              </w:rPr>
              <w:t>成交</w:t>
            </w:r>
            <w:r>
              <w:rPr>
                <w:rFonts w:hint="eastAsia" w:ascii="宋体" w:hAnsi="宋体" w:eastAsia="宋体" w:cs="宋体"/>
                <w:b w:val="0"/>
                <w:bCs w:val="0"/>
                <w:color w:val="auto"/>
                <w:szCs w:val="21"/>
                <w:highlight w:val="none"/>
              </w:rPr>
              <w:t>供应商自行承担。</w:t>
            </w:r>
          </w:p>
          <w:p w14:paraId="7A70A1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Cs w:val="21"/>
                <w:highlight w:val="none"/>
              </w:rPr>
              <w:t>4.其他未尽事宜应严格按照《关于南宁市本级启用政府采购履约验收系统有关事项的通知》（南财采</w:t>
            </w:r>
            <w:r>
              <w:rPr>
                <w:rFonts w:hint="eastAsia" w:ascii="宋体" w:hAnsi="宋体" w:eastAsia="宋体" w:cs="宋体"/>
                <w:color w:val="auto"/>
                <w:sz w:val="21"/>
                <w:szCs w:val="21"/>
                <w:highlight w:val="none"/>
              </w:rPr>
              <w:t>〔2024〕34号）以及《南宁市政府采购供应商履约验收评价管理办法》（南财采[2019]217号）规定执行。</w:t>
            </w:r>
          </w:p>
          <w:p w14:paraId="61592B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五、售后服务要求：</w:t>
            </w:r>
          </w:p>
          <w:p w14:paraId="436EAC0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atLeast"/>
              <w:ind w:left="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质量保证期：至项目验收完成并提供后续保障服务止。</w:t>
            </w:r>
          </w:p>
          <w:p w14:paraId="539C062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2.处理问题响应时间：竞标人须承诺在项目执行期间，在项目地设立常驻服务点或拥有固定的经营场所和售后服务团队，承诺在接到服务通知后2小时内到达现场进行处理。</w:t>
            </w:r>
          </w:p>
          <w:p w14:paraId="361AB7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售后服务人员要求：专职人员</w:t>
            </w:r>
            <w:r>
              <w:rPr>
                <w:rFonts w:hint="eastAsia" w:ascii="宋体" w:hAnsi="宋体" w:eastAsia="宋体" w:cs="宋体"/>
                <w:color w:val="auto"/>
                <w:sz w:val="21"/>
                <w:szCs w:val="21"/>
                <w:highlight w:val="none"/>
                <w:lang w:eastAsia="zh-CN"/>
              </w:rPr>
              <w:t>。</w:t>
            </w:r>
          </w:p>
          <w:p w14:paraId="717FE7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供应商自行解决服务团队人员的生活住宿条件，采购人不提供住宿场所。</w:t>
            </w:r>
          </w:p>
          <w:p w14:paraId="2E7210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应当接受采购人的监督管理和考核，对采购人提出的不符合项要及时整改和完善。在服务期间应遵守采购人相关管理制度、规定，并遵守国家相关法律法规，合法经营，如有员工违法行为按相关规定处理。</w:t>
            </w:r>
          </w:p>
          <w:p w14:paraId="3FBC7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六、其他服务要求：</w:t>
            </w:r>
          </w:p>
          <w:p w14:paraId="4EB6B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报价必须包含以下部分，包括：</w:t>
            </w:r>
          </w:p>
          <w:p w14:paraId="32282D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（1）服务的价格（包括但不限于支持就业服务站就业公共服务的</w:t>
            </w:r>
            <w:r>
              <w:rPr>
                <w:rFonts w:hint="eastAsia" w:ascii="宋体" w:hAnsi="宋体" w:cs="宋体"/>
                <w:color w:val="auto"/>
                <w:sz w:val="21"/>
                <w:szCs w:val="21"/>
                <w:highlight w:val="none"/>
                <w:lang w:eastAsia="zh-CN"/>
              </w:rPr>
              <w:t>设备设施采购、安装、</w:t>
            </w:r>
            <w:r>
              <w:rPr>
                <w:rFonts w:hint="eastAsia" w:ascii="宋体" w:hAnsi="宋体" w:eastAsia="宋体" w:cs="宋体"/>
                <w:color w:val="auto"/>
                <w:sz w:val="21"/>
                <w:szCs w:val="21"/>
                <w:highlight w:val="none"/>
                <w:lang w:eastAsia="zh-CN"/>
              </w:rPr>
              <w:t>运营团队人员投入、人员报酬/住宿/交通，及为群众和用人单位提供咨询服务、求职服务、零工服务、创业服务、技能培训、就业援助、劳动维权、信息平台投入等）</w:t>
            </w:r>
          </w:p>
          <w:p w14:paraId="37508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（2）必要的保险费用和各项税金；</w:t>
            </w:r>
          </w:p>
          <w:p w14:paraId="4A75DE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（3）其他：包括</w:t>
            </w:r>
            <w:r>
              <w:rPr>
                <w:rFonts w:hint="eastAsia" w:ascii="宋体" w:hAnsi="宋体" w:eastAsia="宋体" w:cs="宋体"/>
                <w:color w:val="auto"/>
                <w:sz w:val="21"/>
                <w:szCs w:val="21"/>
                <w:highlight w:val="none"/>
                <w:lang w:val="en-US" w:eastAsia="zh-CN"/>
              </w:rPr>
              <w:t>培训、技术支持、售后服务</w:t>
            </w:r>
            <w:r>
              <w:rPr>
                <w:rFonts w:hint="eastAsia" w:ascii="宋体" w:hAnsi="宋体" w:eastAsia="宋体" w:cs="宋体"/>
                <w:color w:val="auto"/>
                <w:sz w:val="21"/>
                <w:szCs w:val="21"/>
                <w:highlight w:val="none"/>
                <w:lang w:eastAsia="zh-CN"/>
              </w:rPr>
              <w:t>等完成项目的一切费用。</w:t>
            </w:r>
          </w:p>
          <w:p w14:paraId="136BB6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）产生的水电、物业、清洁、通信、网络等费用由成交供应商承担。</w:t>
            </w:r>
          </w:p>
          <w:p w14:paraId="41C73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）供应商自行解决服务团队人员的生活住宿条件，采购人不提供住宿场所。</w:t>
            </w:r>
          </w:p>
          <w:p w14:paraId="11F2B2D8">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2"/>
                <w:sz w:val="21"/>
                <w:szCs w:val="21"/>
                <w:highlight w:val="none"/>
                <w:lang w:val="en-US" w:eastAsia="zh-CN" w:bidi="ar-SA"/>
              </w:rPr>
              <w:t>.付款方式：完成7个就业服务站筹备、投入试运营并验收合格后支付合同总金额的50%；剩余服务经费按运营服务期的考核结果等次和合同约定核算支付。考核得分达90分（含）以上的定为A等次，支付100%服务费；考核得分达85分（含）-90分（不含）的定为B等次，支付90%服务费；考核得分达80分（含）-85分（不含）的定为C等次，支付80%服务费；考核得分达75分（含）-80分（不含）的定为D等次，支付70%服务费；考核得分达60分（含）-75分（不含）的定为E等次，支付50%服务费；考核得分低于60分（不含）的定为F等次（不合格），不予支付服务费。</w:t>
            </w:r>
          </w:p>
        </w:tc>
      </w:tr>
      <w:tr w14:paraId="22DE5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027E4A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9576" w:type="dxa"/>
            <w:gridSpan w:val="6"/>
            <w:tcBorders>
              <w:top w:val="single" w:color="auto" w:sz="4" w:space="0"/>
              <w:left w:val="single" w:color="auto" w:sz="4" w:space="0"/>
              <w:bottom w:val="single" w:color="auto" w:sz="4" w:space="0"/>
              <w:right w:val="single" w:color="auto" w:sz="4" w:space="0"/>
            </w:tcBorders>
            <w:noWrap w:val="0"/>
            <w:vAlign w:val="top"/>
          </w:tcPr>
          <w:p w14:paraId="1FA039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磋商供应商应保证针对本项目的服务所</w:t>
            </w:r>
            <w:r>
              <w:rPr>
                <w:rFonts w:hint="eastAsia" w:ascii="宋体" w:hAnsi="宋体" w:eastAsia="宋体" w:cs="宋体"/>
                <w:color w:val="auto"/>
                <w:sz w:val="21"/>
                <w:szCs w:val="21"/>
                <w:highlight w:val="none"/>
                <w:lang w:eastAsia="zh-CN"/>
              </w:rPr>
              <w:t>涉及的</w:t>
            </w:r>
            <w:r>
              <w:rPr>
                <w:rFonts w:hint="eastAsia" w:ascii="宋体" w:hAnsi="宋体" w:eastAsia="宋体" w:cs="宋体"/>
                <w:color w:val="auto"/>
                <w:sz w:val="21"/>
                <w:szCs w:val="21"/>
                <w:highlight w:val="none"/>
              </w:rPr>
              <w:t>知识产权和所提供的相关技术资料是合法取得，并享有完整的知识产权，不会因为采购人的使用而被责令停止使用、追偿或要求赔偿损失，如出现此情况，一切经济和法律责任均由磋商供应商承担。</w:t>
            </w:r>
          </w:p>
          <w:p w14:paraId="48E53C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成交供应商有义务随时向采购人解释所有成果内容。</w:t>
            </w:r>
          </w:p>
          <w:p w14:paraId="73AF81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保密要求：</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必须严格遵守采购人各项管理规定，在任何情况下，禁止复制、传播、引用及所接触到的采购人各类业务数据、工作措施等信息，如出现业务数据、涉密数据泄漏，采购人将终止服务合同，并将追究服务供应商相关法律责任。</w:t>
            </w:r>
          </w:p>
          <w:p w14:paraId="6C4440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Times New Roman"/>
                <w:b w:val="0"/>
                <w:bCs w:val="0"/>
                <w:smallCap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r>
              <w:rPr>
                <w:rFonts w:hint="eastAsia" w:ascii="宋体" w:hAnsi="宋体" w:eastAsia="宋体" w:cs="Times New Roman"/>
                <w:b w:val="0"/>
                <w:bCs w:val="0"/>
                <w:smallCaps w:val="0"/>
                <w:color w:val="auto"/>
                <w:kern w:val="2"/>
                <w:sz w:val="21"/>
                <w:szCs w:val="21"/>
                <w:highlight w:val="none"/>
                <w:lang w:val="en-US" w:eastAsia="zh-CN" w:bidi="ar-SA"/>
              </w:rPr>
              <w:t>本项目不组织考察，由各竞标人根据“2026年南宁市武鸣区基层就业服务网点（就业服务站）项目站点分布明细表”自行考察。</w:t>
            </w:r>
          </w:p>
          <w:p w14:paraId="5C7D33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根据《</w:t>
            </w:r>
            <w:r>
              <w:rPr>
                <w:rFonts w:hint="eastAsia" w:ascii="宋体" w:hAnsi="宋体" w:eastAsia="宋体" w:cs="宋体"/>
                <w:color w:val="auto"/>
                <w:sz w:val="21"/>
                <w:szCs w:val="21"/>
                <w:highlight w:val="none"/>
              </w:rPr>
              <w:t>关于推动解决政府采购异常低价问题的通知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财库〔2026〕2号</w:t>
            </w:r>
            <w:r>
              <w:rPr>
                <w:rFonts w:hint="eastAsia" w:ascii="宋体" w:hAnsi="宋体" w:eastAsia="宋体" w:cs="宋体"/>
                <w:color w:val="auto"/>
                <w:sz w:val="21"/>
                <w:szCs w:val="21"/>
                <w:highlight w:val="none"/>
                <w:lang w:eastAsia="zh-CN"/>
              </w:rPr>
              <w:t>）的规定，评审小组</w:t>
            </w:r>
            <w:r>
              <w:rPr>
                <w:rFonts w:hint="eastAsia" w:ascii="宋体" w:hAnsi="宋体" w:eastAsia="宋体" w:cs="宋体"/>
                <w:color w:val="auto"/>
                <w:sz w:val="21"/>
                <w:szCs w:val="21"/>
                <w:highlight w:val="none"/>
              </w:rPr>
              <w:t>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1159FD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政府采购评审中出现下列情形之一的，评审委员会应当启动异常低价投标（响应）审查程序：</w:t>
            </w:r>
          </w:p>
          <w:p w14:paraId="2140F2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（1）投标（响应）报价低于全部通过符合性审查供应商投标（响应）报价平均值50%的，即投标（响应）报价&lt;全部通过符合性审查供应商投标（响应）报价平均值×50%；</w:t>
            </w:r>
          </w:p>
          <w:p w14:paraId="78D5BE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（2）投标（响应）报价低于通过符合性审查的次低报价供应商投标（响应）报价50%的，即投标（响应）报价&lt;通过符合性审查的次低报价供应商投标（响应）报价×50%；</w:t>
            </w:r>
          </w:p>
          <w:p w14:paraId="633C58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（3）投标（响应）报价低于采购项目最高限价45%的，即投标（响应）报价&lt;采购项目最高限价×45%；</w:t>
            </w:r>
          </w:p>
          <w:p w14:paraId="2AF794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rPr>
                <w:rFonts w:hint="default" w:ascii="宋体" w:hAnsi="宋体" w:eastAsia="宋体" w:cs="Times New Roman"/>
                <w:b w:val="0"/>
                <w:bCs w:val="0"/>
                <w:smallCap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（4）评审委员会基于专业判断，认为供应商报价过低，有可能影响产品质量或者不能诚信履约的其他情形。</w:t>
            </w:r>
          </w:p>
        </w:tc>
      </w:tr>
    </w:tbl>
    <w:p w14:paraId="361760B6">
      <w:pPr>
        <w:rPr>
          <w:rFonts w:hint="eastAsia"/>
          <w:color w:val="auto"/>
          <w:highlight w:val="none"/>
        </w:rPr>
        <w:sectPr>
          <w:footerReference r:id="rId8" w:type="default"/>
          <w:pgSz w:w="11906" w:h="16838"/>
          <w:pgMar w:top="1134" w:right="1474" w:bottom="1134" w:left="1587" w:header="720" w:footer="720" w:gutter="0"/>
          <w:pgNumType w:fmt="decimal" w:start="1"/>
          <w:cols w:space="720" w:num="1"/>
          <w:docGrid w:type="lines" w:linePitch="331" w:charSpace="0"/>
        </w:sectPr>
      </w:pPr>
      <w:r>
        <w:rPr>
          <w:rFonts w:hint="eastAsia"/>
          <w:color w:val="auto"/>
          <w:highlight w:val="none"/>
        </w:rPr>
        <w:br w:type="textWrapping"/>
      </w:r>
    </w:p>
    <w:p w14:paraId="7EF60859">
      <w:pPr>
        <w:keepNext w:val="0"/>
        <w:keepLines w:val="0"/>
        <w:pageBreakBefore w:val="0"/>
        <w:widowControl w:val="0"/>
        <w:kinsoku/>
        <w:wordWrap/>
        <w:overflowPunct/>
        <w:topLinePunct w:val="0"/>
        <w:autoSpaceDE/>
        <w:autoSpaceDN/>
        <w:bidi w:val="0"/>
        <w:adjustRightInd/>
        <w:snapToGrid/>
        <w:spacing w:line="428" w:lineRule="exact"/>
        <w:textAlignment w:val="auto"/>
        <w:outlineLvl w:val="1"/>
        <w:rPr>
          <w:rFonts w:hint="default" w:ascii="仿宋_GB2312" w:hAnsi="仿宋_GB2312" w:eastAsia="仿宋_GB2312" w:cs="仿宋_GB2312"/>
          <w:color w:val="auto"/>
          <w:kern w:val="0"/>
          <w:sz w:val="32"/>
          <w:szCs w:val="32"/>
          <w:highlight w:val="none"/>
          <w:u w:val="none"/>
          <w:lang w:val="en-US" w:eastAsia="zh-CN"/>
        </w:rPr>
      </w:pPr>
      <w:bookmarkStart w:id="36" w:name="_Toc24541"/>
      <w:r>
        <w:rPr>
          <w:rFonts w:hint="eastAsia" w:ascii="仿宋_GB2312" w:hAnsi="仿宋_GB2312" w:eastAsia="仿宋_GB2312" w:cs="仿宋_GB2312"/>
          <w:color w:val="auto"/>
          <w:kern w:val="0"/>
          <w:sz w:val="32"/>
          <w:szCs w:val="32"/>
          <w:highlight w:val="none"/>
          <w:u w:val="none"/>
          <w:lang w:val="en-US" w:eastAsia="zh-CN"/>
        </w:rPr>
        <w:t>附件1</w:t>
      </w:r>
      <w:bookmarkEnd w:id="36"/>
    </w:p>
    <w:p w14:paraId="08AFB3D3">
      <w:pPr>
        <w:spacing w:line="560" w:lineRule="exact"/>
        <w:jc w:val="center"/>
        <w:rPr>
          <w:color w:val="auto"/>
          <w:highlight w:val="none"/>
          <w:u w:val="none"/>
        </w:rPr>
      </w:pPr>
      <w:r>
        <w:rPr>
          <w:rFonts w:hint="eastAsia" w:ascii="微软雅黑" w:hAnsi="微软雅黑" w:eastAsia="微软雅黑" w:cs="微软雅黑"/>
          <w:color w:val="auto"/>
          <w:kern w:val="0"/>
          <w:sz w:val="40"/>
          <w:szCs w:val="40"/>
          <w:highlight w:val="none"/>
          <w:u w:val="none"/>
          <w:lang w:val="en-US" w:eastAsia="zh-CN"/>
        </w:rPr>
        <w:t>2026年南宁市</w:t>
      </w:r>
      <w:r>
        <w:rPr>
          <w:rFonts w:hint="eastAsia" w:ascii="微软雅黑" w:hAnsi="微软雅黑" w:eastAsia="微软雅黑" w:cs="微软雅黑"/>
          <w:color w:val="auto"/>
          <w:kern w:val="0"/>
          <w:sz w:val="40"/>
          <w:szCs w:val="40"/>
          <w:highlight w:val="none"/>
          <w:u w:val="none"/>
        </w:rPr>
        <w:t>武鸣区基层就业服务网点（就业服务站）项目站点分布明细表</w:t>
      </w:r>
    </w:p>
    <w:tbl>
      <w:tblPr>
        <w:tblStyle w:val="30"/>
        <w:tblW w:w="0" w:type="auto"/>
        <w:tblInd w:w="56" w:type="dxa"/>
        <w:tblLayout w:type="fixed"/>
        <w:tblCellMar>
          <w:top w:w="0" w:type="dxa"/>
          <w:left w:w="0" w:type="dxa"/>
          <w:bottom w:w="0" w:type="dxa"/>
          <w:right w:w="0" w:type="dxa"/>
        </w:tblCellMar>
      </w:tblPr>
      <w:tblGrid>
        <w:gridCol w:w="512"/>
        <w:gridCol w:w="927"/>
        <w:gridCol w:w="1059"/>
        <w:gridCol w:w="4084"/>
        <w:gridCol w:w="3924"/>
        <w:gridCol w:w="1656"/>
        <w:gridCol w:w="1056"/>
        <w:gridCol w:w="924"/>
      </w:tblGrid>
      <w:tr w14:paraId="51D3E920">
        <w:tblPrEx>
          <w:tblCellMar>
            <w:top w:w="0" w:type="dxa"/>
            <w:left w:w="0" w:type="dxa"/>
            <w:bottom w:w="0" w:type="dxa"/>
            <w:right w:w="0" w:type="dxa"/>
          </w:tblCellMar>
        </w:tblPrEx>
        <w:trPr>
          <w:cantSplit/>
          <w:trHeight w:val="827"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85E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sz w:val="24"/>
                <w:highlight w:val="none"/>
                <w:u w:val="none"/>
              </w:rPr>
            </w:pPr>
            <w:r>
              <w:rPr>
                <w:rFonts w:hint="eastAsia" w:ascii="仿宋_GB2312" w:hAnsi="仿宋_GB2312" w:eastAsia="仿宋_GB2312" w:cs="仿宋_GB2312"/>
                <w:b/>
                <w:color w:val="auto"/>
                <w:kern w:val="0"/>
                <w:sz w:val="24"/>
                <w:highlight w:val="none"/>
                <w:u w:val="none"/>
              </w:rPr>
              <w:t>序号</w:t>
            </w:r>
          </w:p>
        </w:tc>
        <w:tc>
          <w:tcPr>
            <w:tcW w:w="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058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sz w:val="24"/>
                <w:highlight w:val="none"/>
                <w:u w:val="none"/>
              </w:rPr>
            </w:pPr>
            <w:r>
              <w:rPr>
                <w:rFonts w:hint="eastAsia" w:ascii="仿宋_GB2312" w:hAnsi="仿宋_GB2312" w:eastAsia="仿宋_GB2312" w:cs="仿宋_GB2312"/>
                <w:b/>
                <w:color w:val="auto"/>
                <w:kern w:val="0"/>
                <w:sz w:val="24"/>
                <w:highlight w:val="none"/>
                <w:u w:val="none"/>
              </w:rPr>
              <w:t>县、区</w:t>
            </w:r>
          </w:p>
        </w:tc>
        <w:tc>
          <w:tcPr>
            <w:tcW w:w="1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B6C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kern w:val="0"/>
                <w:sz w:val="24"/>
                <w:highlight w:val="none"/>
                <w:u w:val="none"/>
              </w:rPr>
            </w:pPr>
            <w:r>
              <w:rPr>
                <w:rFonts w:hint="eastAsia" w:ascii="仿宋_GB2312" w:hAnsi="仿宋_GB2312" w:eastAsia="仿宋_GB2312" w:cs="仿宋_GB2312"/>
                <w:b/>
                <w:color w:val="auto"/>
                <w:kern w:val="0"/>
                <w:sz w:val="24"/>
                <w:highlight w:val="none"/>
                <w:u w:val="none"/>
              </w:rPr>
              <w:t>街道</w:t>
            </w:r>
          </w:p>
          <w:p w14:paraId="09C1F1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kern w:val="0"/>
                <w:sz w:val="24"/>
                <w:highlight w:val="none"/>
                <w:u w:val="none"/>
              </w:rPr>
            </w:pPr>
            <w:r>
              <w:rPr>
                <w:rFonts w:hint="eastAsia" w:ascii="仿宋_GB2312" w:hAnsi="仿宋_GB2312" w:eastAsia="仿宋_GB2312" w:cs="仿宋_GB2312"/>
                <w:b/>
                <w:color w:val="auto"/>
                <w:kern w:val="0"/>
                <w:sz w:val="24"/>
                <w:highlight w:val="none"/>
                <w:u w:val="none"/>
              </w:rPr>
              <w:t>（乡镇）</w:t>
            </w:r>
          </w:p>
        </w:tc>
        <w:tc>
          <w:tcPr>
            <w:tcW w:w="40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92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sz w:val="24"/>
                <w:highlight w:val="none"/>
                <w:u w:val="none"/>
              </w:rPr>
            </w:pPr>
            <w:r>
              <w:rPr>
                <w:rFonts w:hint="eastAsia" w:ascii="仿宋_GB2312" w:hAnsi="仿宋_GB2312" w:eastAsia="仿宋_GB2312" w:cs="仿宋_GB2312"/>
                <w:b/>
                <w:color w:val="auto"/>
                <w:kern w:val="0"/>
                <w:sz w:val="24"/>
                <w:highlight w:val="none"/>
                <w:u w:val="none"/>
              </w:rPr>
              <w:t>站点名称</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85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sz w:val="24"/>
                <w:highlight w:val="none"/>
                <w:u w:val="none"/>
              </w:rPr>
            </w:pPr>
            <w:r>
              <w:rPr>
                <w:rFonts w:hint="eastAsia" w:ascii="仿宋_GB2312" w:hAnsi="仿宋_GB2312" w:eastAsia="仿宋_GB2312" w:cs="仿宋_GB2312"/>
                <w:b/>
                <w:color w:val="auto"/>
                <w:kern w:val="0"/>
                <w:sz w:val="24"/>
                <w:highlight w:val="none"/>
                <w:u w:val="none"/>
              </w:rPr>
              <w:t>站点位置</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80F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sz w:val="24"/>
                <w:highlight w:val="none"/>
                <w:u w:val="none"/>
              </w:rPr>
            </w:pPr>
            <w:r>
              <w:rPr>
                <w:rFonts w:hint="eastAsia" w:ascii="仿宋_GB2312" w:hAnsi="仿宋_GB2312" w:eastAsia="仿宋_GB2312" w:cs="仿宋_GB2312"/>
                <w:b/>
                <w:color w:val="auto"/>
                <w:kern w:val="0"/>
                <w:sz w:val="24"/>
                <w:highlight w:val="none"/>
                <w:u w:val="none"/>
              </w:rPr>
              <w:t>站点类型</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518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kern w:val="0"/>
                <w:sz w:val="24"/>
                <w:highlight w:val="none"/>
                <w:u w:val="none"/>
              </w:rPr>
            </w:pPr>
            <w:r>
              <w:rPr>
                <w:rFonts w:hint="eastAsia" w:ascii="仿宋_GB2312" w:hAnsi="仿宋_GB2312" w:eastAsia="仿宋_GB2312" w:cs="仿宋_GB2312"/>
                <w:b/>
                <w:color w:val="auto"/>
                <w:kern w:val="0"/>
                <w:sz w:val="24"/>
                <w:highlight w:val="none"/>
                <w:u w:val="none"/>
              </w:rPr>
              <w:t>场地面积</w:t>
            </w:r>
          </w:p>
          <w:p w14:paraId="036857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sz w:val="24"/>
                <w:highlight w:val="none"/>
                <w:u w:val="none"/>
              </w:rPr>
            </w:pPr>
            <w:r>
              <w:rPr>
                <w:rFonts w:hint="eastAsia" w:ascii="仿宋_GB2312" w:hAnsi="仿宋_GB2312" w:eastAsia="仿宋_GB2312" w:cs="仿宋_GB2312"/>
                <w:b/>
                <w:color w:val="auto"/>
                <w:kern w:val="0"/>
                <w:sz w:val="24"/>
                <w:highlight w:val="none"/>
                <w:u w:val="none"/>
              </w:rPr>
              <w:t>（平方）</w:t>
            </w:r>
          </w:p>
        </w:tc>
        <w:tc>
          <w:tcPr>
            <w:tcW w:w="92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5A3B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
                <w:color w:val="auto"/>
                <w:sz w:val="24"/>
                <w:highlight w:val="none"/>
                <w:u w:val="none"/>
              </w:rPr>
            </w:pPr>
            <w:r>
              <w:rPr>
                <w:rFonts w:hint="eastAsia" w:ascii="仿宋_GB2312" w:hAnsi="仿宋_GB2312" w:eastAsia="仿宋_GB2312" w:cs="仿宋_GB2312"/>
                <w:b/>
                <w:color w:val="auto"/>
                <w:sz w:val="24"/>
                <w:highlight w:val="none"/>
                <w:u w:val="none"/>
              </w:rPr>
              <w:t>备注</w:t>
            </w:r>
          </w:p>
        </w:tc>
      </w:tr>
      <w:tr w14:paraId="55B690B7">
        <w:tblPrEx>
          <w:tblCellMar>
            <w:top w:w="0" w:type="dxa"/>
            <w:left w:w="0" w:type="dxa"/>
            <w:bottom w:w="0" w:type="dxa"/>
            <w:right w:w="0" w:type="dxa"/>
          </w:tblCellMar>
        </w:tblPrEx>
        <w:trPr>
          <w:cantSplit/>
          <w:trHeight w:val="688"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28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kern w:val="0"/>
                <w:sz w:val="21"/>
                <w:szCs w:val="21"/>
                <w:highlight w:val="none"/>
                <w:u w:val="none"/>
              </w:rPr>
              <w:t>1</w:t>
            </w:r>
          </w:p>
        </w:tc>
        <w:tc>
          <w:tcPr>
            <w:tcW w:w="92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4201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lang w:eastAsia="zh-CN"/>
              </w:rPr>
            </w:pPr>
            <w:r>
              <w:rPr>
                <w:rFonts w:hint="eastAsia" w:ascii="仿宋_GB2312" w:hAnsi="仿宋_GB2312" w:eastAsia="仿宋_GB2312" w:cs="仿宋_GB2312"/>
                <w:bCs/>
                <w:color w:val="auto"/>
                <w:sz w:val="21"/>
                <w:szCs w:val="21"/>
                <w:highlight w:val="none"/>
                <w:u w:val="none"/>
                <w:lang w:eastAsia="zh-CN"/>
              </w:rPr>
              <w:t>武鸣区</w:t>
            </w:r>
          </w:p>
        </w:tc>
        <w:tc>
          <w:tcPr>
            <w:tcW w:w="105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56C8D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 w:val="21"/>
                <w:szCs w:val="21"/>
                <w:highlight w:val="none"/>
                <w:u w:val="none"/>
                <w:lang w:eastAsia="zh-CN"/>
              </w:rPr>
              <w:t>城厢</w:t>
            </w:r>
            <w:r>
              <w:rPr>
                <w:rFonts w:hint="eastAsia" w:ascii="仿宋_GB2312" w:hAnsi="仿宋_GB2312" w:eastAsia="仿宋_GB2312" w:cs="仿宋_GB2312"/>
                <w:bCs/>
                <w:color w:val="auto"/>
                <w:sz w:val="21"/>
                <w:szCs w:val="21"/>
                <w:highlight w:val="none"/>
                <w:u w:val="none"/>
              </w:rPr>
              <w:t>镇</w:t>
            </w:r>
          </w:p>
        </w:tc>
        <w:tc>
          <w:tcPr>
            <w:tcW w:w="408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FEED3C2">
            <w:pPr>
              <w:keepNext w:val="0"/>
              <w:keepLines w:val="0"/>
              <w:widowControl/>
              <w:suppressLineNumbers w:val="0"/>
              <w:spacing w:before="0" w:beforeAutospacing="0" w:after="0" w:afterAutospacing="0" w:line="36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南宁市武鸣区城厢镇就业服务站</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24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lang w:eastAsia="zh-CN"/>
              </w:rPr>
              <w:t>南宁市</w:t>
            </w:r>
            <w:r>
              <w:rPr>
                <w:rFonts w:hint="eastAsia" w:ascii="仿宋_GB2312" w:hAnsi="仿宋_GB2312" w:eastAsia="仿宋_GB2312" w:cs="仿宋_GB2312"/>
                <w:bCs/>
                <w:color w:val="auto"/>
                <w:szCs w:val="21"/>
                <w:highlight w:val="none"/>
              </w:rPr>
              <w:t>武鸣区城厢镇春霞路75号灵水社区居委办公楼一楼</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59D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 w:val="21"/>
                <w:szCs w:val="21"/>
                <w:highlight w:val="none"/>
                <w:u w:val="none"/>
              </w:rPr>
              <w:t>一级就业服务站</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A1D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default" w:ascii="仿宋_GB2312" w:hAnsi="仿宋_GB2312" w:eastAsia="仿宋_GB2312" w:cs="仿宋_GB2312"/>
                <w:bCs/>
                <w:color w:val="auto"/>
                <w:sz w:val="21"/>
                <w:szCs w:val="21"/>
                <w:highlight w:val="none"/>
                <w:u w:val="none"/>
                <w:lang w:val="en-US" w:eastAsia="zh-CN"/>
              </w:rPr>
            </w:pPr>
            <w:r>
              <w:rPr>
                <w:rFonts w:hint="eastAsia" w:ascii="仿宋_GB2312" w:hAnsi="仿宋_GB2312" w:eastAsia="仿宋_GB2312" w:cs="仿宋_GB2312"/>
                <w:bCs/>
                <w:color w:val="auto"/>
                <w:sz w:val="21"/>
                <w:szCs w:val="21"/>
                <w:highlight w:val="none"/>
                <w:u w:val="none"/>
                <w:lang w:val="en-US" w:eastAsia="zh-CN"/>
              </w:rPr>
              <w:t>30</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07C346">
            <w:pPr>
              <w:keepNext w:val="0"/>
              <w:keepLines w:val="0"/>
              <w:widowControl/>
              <w:suppressLineNumbers w:val="0"/>
              <w:spacing w:before="0" w:beforeAutospacing="0" w:after="0" w:afterAutospacing="0" w:line="500" w:lineRule="exact"/>
              <w:ind w:left="0" w:leftChars="0" w:right="0" w:rightChars="0"/>
              <w:jc w:val="center"/>
              <w:textAlignment w:val="center"/>
              <w:rPr>
                <w:rFonts w:hint="default" w:ascii="仿宋_GB2312" w:hAnsi="仿宋_GB2312" w:eastAsia="仿宋_GB2312" w:cs="仿宋_GB2312"/>
                <w:bCs/>
                <w:color w:val="auto"/>
                <w:sz w:val="24"/>
                <w:highlight w:val="none"/>
                <w:u w:val="none"/>
                <w:lang w:val="en-US" w:eastAsia="zh-CN"/>
              </w:rPr>
            </w:pPr>
          </w:p>
        </w:tc>
      </w:tr>
      <w:tr w14:paraId="780E2813">
        <w:tblPrEx>
          <w:tblCellMar>
            <w:top w:w="0" w:type="dxa"/>
            <w:left w:w="0" w:type="dxa"/>
            <w:bottom w:w="0" w:type="dxa"/>
            <w:right w:w="0" w:type="dxa"/>
          </w:tblCellMar>
        </w:tblPrEx>
        <w:trPr>
          <w:cantSplit/>
          <w:trHeight w:val="638"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AA4B5">
            <w:pPr>
              <w:keepNext w:val="0"/>
              <w:keepLines w:val="0"/>
              <w:widowControl/>
              <w:suppressLineNumbers w:val="0"/>
              <w:autoSpaceDE w:val="0"/>
              <w:autoSpaceDN/>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bCs/>
                <w:color w:val="auto"/>
                <w:kern w:val="0"/>
                <w:sz w:val="21"/>
                <w:szCs w:val="21"/>
                <w:highlight w:val="none"/>
                <w:u w:val="none"/>
                <w:lang w:val="en-US" w:eastAsia="zh-CN"/>
              </w:rPr>
            </w:pPr>
            <w:r>
              <w:rPr>
                <w:rFonts w:hint="eastAsia" w:ascii="仿宋_GB2312" w:hAnsi="仿宋_GB2312" w:eastAsia="仿宋_GB2312" w:cs="仿宋_GB2312"/>
                <w:bCs/>
                <w:color w:val="auto"/>
                <w:kern w:val="0"/>
                <w:sz w:val="21"/>
                <w:szCs w:val="21"/>
                <w:highlight w:val="none"/>
                <w:u w:val="none"/>
                <w:lang w:val="en-US" w:eastAsia="zh-CN" w:bidi="ar"/>
              </w:rPr>
              <w:t>2</w:t>
            </w:r>
          </w:p>
        </w:tc>
        <w:tc>
          <w:tcPr>
            <w:tcW w:w="92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157657E">
            <w:pPr>
              <w:keepNext w:val="0"/>
              <w:keepLines w:val="0"/>
              <w:widowControl/>
              <w:suppressLineNumbers w:val="0"/>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bCs/>
                <w:color w:val="auto"/>
                <w:sz w:val="21"/>
                <w:szCs w:val="21"/>
                <w:highlight w:val="none"/>
                <w:u w:val="none"/>
                <w:lang w:eastAsia="zh-CN"/>
              </w:rPr>
            </w:pPr>
            <w:r>
              <w:rPr>
                <w:rFonts w:hint="eastAsia" w:ascii="仿宋_GB2312" w:hAnsi="仿宋_GB2312" w:eastAsia="仿宋_GB2312" w:cs="仿宋_GB2312"/>
                <w:bCs/>
                <w:color w:val="auto"/>
                <w:sz w:val="21"/>
                <w:szCs w:val="21"/>
                <w:highlight w:val="none"/>
                <w:u w:val="none"/>
                <w:lang w:eastAsia="zh-CN"/>
              </w:rPr>
              <w:t>武鸣区</w:t>
            </w:r>
          </w:p>
        </w:tc>
        <w:tc>
          <w:tcPr>
            <w:tcW w:w="105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57044A0">
            <w:pPr>
              <w:keepNext w:val="0"/>
              <w:keepLines w:val="0"/>
              <w:widowControl/>
              <w:suppressLineNumbers w:val="0"/>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bCs/>
                <w:color w:val="auto"/>
                <w:sz w:val="21"/>
                <w:szCs w:val="21"/>
                <w:highlight w:val="none"/>
                <w:u w:val="none"/>
              </w:rPr>
            </w:pPr>
            <w:r>
              <w:rPr>
                <w:rStyle w:val="110"/>
                <w:rFonts w:hint="eastAsia" w:ascii="仿宋_GB2312" w:hAnsi="仿宋_GB2312" w:eastAsia="仿宋_GB2312" w:cs="仿宋_GB2312"/>
                <w:bCs/>
                <w:color w:val="auto"/>
                <w:kern w:val="2"/>
                <w:sz w:val="21"/>
                <w:szCs w:val="21"/>
                <w:highlight w:val="none"/>
                <w:u w:val="none"/>
                <w:lang w:val="en-US" w:eastAsia="zh-CN" w:bidi="ar"/>
              </w:rPr>
              <w:t>太平镇</w:t>
            </w:r>
          </w:p>
        </w:tc>
        <w:tc>
          <w:tcPr>
            <w:tcW w:w="408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2A6E6AD">
            <w:pPr>
              <w:keepNext w:val="0"/>
              <w:keepLines w:val="0"/>
              <w:widowControl/>
              <w:suppressLineNumbers w:val="0"/>
              <w:spacing w:before="0" w:beforeAutospacing="0" w:after="0" w:afterAutospacing="0" w:line="360" w:lineRule="exact"/>
              <w:ind w:left="0" w:right="0"/>
              <w:jc w:val="center"/>
              <w:textAlignment w:val="center"/>
              <w:rPr>
                <w:rFonts w:hint="eastAsia" w:ascii="仿宋_GB2312" w:hAnsi="仿宋_GB2312" w:eastAsia="仿宋_GB2312" w:cs="仿宋_GB2312"/>
                <w:bCs/>
                <w:color w:val="auto"/>
                <w:kern w:val="0"/>
                <w:sz w:val="21"/>
                <w:szCs w:val="21"/>
                <w:highlight w:val="none"/>
                <w:u w:val="none"/>
              </w:rPr>
            </w:pPr>
            <w:r>
              <w:rPr>
                <w:rFonts w:hint="eastAsia" w:ascii="仿宋_GB2312" w:hAnsi="仿宋_GB2312" w:eastAsia="仿宋_GB2312" w:cs="仿宋_GB2312"/>
                <w:bCs/>
                <w:color w:val="auto"/>
                <w:highlight w:val="none"/>
              </w:rPr>
              <w:t>南宁市武鸣区太平镇就业服务站</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6A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center"/>
              <w:rPr>
                <w:rFonts w:hint="eastAsia" w:ascii="仿宋_GB2312" w:hAnsi="仿宋_GB2312" w:eastAsia="仿宋_GB2312" w:cs="仿宋_GB2312"/>
                <w:bCs/>
                <w:color w:val="auto"/>
                <w:kern w:val="0"/>
                <w:sz w:val="21"/>
                <w:szCs w:val="21"/>
                <w:highlight w:val="none"/>
                <w:u w:val="none"/>
              </w:rPr>
            </w:pPr>
            <w:r>
              <w:rPr>
                <w:rStyle w:val="110"/>
                <w:rFonts w:hint="eastAsia" w:ascii="仿宋_GB2312" w:hAnsi="仿宋_GB2312" w:eastAsia="仿宋_GB2312" w:cs="仿宋_GB2312"/>
                <w:bCs/>
                <w:color w:val="auto"/>
                <w:kern w:val="2"/>
                <w:sz w:val="21"/>
                <w:szCs w:val="21"/>
                <w:highlight w:val="none"/>
                <w:u w:val="none"/>
                <w:lang w:val="en-US" w:eastAsia="zh-CN" w:bidi="ar"/>
              </w:rPr>
              <w:t>南宁市武鸣区太平镇文圩街7号太平镇便民服务中心一楼</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65D48">
            <w:pPr>
              <w:keepNext w:val="0"/>
              <w:keepLines w:val="0"/>
              <w:widowControl/>
              <w:suppressLineNumbers w:val="0"/>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bCs/>
                <w:color w:val="auto"/>
                <w:kern w:val="0"/>
                <w:sz w:val="21"/>
                <w:szCs w:val="21"/>
                <w:highlight w:val="none"/>
                <w:u w:val="none"/>
              </w:rPr>
            </w:pPr>
            <w:r>
              <w:rPr>
                <w:rFonts w:hint="eastAsia" w:ascii="仿宋_GB2312" w:hAnsi="仿宋_GB2312" w:eastAsia="仿宋_GB2312" w:cs="仿宋_GB2312"/>
                <w:bCs/>
                <w:color w:val="auto"/>
                <w:kern w:val="2"/>
                <w:sz w:val="21"/>
                <w:szCs w:val="21"/>
                <w:highlight w:val="none"/>
                <w:u w:val="none"/>
                <w:lang w:val="en-US" w:eastAsia="zh-CN" w:bidi="ar"/>
              </w:rPr>
              <w:t>一级就业服务站</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E0F7E">
            <w:pPr>
              <w:keepNext w:val="0"/>
              <w:keepLines w:val="0"/>
              <w:widowControl/>
              <w:suppressLineNumbers w:val="0"/>
              <w:spacing w:before="0" w:beforeAutospacing="0" w:after="0" w:afterAutospacing="0" w:line="500" w:lineRule="exact"/>
              <w:ind w:left="0" w:leftChars="0" w:right="0" w:rightChars="0"/>
              <w:jc w:val="center"/>
              <w:textAlignment w:val="center"/>
              <w:rPr>
                <w:rFonts w:hint="default" w:ascii="仿宋_GB2312" w:hAnsi="仿宋_GB2312" w:eastAsia="仿宋_GB2312" w:cs="仿宋_GB2312"/>
                <w:bCs/>
                <w:color w:val="auto"/>
                <w:kern w:val="0"/>
                <w:sz w:val="21"/>
                <w:szCs w:val="21"/>
                <w:highlight w:val="none"/>
                <w:u w:val="none"/>
                <w:lang w:val="en-US"/>
              </w:rPr>
            </w:pPr>
            <w:r>
              <w:rPr>
                <w:rFonts w:hint="eastAsia" w:ascii="仿宋_GB2312" w:hAnsi="仿宋_GB2312" w:eastAsia="仿宋_GB2312" w:cs="仿宋_GB2312"/>
                <w:bCs/>
                <w:color w:val="auto"/>
                <w:kern w:val="0"/>
                <w:sz w:val="21"/>
                <w:szCs w:val="21"/>
                <w:highlight w:val="none"/>
                <w:u w:val="none"/>
                <w:lang w:val="en-US" w:eastAsia="zh-CN" w:bidi="ar"/>
              </w:rPr>
              <w:t>40</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0EC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4"/>
                <w:highlight w:val="none"/>
                <w:u w:val="none"/>
              </w:rPr>
            </w:pPr>
          </w:p>
        </w:tc>
      </w:tr>
      <w:tr w14:paraId="45731683">
        <w:tblPrEx>
          <w:tblCellMar>
            <w:top w:w="0" w:type="dxa"/>
            <w:left w:w="0" w:type="dxa"/>
            <w:bottom w:w="0" w:type="dxa"/>
            <w:right w:w="0" w:type="dxa"/>
          </w:tblCellMar>
        </w:tblPrEx>
        <w:trPr>
          <w:cantSplit/>
          <w:trHeight w:val="418"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477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lang w:eastAsia="zh-CN"/>
              </w:rPr>
            </w:pPr>
            <w:r>
              <w:rPr>
                <w:rFonts w:hint="eastAsia" w:ascii="仿宋_GB2312" w:hAnsi="仿宋_GB2312" w:eastAsia="仿宋_GB2312" w:cs="仿宋_GB2312"/>
                <w:bCs/>
                <w:color w:val="auto"/>
                <w:kern w:val="0"/>
                <w:sz w:val="21"/>
                <w:szCs w:val="21"/>
                <w:highlight w:val="none"/>
                <w:u w:val="none"/>
                <w:lang w:val="en-US" w:eastAsia="zh-CN"/>
              </w:rPr>
              <w:t>3</w:t>
            </w:r>
          </w:p>
        </w:tc>
        <w:tc>
          <w:tcPr>
            <w:tcW w:w="92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E135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 w:val="21"/>
                <w:szCs w:val="21"/>
                <w:highlight w:val="none"/>
                <w:u w:val="none"/>
                <w:lang w:eastAsia="zh-CN"/>
              </w:rPr>
              <w:t>武鸣</w:t>
            </w:r>
            <w:r>
              <w:rPr>
                <w:rFonts w:hint="eastAsia" w:ascii="仿宋_GB2312" w:hAnsi="仿宋_GB2312" w:eastAsia="仿宋_GB2312" w:cs="仿宋_GB2312"/>
                <w:bCs/>
                <w:color w:val="auto"/>
                <w:sz w:val="21"/>
                <w:szCs w:val="21"/>
                <w:highlight w:val="none"/>
                <w:u w:val="none"/>
              </w:rPr>
              <w:t>区</w:t>
            </w:r>
          </w:p>
        </w:tc>
        <w:tc>
          <w:tcPr>
            <w:tcW w:w="105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5A09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lang w:eastAsia="zh-CN"/>
              </w:rPr>
            </w:pPr>
            <w:r>
              <w:rPr>
                <w:rFonts w:hint="eastAsia" w:ascii="仿宋_GB2312" w:hAnsi="仿宋_GB2312" w:eastAsia="仿宋_GB2312" w:cs="仿宋_GB2312"/>
                <w:bCs/>
                <w:color w:val="auto"/>
                <w:sz w:val="21"/>
                <w:szCs w:val="21"/>
                <w:highlight w:val="none"/>
                <w:u w:val="none"/>
                <w:lang w:eastAsia="zh-CN"/>
              </w:rPr>
              <w:t>双桥镇</w:t>
            </w:r>
          </w:p>
        </w:tc>
        <w:tc>
          <w:tcPr>
            <w:tcW w:w="408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185AC57">
            <w:pPr>
              <w:keepNext w:val="0"/>
              <w:keepLines w:val="0"/>
              <w:widowControl/>
              <w:suppressLineNumbers w:val="0"/>
              <w:spacing w:before="0" w:beforeAutospacing="0" w:after="0" w:afterAutospacing="0" w:line="36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w:t>
            </w:r>
            <w:r>
              <w:rPr>
                <w:rFonts w:hint="eastAsia" w:ascii="仿宋_GB2312" w:hAnsi="仿宋_GB2312" w:eastAsia="仿宋_GB2312" w:cs="仿宋_GB2312"/>
                <w:bCs/>
                <w:color w:val="auto"/>
                <w:szCs w:val="21"/>
                <w:highlight w:val="none"/>
                <w:lang w:eastAsia="zh-CN"/>
              </w:rPr>
              <w:t>伊岭工业园区（双桥镇）</w:t>
            </w:r>
            <w:r>
              <w:rPr>
                <w:rFonts w:hint="eastAsia" w:ascii="仿宋_GB2312" w:hAnsi="仿宋_GB2312" w:eastAsia="仿宋_GB2312" w:cs="仿宋_GB2312"/>
                <w:bCs/>
                <w:color w:val="auto"/>
                <w:szCs w:val="21"/>
                <w:highlight w:val="none"/>
              </w:rPr>
              <w:t>就业服务站</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9A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南宁市伊岭工业集中区警务联络站一楼</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B5E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kern w:val="0"/>
                <w:sz w:val="21"/>
                <w:szCs w:val="21"/>
                <w:highlight w:val="none"/>
                <w:u w:val="none"/>
              </w:rPr>
              <w:t>一级就业服务站</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D3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bCs/>
                <w:color w:val="auto"/>
                <w:sz w:val="21"/>
                <w:szCs w:val="21"/>
                <w:highlight w:val="none"/>
                <w:u w:val="none"/>
                <w:lang w:val="en-US" w:eastAsia="zh-CN"/>
              </w:rPr>
            </w:pPr>
            <w:r>
              <w:rPr>
                <w:rFonts w:hint="eastAsia" w:ascii="仿宋_GB2312" w:hAnsi="仿宋_GB2312" w:eastAsia="仿宋_GB2312" w:cs="仿宋_GB2312"/>
                <w:bCs/>
                <w:color w:val="auto"/>
                <w:kern w:val="0"/>
                <w:sz w:val="21"/>
                <w:szCs w:val="21"/>
                <w:highlight w:val="none"/>
                <w:u w:val="none"/>
                <w:lang w:val="en-US" w:eastAsia="zh-CN"/>
              </w:rPr>
              <w:t>40</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934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4"/>
                <w:highlight w:val="none"/>
                <w:u w:val="none"/>
              </w:rPr>
            </w:pPr>
          </w:p>
        </w:tc>
      </w:tr>
      <w:tr w14:paraId="0AF762E0">
        <w:tblPrEx>
          <w:tblCellMar>
            <w:top w:w="0" w:type="dxa"/>
            <w:left w:w="0" w:type="dxa"/>
            <w:bottom w:w="0" w:type="dxa"/>
            <w:right w:w="0" w:type="dxa"/>
          </w:tblCellMar>
        </w:tblPrEx>
        <w:trPr>
          <w:cantSplit/>
          <w:trHeight w:val="970"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94B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lang w:eastAsia="zh-CN"/>
              </w:rPr>
            </w:pPr>
            <w:r>
              <w:rPr>
                <w:rFonts w:hint="eastAsia" w:ascii="仿宋_GB2312" w:hAnsi="仿宋_GB2312" w:eastAsia="仿宋_GB2312" w:cs="仿宋_GB2312"/>
                <w:bCs/>
                <w:color w:val="auto"/>
                <w:kern w:val="0"/>
                <w:sz w:val="21"/>
                <w:szCs w:val="21"/>
                <w:highlight w:val="none"/>
                <w:u w:val="none"/>
                <w:lang w:val="en-US" w:eastAsia="zh-CN"/>
              </w:rPr>
              <w:t>4</w:t>
            </w:r>
          </w:p>
        </w:tc>
        <w:tc>
          <w:tcPr>
            <w:tcW w:w="92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5B26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 w:val="21"/>
                <w:szCs w:val="21"/>
                <w:highlight w:val="none"/>
                <w:u w:val="none"/>
                <w:lang w:eastAsia="zh-CN"/>
              </w:rPr>
              <w:t>武鸣</w:t>
            </w:r>
            <w:r>
              <w:rPr>
                <w:rFonts w:hint="eastAsia" w:ascii="仿宋_GB2312" w:hAnsi="仿宋_GB2312" w:eastAsia="仿宋_GB2312" w:cs="仿宋_GB2312"/>
                <w:bCs/>
                <w:color w:val="auto"/>
                <w:sz w:val="21"/>
                <w:szCs w:val="21"/>
                <w:highlight w:val="none"/>
                <w:u w:val="none"/>
              </w:rPr>
              <w:t>区</w:t>
            </w:r>
          </w:p>
        </w:tc>
        <w:tc>
          <w:tcPr>
            <w:tcW w:w="105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2026E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rPr>
            </w:pPr>
            <w:r>
              <w:rPr>
                <w:rFonts w:hint="eastAsia" w:ascii="仿宋_GB2312" w:hAnsi="仿宋_GB2312" w:eastAsia="仿宋_GB2312" w:cs="仿宋_GB2312"/>
                <w:bCs/>
                <w:color w:val="auto"/>
                <w:kern w:val="0"/>
                <w:sz w:val="21"/>
                <w:szCs w:val="21"/>
                <w:highlight w:val="none"/>
                <w:u w:val="none"/>
                <w:lang w:eastAsia="zh-CN"/>
              </w:rPr>
              <w:t>甘圩</w:t>
            </w:r>
            <w:r>
              <w:rPr>
                <w:rFonts w:hint="eastAsia" w:ascii="仿宋_GB2312" w:hAnsi="仿宋_GB2312" w:eastAsia="仿宋_GB2312" w:cs="仿宋_GB2312"/>
                <w:bCs/>
                <w:color w:val="auto"/>
                <w:kern w:val="0"/>
                <w:sz w:val="21"/>
                <w:szCs w:val="21"/>
                <w:highlight w:val="none"/>
                <w:u w:val="none"/>
              </w:rPr>
              <w:t>镇</w:t>
            </w:r>
          </w:p>
        </w:tc>
        <w:tc>
          <w:tcPr>
            <w:tcW w:w="408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2CC3EDC">
            <w:pPr>
              <w:keepNext w:val="0"/>
              <w:keepLines w:val="0"/>
              <w:widowControl/>
              <w:suppressLineNumbers w:val="0"/>
              <w:spacing w:before="0" w:beforeAutospacing="0" w:after="0" w:afterAutospacing="0" w:line="36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南宁市武鸣区甘圩镇就业服务站</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4E8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kern w:val="0"/>
                <w:sz w:val="21"/>
                <w:szCs w:val="21"/>
                <w:highlight w:val="none"/>
                <w:u w:val="none"/>
              </w:rPr>
            </w:pPr>
            <w:r>
              <w:rPr>
                <w:rFonts w:hint="eastAsia" w:ascii="仿宋_GB2312" w:hAnsi="仿宋_GB2312" w:eastAsia="仿宋_GB2312" w:cs="仿宋_GB2312"/>
                <w:bCs/>
                <w:color w:val="auto"/>
                <w:szCs w:val="21"/>
                <w:highlight w:val="none"/>
              </w:rPr>
              <w:t>南宁市武鸣区甘圩镇甘圩街15号</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C9F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rPr>
            </w:pPr>
            <w:r>
              <w:rPr>
                <w:rFonts w:hint="eastAsia" w:ascii="仿宋_GB2312" w:hAnsi="仿宋_GB2312" w:eastAsia="仿宋_GB2312" w:cs="仿宋_GB2312"/>
                <w:bCs/>
                <w:color w:val="auto"/>
                <w:kern w:val="0"/>
                <w:sz w:val="21"/>
                <w:szCs w:val="21"/>
                <w:highlight w:val="none"/>
                <w:u w:val="none"/>
              </w:rPr>
              <w:t>一级就业服务站</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72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bCs/>
                <w:color w:val="auto"/>
                <w:sz w:val="21"/>
                <w:szCs w:val="21"/>
                <w:highlight w:val="none"/>
                <w:u w:val="none"/>
                <w:lang w:val="en-US" w:eastAsia="zh-CN"/>
              </w:rPr>
            </w:pPr>
            <w:r>
              <w:rPr>
                <w:rFonts w:hint="eastAsia" w:ascii="仿宋_GB2312" w:hAnsi="仿宋_GB2312" w:eastAsia="仿宋_GB2312" w:cs="仿宋_GB2312"/>
                <w:bCs/>
                <w:color w:val="auto"/>
                <w:sz w:val="21"/>
                <w:szCs w:val="21"/>
                <w:highlight w:val="none"/>
                <w:u w:val="none"/>
                <w:lang w:val="en-US" w:eastAsia="zh-CN"/>
              </w:rPr>
              <w:t>45</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4A7C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kern w:val="0"/>
                <w:sz w:val="24"/>
                <w:highlight w:val="none"/>
                <w:u w:val="none"/>
              </w:rPr>
            </w:pPr>
          </w:p>
        </w:tc>
      </w:tr>
      <w:tr w14:paraId="12D8E509">
        <w:tblPrEx>
          <w:tblCellMar>
            <w:top w:w="0" w:type="dxa"/>
            <w:left w:w="0" w:type="dxa"/>
            <w:bottom w:w="0" w:type="dxa"/>
            <w:right w:w="0" w:type="dxa"/>
          </w:tblCellMar>
        </w:tblPrEx>
        <w:trPr>
          <w:cantSplit/>
          <w:trHeight w:val="830"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2D6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lang w:eastAsia="zh-CN"/>
              </w:rPr>
            </w:pPr>
            <w:r>
              <w:rPr>
                <w:rFonts w:hint="eastAsia" w:ascii="仿宋_GB2312" w:hAnsi="仿宋_GB2312" w:eastAsia="仿宋_GB2312" w:cs="仿宋_GB2312"/>
                <w:bCs/>
                <w:color w:val="auto"/>
                <w:kern w:val="0"/>
                <w:sz w:val="21"/>
                <w:szCs w:val="21"/>
                <w:highlight w:val="none"/>
                <w:u w:val="none"/>
                <w:lang w:val="en-US" w:eastAsia="zh-CN"/>
              </w:rPr>
              <w:t>5</w:t>
            </w:r>
          </w:p>
        </w:tc>
        <w:tc>
          <w:tcPr>
            <w:tcW w:w="92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88844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 w:val="21"/>
                <w:szCs w:val="21"/>
                <w:highlight w:val="none"/>
                <w:u w:val="none"/>
                <w:lang w:eastAsia="zh-CN"/>
              </w:rPr>
              <w:t>武鸣</w:t>
            </w:r>
            <w:r>
              <w:rPr>
                <w:rFonts w:hint="eastAsia" w:ascii="仿宋_GB2312" w:hAnsi="仿宋_GB2312" w:eastAsia="仿宋_GB2312" w:cs="仿宋_GB2312"/>
                <w:bCs/>
                <w:color w:val="auto"/>
                <w:sz w:val="21"/>
                <w:szCs w:val="21"/>
                <w:highlight w:val="none"/>
                <w:u w:val="none"/>
              </w:rPr>
              <w:t>区</w:t>
            </w:r>
          </w:p>
        </w:tc>
        <w:tc>
          <w:tcPr>
            <w:tcW w:w="105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E79D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rPr>
            </w:pPr>
            <w:r>
              <w:rPr>
                <w:rFonts w:hint="eastAsia" w:ascii="仿宋_GB2312" w:hAnsi="仿宋_GB2312" w:eastAsia="仿宋_GB2312" w:cs="仿宋_GB2312"/>
                <w:bCs/>
                <w:color w:val="auto"/>
                <w:kern w:val="0"/>
                <w:sz w:val="21"/>
                <w:szCs w:val="21"/>
                <w:highlight w:val="none"/>
                <w:u w:val="none"/>
                <w:lang w:eastAsia="zh-CN"/>
              </w:rPr>
              <w:t>灵马</w:t>
            </w:r>
            <w:r>
              <w:rPr>
                <w:rFonts w:hint="eastAsia" w:ascii="仿宋_GB2312" w:hAnsi="仿宋_GB2312" w:eastAsia="仿宋_GB2312" w:cs="仿宋_GB2312"/>
                <w:bCs/>
                <w:color w:val="auto"/>
                <w:kern w:val="0"/>
                <w:sz w:val="21"/>
                <w:szCs w:val="21"/>
                <w:highlight w:val="none"/>
                <w:u w:val="none"/>
              </w:rPr>
              <w:t>镇</w:t>
            </w:r>
          </w:p>
        </w:tc>
        <w:tc>
          <w:tcPr>
            <w:tcW w:w="408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9535693">
            <w:pPr>
              <w:keepNext w:val="0"/>
              <w:keepLines w:val="0"/>
              <w:widowControl/>
              <w:suppressLineNumbers w:val="0"/>
              <w:spacing w:before="0" w:beforeAutospacing="0" w:after="0" w:afterAutospacing="0" w:line="36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南宁市武鸣区灵马镇就业服务站</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06A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南宁市武鸣区灵马镇农机站宿舍楼前左边第一间商铺</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0B4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kern w:val="0"/>
                <w:sz w:val="21"/>
                <w:szCs w:val="21"/>
                <w:highlight w:val="none"/>
                <w:u w:val="none"/>
              </w:rPr>
              <w:t>一级就业服务站</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0D3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bCs/>
                <w:color w:val="auto"/>
                <w:sz w:val="21"/>
                <w:szCs w:val="21"/>
                <w:highlight w:val="none"/>
                <w:u w:val="none"/>
                <w:lang w:val="en-US" w:eastAsia="zh-CN"/>
              </w:rPr>
            </w:pPr>
            <w:r>
              <w:rPr>
                <w:rFonts w:hint="eastAsia" w:ascii="仿宋_GB2312" w:hAnsi="仿宋_GB2312" w:eastAsia="仿宋_GB2312" w:cs="仿宋_GB2312"/>
                <w:bCs/>
                <w:color w:val="auto"/>
                <w:sz w:val="21"/>
                <w:szCs w:val="21"/>
                <w:highlight w:val="none"/>
                <w:u w:val="none"/>
                <w:lang w:val="en-US" w:eastAsia="zh-CN"/>
              </w:rPr>
              <w:t>30</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343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4"/>
                <w:highlight w:val="none"/>
                <w:u w:val="none"/>
              </w:rPr>
            </w:pPr>
          </w:p>
        </w:tc>
      </w:tr>
      <w:tr w14:paraId="0685CE3E">
        <w:tblPrEx>
          <w:tblCellMar>
            <w:top w:w="0" w:type="dxa"/>
            <w:left w:w="0" w:type="dxa"/>
            <w:bottom w:w="0" w:type="dxa"/>
            <w:right w:w="0" w:type="dxa"/>
          </w:tblCellMar>
        </w:tblPrEx>
        <w:trPr>
          <w:cantSplit/>
          <w:trHeight w:val="1185"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11C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kern w:val="0"/>
                <w:sz w:val="21"/>
                <w:szCs w:val="21"/>
                <w:highlight w:val="none"/>
                <w:u w:val="none"/>
                <w:lang w:eastAsia="zh-CN"/>
              </w:rPr>
            </w:pPr>
            <w:r>
              <w:rPr>
                <w:rFonts w:hint="eastAsia" w:ascii="仿宋_GB2312" w:hAnsi="仿宋_GB2312" w:eastAsia="仿宋_GB2312" w:cs="仿宋_GB2312"/>
                <w:bCs/>
                <w:color w:val="auto"/>
                <w:kern w:val="0"/>
                <w:sz w:val="21"/>
                <w:szCs w:val="21"/>
                <w:highlight w:val="none"/>
                <w:u w:val="none"/>
                <w:lang w:val="en-US" w:eastAsia="zh-CN"/>
              </w:rPr>
              <w:t>6</w:t>
            </w:r>
          </w:p>
        </w:tc>
        <w:tc>
          <w:tcPr>
            <w:tcW w:w="92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B62D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 w:val="21"/>
                <w:szCs w:val="21"/>
                <w:highlight w:val="none"/>
                <w:u w:val="none"/>
                <w:lang w:eastAsia="zh-CN"/>
              </w:rPr>
              <w:t>武鸣</w:t>
            </w:r>
            <w:r>
              <w:rPr>
                <w:rFonts w:hint="eastAsia" w:ascii="仿宋_GB2312" w:hAnsi="仿宋_GB2312" w:eastAsia="仿宋_GB2312" w:cs="仿宋_GB2312"/>
                <w:bCs/>
                <w:color w:val="auto"/>
                <w:sz w:val="21"/>
                <w:szCs w:val="21"/>
                <w:highlight w:val="none"/>
                <w:u w:val="none"/>
              </w:rPr>
              <w:t>区</w:t>
            </w:r>
          </w:p>
        </w:tc>
        <w:tc>
          <w:tcPr>
            <w:tcW w:w="105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B8993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仿宋_GB2312" w:eastAsia="仿宋_GB2312" w:cs="仿宋_GB2312"/>
                <w:bCs/>
                <w:color w:val="auto"/>
                <w:kern w:val="0"/>
                <w:sz w:val="21"/>
                <w:szCs w:val="21"/>
                <w:highlight w:val="none"/>
                <w:u w:val="none"/>
              </w:rPr>
            </w:pPr>
            <w:r>
              <w:rPr>
                <w:rFonts w:hint="eastAsia" w:ascii="仿宋_GB2312" w:hAnsi="仿宋_GB2312" w:eastAsia="仿宋_GB2312" w:cs="仿宋_GB2312"/>
                <w:bCs/>
                <w:color w:val="auto"/>
                <w:sz w:val="21"/>
                <w:szCs w:val="21"/>
                <w:highlight w:val="none"/>
                <w:u w:val="none"/>
                <w:lang w:eastAsia="zh-CN"/>
              </w:rPr>
              <w:t>仙湖</w:t>
            </w:r>
            <w:r>
              <w:rPr>
                <w:rFonts w:hint="eastAsia" w:ascii="仿宋_GB2312" w:hAnsi="仿宋_GB2312" w:eastAsia="仿宋_GB2312" w:cs="仿宋_GB2312"/>
                <w:bCs/>
                <w:color w:val="auto"/>
                <w:sz w:val="21"/>
                <w:szCs w:val="21"/>
                <w:highlight w:val="none"/>
                <w:u w:val="none"/>
              </w:rPr>
              <w:t>镇</w:t>
            </w:r>
          </w:p>
        </w:tc>
        <w:tc>
          <w:tcPr>
            <w:tcW w:w="408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E85B886">
            <w:pPr>
              <w:keepNext w:val="0"/>
              <w:keepLines w:val="0"/>
              <w:widowControl/>
              <w:suppressLineNumbers w:val="0"/>
              <w:spacing w:before="0" w:beforeAutospacing="0" w:after="0" w:afterAutospacing="0" w:line="36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南宁市武鸣区仙湖镇就业服务站</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4C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szCs w:val="21"/>
                <w:highlight w:val="none"/>
              </w:rPr>
              <w:t>南宁市武鸣区仙湖镇朝阳街21号仙湖镇便民服务中心一楼办公室</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B8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bCs/>
                <w:color w:val="auto"/>
                <w:sz w:val="21"/>
                <w:szCs w:val="21"/>
                <w:highlight w:val="none"/>
                <w:u w:val="none"/>
              </w:rPr>
            </w:pPr>
            <w:r>
              <w:rPr>
                <w:rFonts w:hint="eastAsia" w:ascii="仿宋_GB2312" w:hAnsi="仿宋_GB2312" w:eastAsia="仿宋_GB2312" w:cs="仿宋_GB2312"/>
                <w:bCs/>
                <w:color w:val="auto"/>
                <w:kern w:val="0"/>
                <w:sz w:val="21"/>
                <w:szCs w:val="21"/>
                <w:highlight w:val="none"/>
                <w:u w:val="none"/>
              </w:rPr>
              <w:t>一级就业服务站</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F37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bCs/>
                <w:color w:val="auto"/>
                <w:sz w:val="21"/>
                <w:szCs w:val="21"/>
                <w:highlight w:val="none"/>
                <w:u w:val="none"/>
                <w:lang w:val="en-US" w:eastAsia="zh-CN"/>
              </w:rPr>
            </w:pPr>
            <w:r>
              <w:rPr>
                <w:rFonts w:hint="eastAsia" w:ascii="仿宋_GB2312" w:hAnsi="仿宋_GB2312" w:eastAsia="仿宋_GB2312" w:cs="仿宋_GB2312"/>
                <w:bCs/>
                <w:color w:val="auto"/>
                <w:sz w:val="21"/>
                <w:szCs w:val="21"/>
                <w:highlight w:val="none"/>
                <w:u w:val="none"/>
                <w:lang w:val="en-US" w:eastAsia="zh-CN"/>
              </w:rPr>
              <w:t>30</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A2C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center"/>
              <w:rPr>
                <w:rFonts w:hint="eastAsia" w:ascii="仿宋_GB2312" w:hAnsi="仿宋_GB2312" w:eastAsia="仿宋_GB2312" w:cs="仿宋_GB2312"/>
                <w:bCs/>
                <w:color w:val="auto"/>
                <w:sz w:val="24"/>
                <w:highlight w:val="none"/>
                <w:u w:val="none"/>
              </w:rPr>
            </w:pPr>
          </w:p>
        </w:tc>
      </w:tr>
      <w:tr w14:paraId="19E49BE9">
        <w:tblPrEx>
          <w:tblCellMar>
            <w:top w:w="0" w:type="dxa"/>
            <w:left w:w="0" w:type="dxa"/>
            <w:bottom w:w="0" w:type="dxa"/>
            <w:right w:w="0" w:type="dxa"/>
          </w:tblCellMar>
        </w:tblPrEx>
        <w:trPr>
          <w:cantSplit/>
          <w:trHeight w:val="771" w:hRule="atLeast"/>
        </w:trPr>
        <w:tc>
          <w:tcPr>
            <w:tcW w:w="5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736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bCs/>
                <w:color w:val="auto"/>
                <w:kern w:val="0"/>
                <w:sz w:val="21"/>
                <w:szCs w:val="21"/>
                <w:highlight w:val="none"/>
                <w:u w:val="none"/>
                <w:lang w:val="en-US" w:eastAsia="zh-CN" w:bidi="ar-SA"/>
              </w:rPr>
            </w:pPr>
            <w:r>
              <w:rPr>
                <w:rFonts w:hint="eastAsia" w:ascii="仿宋_GB2312" w:hAnsi="仿宋_GB2312" w:eastAsia="仿宋_GB2312" w:cs="仿宋_GB2312"/>
                <w:bCs/>
                <w:color w:val="auto"/>
                <w:kern w:val="0"/>
                <w:sz w:val="21"/>
                <w:szCs w:val="21"/>
                <w:highlight w:val="none"/>
                <w:u w:val="none"/>
                <w:lang w:val="en-US" w:eastAsia="zh-CN"/>
              </w:rPr>
              <w:t>7</w:t>
            </w:r>
          </w:p>
        </w:tc>
        <w:tc>
          <w:tcPr>
            <w:tcW w:w="92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F218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bCs/>
                <w:color w:val="auto"/>
                <w:kern w:val="2"/>
                <w:sz w:val="21"/>
                <w:szCs w:val="21"/>
                <w:highlight w:val="none"/>
                <w:u w:val="none"/>
                <w:lang w:val="en-US" w:eastAsia="zh-CN" w:bidi="ar-SA"/>
              </w:rPr>
            </w:pPr>
            <w:r>
              <w:rPr>
                <w:rFonts w:hint="eastAsia" w:ascii="仿宋_GB2312" w:hAnsi="仿宋_GB2312" w:eastAsia="仿宋_GB2312" w:cs="仿宋_GB2312"/>
                <w:bCs/>
                <w:color w:val="auto"/>
                <w:sz w:val="21"/>
                <w:szCs w:val="21"/>
                <w:highlight w:val="none"/>
                <w:u w:val="none"/>
                <w:lang w:eastAsia="zh-CN"/>
              </w:rPr>
              <w:t>武鸣</w:t>
            </w:r>
            <w:r>
              <w:rPr>
                <w:rFonts w:hint="eastAsia" w:ascii="仿宋_GB2312" w:hAnsi="仿宋_GB2312" w:eastAsia="仿宋_GB2312" w:cs="仿宋_GB2312"/>
                <w:bCs/>
                <w:color w:val="auto"/>
                <w:sz w:val="21"/>
                <w:szCs w:val="21"/>
                <w:highlight w:val="none"/>
                <w:u w:val="none"/>
              </w:rPr>
              <w:t>区</w:t>
            </w:r>
          </w:p>
        </w:tc>
        <w:tc>
          <w:tcPr>
            <w:tcW w:w="105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ED8D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_GB2312" w:hAnsi="仿宋_GB2312" w:eastAsia="仿宋_GB2312" w:cs="仿宋_GB2312"/>
                <w:bCs/>
                <w:color w:val="auto"/>
                <w:kern w:val="2"/>
                <w:sz w:val="21"/>
                <w:szCs w:val="21"/>
                <w:highlight w:val="none"/>
                <w:u w:val="none"/>
                <w:lang w:val="en-US" w:eastAsia="zh-CN" w:bidi="ar-SA"/>
              </w:rPr>
            </w:pPr>
            <w:r>
              <w:rPr>
                <w:rFonts w:hint="eastAsia" w:ascii="仿宋_GB2312" w:hAnsi="仿宋_GB2312" w:eastAsia="仿宋_GB2312" w:cs="仿宋_GB2312"/>
                <w:bCs/>
                <w:color w:val="auto"/>
                <w:sz w:val="21"/>
                <w:szCs w:val="21"/>
                <w:highlight w:val="none"/>
                <w:u w:val="none"/>
                <w:lang w:eastAsia="zh-CN"/>
              </w:rPr>
              <w:t>陆斡镇</w:t>
            </w:r>
          </w:p>
        </w:tc>
        <w:tc>
          <w:tcPr>
            <w:tcW w:w="408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1E55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bCs/>
                <w:color w:val="auto"/>
                <w:kern w:val="2"/>
                <w:sz w:val="21"/>
                <w:szCs w:val="21"/>
                <w:highlight w:val="none"/>
                <w:u w:val="none"/>
                <w:lang w:val="en-US" w:eastAsia="zh-CN" w:bidi="ar-SA"/>
              </w:rPr>
            </w:pPr>
            <w:r>
              <w:rPr>
                <w:rFonts w:hint="eastAsia" w:ascii="仿宋_GB2312" w:hAnsi="仿宋_GB2312" w:eastAsia="仿宋_GB2312" w:cs="仿宋_GB2312"/>
                <w:bCs/>
                <w:color w:val="auto"/>
                <w:sz w:val="21"/>
                <w:szCs w:val="21"/>
                <w:highlight w:val="none"/>
              </w:rPr>
              <w:t>南宁市武鸣区陆斡镇就业服务站</w:t>
            </w:r>
          </w:p>
        </w:tc>
        <w:tc>
          <w:tcPr>
            <w:tcW w:w="3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EAC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center"/>
              <w:rPr>
                <w:rFonts w:hint="eastAsia" w:ascii="仿宋_GB2312" w:hAnsi="仿宋_GB2312" w:eastAsia="仿宋_GB2312" w:cs="仿宋_GB2312"/>
                <w:bCs/>
                <w:color w:val="auto"/>
                <w:kern w:val="2"/>
                <w:sz w:val="21"/>
                <w:szCs w:val="21"/>
                <w:highlight w:val="none"/>
                <w:u w:val="none"/>
                <w:lang w:val="en-US" w:eastAsia="zh-CN" w:bidi="ar-SA"/>
              </w:rPr>
            </w:pPr>
            <w:r>
              <w:rPr>
                <w:rFonts w:hint="eastAsia" w:ascii="仿宋_GB2312" w:hAnsi="仿宋_GB2312" w:eastAsia="仿宋_GB2312" w:cs="仿宋_GB2312"/>
                <w:bCs/>
                <w:color w:val="auto"/>
                <w:sz w:val="21"/>
                <w:szCs w:val="21"/>
                <w:highlight w:val="none"/>
              </w:rPr>
              <w:t>南宁市武鸣区陆斡镇新街71号陆斡镇农技推广站门面</w:t>
            </w:r>
          </w:p>
        </w:tc>
        <w:tc>
          <w:tcPr>
            <w:tcW w:w="1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D9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bCs/>
                <w:color w:val="auto"/>
                <w:kern w:val="2"/>
                <w:sz w:val="21"/>
                <w:szCs w:val="21"/>
                <w:highlight w:val="none"/>
                <w:u w:val="none"/>
                <w:lang w:val="en-US" w:eastAsia="zh-CN" w:bidi="ar-SA"/>
              </w:rPr>
            </w:pPr>
            <w:r>
              <w:rPr>
                <w:rFonts w:hint="eastAsia" w:ascii="仿宋_GB2312" w:hAnsi="仿宋_GB2312" w:eastAsia="仿宋_GB2312" w:cs="仿宋_GB2312"/>
                <w:bCs/>
                <w:color w:val="auto"/>
                <w:sz w:val="21"/>
                <w:szCs w:val="21"/>
                <w:highlight w:val="none"/>
                <w:u w:val="none"/>
              </w:rPr>
              <w:t>一</w:t>
            </w:r>
            <w:r>
              <w:rPr>
                <w:rFonts w:hint="eastAsia" w:ascii="仿宋_GB2312" w:hAnsi="仿宋_GB2312" w:eastAsia="仿宋_GB2312" w:cs="仿宋_GB2312"/>
                <w:bCs/>
                <w:color w:val="auto"/>
                <w:kern w:val="0"/>
                <w:sz w:val="21"/>
                <w:szCs w:val="21"/>
                <w:highlight w:val="none"/>
                <w:u w:val="none"/>
              </w:rPr>
              <w:t>级就业服务站</w:t>
            </w:r>
          </w:p>
        </w:tc>
        <w:tc>
          <w:tcPr>
            <w:tcW w:w="10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45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bCs/>
                <w:color w:val="auto"/>
                <w:kern w:val="2"/>
                <w:sz w:val="21"/>
                <w:szCs w:val="21"/>
                <w:highlight w:val="none"/>
                <w:u w:val="none"/>
                <w:lang w:val="en-US" w:eastAsia="zh-CN" w:bidi="ar-SA"/>
              </w:rPr>
            </w:pPr>
            <w:r>
              <w:rPr>
                <w:rFonts w:hint="eastAsia" w:ascii="仿宋_GB2312" w:hAnsi="仿宋_GB2312" w:eastAsia="仿宋_GB2312" w:cs="仿宋_GB2312"/>
                <w:bCs/>
                <w:color w:val="auto"/>
                <w:sz w:val="21"/>
                <w:szCs w:val="21"/>
                <w:highlight w:val="none"/>
                <w:u w:val="none"/>
                <w:lang w:val="en-US" w:eastAsia="zh-CN"/>
              </w:rPr>
              <w:t>40</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F1DE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center"/>
              <w:rPr>
                <w:rFonts w:hint="eastAsia" w:ascii="仿宋_GB2312" w:hAnsi="仿宋_GB2312" w:eastAsia="仿宋_GB2312" w:cs="仿宋_GB2312"/>
                <w:bCs/>
                <w:color w:val="auto"/>
                <w:kern w:val="2"/>
                <w:sz w:val="21"/>
                <w:szCs w:val="21"/>
                <w:highlight w:val="none"/>
                <w:u w:val="none"/>
                <w:lang w:val="en-US" w:eastAsia="zh-CN" w:bidi="ar-SA"/>
              </w:rPr>
            </w:pPr>
          </w:p>
        </w:tc>
      </w:tr>
    </w:tbl>
    <w:p w14:paraId="31D90883">
      <w:pPr>
        <w:keepNext w:val="0"/>
        <w:keepLines w:val="0"/>
        <w:pageBreakBefore w:val="0"/>
        <w:kinsoku/>
        <w:wordWrap/>
        <w:overflowPunct/>
        <w:topLinePunct w:val="0"/>
        <w:autoSpaceDN/>
        <w:bidi w:val="0"/>
        <w:adjustRightInd/>
        <w:snapToGrid/>
        <w:spacing w:line="240" w:lineRule="auto"/>
        <w:rPr>
          <w:rFonts w:hint="eastAsia"/>
          <w:color w:val="auto"/>
          <w:highlight w:val="none"/>
          <w:lang w:val="en-US" w:eastAsia="zh-CN"/>
        </w:rPr>
      </w:pPr>
    </w:p>
    <w:p w14:paraId="74865BAD">
      <w:pPr>
        <w:keepNext w:val="0"/>
        <w:keepLines w:val="0"/>
        <w:pageBreakBefore w:val="0"/>
        <w:kinsoku/>
        <w:wordWrap/>
        <w:overflowPunct/>
        <w:topLinePunct w:val="0"/>
        <w:autoSpaceDN/>
        <w:bidi w:val="0"/>
        <w:adjustRightInd/>
        <w:snapToGrid/>
        <w:spacing w:line="240" w:lineRule="auto"/>
        <w:rPr>
          <w:rFonts w:hint="eastAsia"/>
          <w:color w:val="auto"/>
          <w:highlight w:val="none"/>
          <w:lang w:val="en-US" w:eastAsia="zh-CN"/>
        </w:rPr>
        <w:sectPr>
          <w:pgSz w:w="16838" w:h="11906" w:orient="landscape"/>
          <w:pgMar w:top="1134" w:right="1134" w:bottom="1134" w:left="1134" w:header="720" w:footer="720" w:gutter="0"/>
          <w:pgNumType w:fmt="decimal"/>
          <w:cols w:space="720" w:num="1"/>
          <w:docGrid w:type="lines" w:linePitch="331" w:charSpace="0"/>
        </w:sectPr>
      </w:pPr>
    </w:p>
    <w:p w14:paraId="114D4060">
      <w:pPr>
        <w:keepNext w:val="0"/>
        <w:keepLines w:val="0"/>
        <w:pageBreakBefore w:val="0"/>
        <w:widowControl w:val="0"/>
        <w:kinsoku/>
        <w:wordWrap/>
        <w:overflowPunct/>
        <w:topLinePunct w:val="0"/>
        <w:autoSpaceDE/>
        <w:autoSpaceDN/>
        <w:bidi w:val="0"/>
        <w:adjustRightInd/>
        <w:snapToGrid/>
        <w:spacing w:line="428" w:lineRule="exact"/>
        <w:textAlignment w:val="auto"/>
        <w:outlineLvl w:val="1"/>
        <w:rPr>
          <w:rFonts w:hint="eastAsia" w:ascii="仿宋_GB2312" w:hAnsi="仿宋_GB2312" w:eastAsia="仿宋_GB2312" w:cs="仿宋_GB2312"/>
          <w:color w:val="auto"/>
          <w:kern w:val="0"/>
          <w:sz w:val="32"/>
          <w:szCs w:val="32"/>
          <w:highlight w:val="none"/>
          <w:u w:val="none"/>
          <w:lang w:val="en-US" w:eastAsia="zh-CN"/>
        </w:rPr>
      </w:pPr>
      <w:bookmarkStart w:id="37" w:name="_Toc13494"/>
      <w:r>
        <w:rPr>
          <w:rFonts w:hint="eastAsia" w:ascii="仿宋_GB2312" w:hAnsi="仿宋_GB2312" w:eastAsia="仿宋_GB2312" w:cs="仿宋_GB2312"/>
          <w:color w:val="auto"/>
          <w:kern w:val="0"/>
          <w:sz w:val="32"/>
          <w:szCs w:val="32"/>
          <w:highlight w:val="none"/>
          <w:u w:val="none"/>
          <w:lang w:val="en-US" w:eastAsia="zh-CN"/>
        </w:rPr>
        <w:t>附件2</w:t>
      </w:r>
      <w:bookmarkEnd w:id="37"/>
    </w:p>
    <w:p w14:paraId="71549A9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微软雅黑" w:hAnsi="微软雅黑" w:eastAsia="微软雅黑" w:cs="微软雅黑"/>
          <w:color w:val="auto"/>
          <w:sz w:val="32"/>
          <w:szCs w:val="32"/>
          <w:highlight w:val="none"/>
          <w:u w:val="none"/>
          <w:vertAlign w:val="baseline"/>
          <w:lang w:val="en-US" w:eastAsia="zh-CN"/>
        </w:rPr>
      </w:pPr>
      <w:r>
        <w:rPr>
          <w:rFonts w:hint="eastAsia" w:ascii="微软雅黑" w:hAnsi="微软雅黑" w:eastAsia="微软雅黑" w:cs="微软雅黑"/>
          <w:color w:val="auto"/>
          <w:sz w:val="32"/>
          <w:szCs w:val="32"/>
          <w:highlight w:val="none"/>
          <w:u w:val="none"/>
          <w:vertAlign w:val="baseline"/>
          <w:lang w:val="en-US" w:eastAsia="zh-CN"/>
        </w:rPr>
        <w:t>南宁市一级就业服务站规范</w:t>
      </w:r>
      <w:r>
        <w:rPr>
          <w:rFonts w:hint="eastAsia" w:ascii="微软雅黑" w:hAnsi="微软雅黑" w:eastAsia="微软雅黑" w:cs="微软雅黑"/>
          <w:color w:val="auto"/>
          <w:sz w:val="32"/>
          <w:szCs w:val="32"/>
          <w:highlight w:val="none"/>
          <w:u w:val="none"/>
          <w:lang w:val="en-US" w:eastAsia="zh-CN"/>
        </w:rPr>
        <w:t>配备</w:t>
      </w:r>
      <w:r>
        <w:rPr>
          <w:rFonts w:hint="eastAsia" w:ascii="微软雅黑" w:hAnsi="微软雅黑" w:eastAsia="微软雅黑" w:cs="微软雅黑"/>
          <w:color w:val="auto"/>
          <w:sz w:val="32"/>
          <w:szCs w:val="32"/>
          <w:highlight w:val="none"/>
          <w:u w:val="none"/>
          <w:vertAlign w:val="baseline"/>
          <w:lang w:val="en-US" w:eastAsia="zh-CN"/>
        </w:rPr>
        <w:t>标准</w:t>
      </w:r>
    </w:p>
    <w:tbl>
      <w:tblPr>
        <w:tblStyle w:val="1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8"/>
        <w:gridCol w:w="959"/>
        <w:gridCol w:w="1831"/>
        <w:gridCol w:w="3898"/>
        <w:gridCol w:w="2352"/>
      </w:tblGrid>
      <w:tr w14:paraId="4955D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78" w:type="dxa"/>
            <w:noWrap w:val="0"/>
            <w:vAlign w:val="top"/>
          </w:tcPr>
          <w:p w14:paraId="62B3671B">
            <w:pPr>
              <w:spacing w:before="196" w:line="223" w:lineRule="auto"/>
              <w:ind w:left="155"/>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序号</w:t>
            </w:r>
          </w:p>
        </w:tc>
        <w:tc>
          <w:tcPr>
            <w:tcW w:w="959" w:type="dxa"/>
            <w:noWrap w:val="0"/>
            <w:vAlign w:val="top"/>
          </w:tcPr>
          <w:p w14:paraId="3D896DF5">
            <w:pPr>
              <w:spacing w:before="40" w:line="223" w:lineRule="auto"/>
              <w:ind w:left="126"/>
              <w:rPr>
                <w:rFonts w:ascii="黑体" w:hAnsi="黑体" w:eastAsia="黑体" w:cs="黑体"/>
                <w:color w:val="auto"/>
                <w:sz w:val="24"/>
                <w:szCs w:val="24"/>
                <w:highlight w:val="none"/>
              </w:rPr>
            </w:pPr>
            <w:r>
              <w:rPr>
                <w:rFonts w:ascii="黑体" w:hAnsi="黑体" w:eastAsia="黑体" w:cs="黑体"/>
                <w:color w:val="auto"/>
                <w:spacing w:val="-4"/>
                <w:sz w:val="24"/>
                <w:szCs w:val="24"/>
                <w:highlight w:val="none"/>
              </w:rPr>
              <w:t>配备运</w:t>
            </w:r>
          </w:p>
          <w:p w14:paraId="60717305">
            <w:pPr>
              <w:spacing w:before="22" w:line="208" w:lineRule="auto"/>
              <w:ind w:left="130"/>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营标准</w:t>
            </w:r>
          </w:p>
        </w:tc>
        <w:tc>
          <w:tcPr>
            <w:tcW w:w="1831" w:type="dxa"/>
            <w:noWrap w:val="0"/>
            <w:vAlign w:val="top"/>
          </w:tcPr>
          <w:p w14:paraId="1ECC0237">
            <w:pPr>
              <w:spacing w:before="197" w:line="222" w:lineRule="auto"/>
              <w:ind w:left="202"/>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配备运营要求</w:t>
            </w:r>
          </w:p>
        </w:tc>
        <w:tc>
          <w:tcPr>
            <w:tcW w:w="3898" w:type="dxa"/>
            <w:noWrap w:val="0"/>
            <w:vAlign w:val="top"/>
          </w:tcPr>
          <w:p w14:paraId="2635BCC9">
            <w:pPr>
              <w:spacing w:before="196" w:line="223" w:lineRule="auto"/>
              <w:ind w:left="147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基本配备</w:t>
            </w:r>
          </w:p>
        </w:tc>
        <w:tc>
          <w:tcPr>
            <w:tcW w:w="2352" w:type="dxa"/>
            <w:noWrap w:val="0"/>
            <w:vAlign w:val="top"/>
          </w:tcPr>
          <w:p w14:paraId="6B66A2F4">
            <w:pPr>
              <w:spacing w:before="196" w:line="222" w:lineRule="auto"/>
              <w:ind w:left="700"/>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增设配备</w:t>
            </w:r>
          </w:p>
        </w:tc>
      </w:tr>
      <w:tr w14:paraId="27019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8" w:hRule="atLeast"/>
        </w:trPr>
        <w:tc>
          <w:tcPr>
            <w:tcW w:w="778" w:type="dxa"/>
            <w:noWrap w:val="0"/>
            <w:vAlign w:val="top"/>
          </w:tcPr>
          <w:p w14:paraId="40C6D24D">
            <w:pPr>
              <w:pStyle w:val="56"/>
              <w:spacing w:line="250" w:lineRule="auto"/>
              <w:rPr>
                <w:color w:val="auto"/>
                <w:highlight w:val="none"/>
              </w:rPr>
            </w:pPr>
          </w:p>
          <w:p w14:paraId="6C77026D">
            <w:pPr>
              <w:pStyle w:val="56"/>
              <w:spacing w:line="250" w:lineRule="auto"/>
              <w:rPr>
                <w:color w:val="auto"/>
                <w:highlight w:val="none"/>
              </w:rPr>
            </w:pPr>
          </w:p>
          <w:p w14:paraId="617BFE54">
            <w:pPr>
              <w:pStyle w:val="56"/>
              <w:spacing w:line="251" w:lineRule="auto"/>
              <w:rPr>
                <w:color w:val="auto"/>
                <w:highlight w:val="none"/>
              </w:rPr>
            </w:pPr>
          </w:p>
          <w:p w14:paraId="51A7EB73">
            <w:pPr>
              <w:pStyle w:val="56"/>
              <w:spacing w:line="251" w:lineRule="auto"/>
              <w:rPr>
                <w:color w:val="auto"/>
                <w:highlight w:val="none"/>
              </w:rPr>
            </w:pPr>
          </w:p>
          <w:p w14:paraId="7F3C2B54">
            <w:pPr>
              <w:pStyle w:val="56"/>
              <w:spacing w:line="251" w:lineRule="auto"/>
              <w:rPr>
                <w:color w:val="auto"/>
                <w:highlight w:val="none"/>
              </w:rPr>
            </w:pPr>
          </w:p>
          <w:p w14:paraId="71119F66">
            <w:pPr>
              <w:pStyle w:val="56"/>
              <w:spacing w:line="251" w:lineRule="auto"/>
              <w:rPr>
                <w:color w:val="auto"/>
                <w:highlight w:val="none"/>
              </w:rPr>
            </w:pPr>
          </w:p>
          <w:p w14:paraId="46E479DD">
            <w:pPr>
              <w:spacing w:before="69" w:line="315" w:lineRule="exact"/>
              <w:ind w:left="353"/>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1</w:t>
            </w:r>
          </w:p>
        </w:tc>
        <w:tc>
          <w:tcPr>
            <w:tcW w:w="959" w:type="dxa"/>
            <w:noWrap w:val="0"/>
            <w:vAlign w:val="top"/>
          </w:tcPr>
          <w:p w14:paraId="30F016D6">
            <w:pPr>
              <w:pStyle w:val="56"/>
              <w:spacing w:line="275" w:lineRule="auto"/>
              <w:rPr>
                <w:color w:val="auto"/>
                <w:highlight w:val="none"/>
              </w:rPr>
            </w:pPr>
          </w:p>
          <w:p w14:paraId="5B0B792D">
            <w:pPr>
              <w:pStyle w:val="56"/>
              <w:spacing w:line="275" w:lineRule="auto"/>
              <w:rPr>
                <w:color w:val="auto"/>
                <w:highlight w:val="none"/>
              </w:rPr>
            </w:pPr>
          </w:p>
          <w:p w14:paraId="59410CE9">
            <w:pPr>
              <w:pStyle w:val="56"/>
              <w:spacing w:line="275" w:lineRule="auto"/>
              <w:rPr>
                <w:color w:val="auto"/>
                <w:highlight w:val="none"/>
              </w:rPr>
            </w:pPr>
          </w:p>
          <w:p w14:paraId="624E1C70">
            <w:pPr>
              <w:pStyle w:val="56"/>
              <w:spacing w:line="275" w:lineRule="auto"/>
              <w:rPr>
                <w:color w:val="auto"/>
                <w:highlight w:val="none"/>
              </w:rPr>
            </w:pPr>
          </w:p>
          <w:p w14:paraId="67F64D2F">
            <w:pPr>
              <w:pStyle w:val="56"/>
              <w:spacing w:line="275" w:lineRule="auto"/>
              <w:rPr>
                <w:color w:val="auto"/>
                <w:highlight w:val="none"/>
              </w:rPr>
            </w:pPr>
          </w:p>
          <w:p w14:paraId="0477B2D8">
            <w:pPr>
              <w:spacing w:before="78" w:line="241" w:lineRule="auto"/>
              <w:ind w:left="244" w:right="117" w:hanging="113"/>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有服务</w:t>
            </w:r>
            <w:r>
              <w:rPr>
                <w:rFonts w:ascii="FangSong_GB2312" w:hAnsi="FangSong_GB2312" w:eastAsia="FangSong_GB2312" w:cs="FangSong_GB2312"/>
                <w:color w:val="auto"/>
                <w:spacing w:val="-5"/>
                <w:sz w:val="24"/>
                <w:szCs w:val="24"/>
                <w:highlight w:val="none"/>
              </w:rPr>
              <w:t>场所</w:t>
            </w:r>
          </w:p>
        </w:tc>
        <w:tc>
          <w:tcPr>
            <w:tcW w:w="1831" w:type="dxa"/>
            <w:noWrap w:val="0"/>
            <w:vAlign w:val="top"/>
          </w:tcPr>
          <w:p w14:paraId="6174F05E">
            <w:pPr>
              <w:pStyle w:val="56"/>
              <w:spacing w:line="445" w:lineRule="auto"/>
              <w:rPr>
                <w:color w:val="auto"/>
                <w:highlight w:val="none"/>
              </w:rPr>
            </w:pPr>
          </w:p>
          <w:p w14:paraId="6456A821">
            <w:pPr>
              <w:spacing w:before="78"/>
              <w:ind w:left="116" w:right="105" w:firstLine="3"/>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2"/>
                <w:sz w:val="24"/>
                <w:szCs w:val="24"/>
                <w:highlight w:val="none"/>
              </w:rPr>
              <w:t>有固定、独立的</w:t>
            </w:r>
            <w:r>
              <w:rPr>
                <w:rFonts w:ascii="FangSong_GB2312" w:hAnsi="FangSong_GB2312" w:eastAsia="FangSong_GB2312" w:cs="FangSong_GB2312"/>
                <w:color w:val="auto"/>
                <w:spacing w:val="-11"/>
                <w:sz w:val="24"/>
                <w:szCs w:val="24"/>
                <w:highlight w:val="none"/>
              </w:rPr>
              <w:t>服务场所，面积</w:t>
            </w:r>
            <w:r>
              <w:rPr>
                <w:rFonts w:ascii="FangSong_GB2312" w:hAnsi="FangSong_GB2312" w:eastAsia="FangSong_GB2312" w:cs="FangSong_GB2312"/>
                <w:color w:val="auto"/>
                <w:spacing w:val="2"/>
                <w:sz w:val="24"/>
                <w:szCs w:val="24"/>
                <w:highlight w:val="none"/>
              </w:rPr>
              <w:t>符</w:t>
            </w:r>
            <w:r>
              <w:rPr>
                <w:rFonts w:ascii="FangSong_GB2312" w:hAnsi="FangSong_GB2312" w:eastAsia="FangSong_GB2312" w:cs="FangSong_GB2312"/>
                <w:color w:val="auto"/>
                <w:spacing w:val="-71"/>
                <w:sz w:val="24"/>
                <w:szCs w:val="24"/>
                <w:highlight w:val="none"/>
              </w:rPr>
              <w:t xml:space="preserve"> </w:t>
            </w:r>
            <w:r>
              <w:rPr>
                <w:rFonts w:ascii="FangSong_GB2312" w:hAnsi="FangSong_GB2312" w:eastAsia="FangSong_GB2312" w:cs="FangSong_GB2312"/>
                <w:color w:val="auto"/>
                <w:spacing w:val="2"/>
                <w:sz w:val="24"/>
                <w:szCs w:val="24"/>
                <w:highlight w:val="none"/>
              </w:rPr>
              <w:t>合服</w:t>
            </w:r>
            <w:r>
              <w:rPr>
                <w:rFonts w:ascii="FangSong_GB2312" w:hAnsi="FangSong_GB2312" w:eastAsia="FangSong_GB2312" w:cs="FangSong_GB2312"/>
                <w:color w:val="auto"/>
                <w:spacing w:val="-70"/>
                <w:sz w:val="24"/>
                <w:szCs w:val="24"/>
                <w:highlight w:val="none"/>
              </w:rPr>
              <w:t xml:space="preserve"> </w:t>
            </w:r>
            <w:r>
              <w:rPr>
                <w:rFonts w:ascii="FangSong_GB2312" w:hAnsi="FangSong_GB2312" w:eastAsia="FangSong_GB2312" w:cs="FangSong_GB2312"/>
                <w:color w:val="auto"/>
                <w:spacing w:val="2"/>
                <w:sz w:val="24"/>
                <w:szCs w:val="24"/>
                <w:highlight w:val="none"/>
              </w:rPr>
              <w:t>务</w:t>
            </w:r>
            <w:r>
              <w:rPr>
                <w:rFonts w:ascii="FangSong_GB2312" w:hAnsi="FangSong_GB2312" w:eastAsia="FangSong_GB2312" w:cs="FangSong_GB2312"/>
                <w:color w:val="auto"/>
                <w:spacing w:val="-69"/>
                <w:sz w:val="24"/>
                <w:szCs w:val="24"/>
                <w:highlight w:val="none"/>
              </w:rPr>
              <w:t xml:space="preserve"> </w:t>
            </w:r>
            <w:r>
              <w:rPr>
                <w:rFonts w:ascii="FangSong_GB2312" w:hAnsi="FangSong_GB2312" w:eastAsia="FangSong_GB2312" w:cs="FangSong_GB2312"/>
                <w:color w:val="auto"/>
                <w:spacing w:val="2"/>
                <w:sz w:val="24"/>
                <w:szCs w:val="24"/>
                <w:highlight w:val="none"/>
              </w:rPr>
              <w:t>功能</w:t>
            </w:r>
            <w:r>
              <w:rPr>
                <w:rFonts w:ascii="FangSong_GB2312" w:hAnsi="FangSong_GB2312" w:eastAsia="FangSong_GB2312" w:cs="FangSong_GB2312"/>
                <w:color w:val="auto"/>
                <w:spacing w:val="-11"/>
                <w:sz w:val="24"/>
                <w:szCs w:val="24"/>
                <w:highlight w:val="none"/>
              </w:rPr>
              <w:t>需求，选址位于</w:t>
            </w:r>
            <w:r>
              <w:rPr>
                <w:rFonts w:ascii="FangSong_GB2312" w:hAnsi="FangSong_GB2312" w:eastAsia="FangSong_GB2312" w:cs="FangSong_GB2312"/>
                <w:color w:val="auto"/>
                <w:spacing w:val="4"/>
                <w:sz w:val="24"/>
                <w:szCs w:val="24"/>
                <w:highlight w:val="none"/>
              </w:rPr>
              <w:t>人</w:t>
            </w:r>
            <w:r>
              <w:rPr>
                <w:rFonts w:ascii="FangSong_GB2312" w:hAnsi="FangSong_GB2312" w:eastAsia="FangSong_GB2312" w:cs="FangSong_GB2312"/>
                <w:color w:val="auto"/>
                <w:spacing w:val="-55"/>
                <w:sz w:val="24"/>
                <w:szCs w:val="24"/>
                <w:highlight w:val="none"/>
              </w:rPr>
              <w:t xml:space="preserve"> </w:t>
            </w:r>
            <w:r>
              <w:rPr>
                <w:rFonts w:ascii="FangSong_GB2312" w:hAnsi="FangSong_GB2312" w:eastAsia="FangSong_GB2312" w:cs="FangSong_GB2312"/>
                <w:color w:val="auto"/>
                <w:spacing w:val="4"/>
                <w:sz w:val="24"/>
                <w:szCs w:val="24"/>
                <w:highlight w:val="none"/>
              </w:rPr>
              <w:t>员集</w:t>
            </w:r>
            <w:r>
              <w:rPr>
                <w:rFonts w:ascii="FangSong_GB2312" w:hAnsi="FangSong_GB2312" w:eastAsia="FangSong_GB2312" w:cs="FangSong_GB2312"/>
                <w:color w:val="auto"/>
                <w:spacing w:val="-47"/>
                <w:sz w:val="24"/>
                <w:szCs w:val="24"/>
                <w:highlight w:val="none"/>
              </w:rPr>
              <w:t xml:space="preserve"> </w:t>
            </w:r>
            <w:r>
              <w:rPr>
                <w:rFonts w:ascii="FangSong_GB2312" w:hAnsi="FangSong_GB2312" w:eastAsia="FangSong_GB2312" w:cs="FangSong_GB2312"/>
                <w:color w:val="auto"/>
                <w:spacing w:val="4"/>
                <w:sz w:val="24"/>
                <w:szCs w:val="24"/>
                <w:highlight w:val="none"/>
              </w:rPr>
              <w:t>中居住</w:t>
            </w:r>
            <w:r>
              <w:rPr>
                <w:rFonts w:ascii="FangSong_GB2312" w:hAnsi="FangSong_GB2312" w:eastAsia="FangSong_GB2312" w:cs="FangSong_GB2312"/>
                <w:color w:val="auto"/>
                <w:spacing w:val="-11"/>
                <w:sz w:val="24"/>
                <w:szCs w:val="24"/>
                <w:highlight w:val="none"/>
              </w:rPr>
              <w:t>区、人流密集区</w:t>
            </w:r>
            <w:r>
              <w:rPr>
                <w:rFonts w:ascii="FangSong_GB2312" w:hAnsi="FangSong_GB2312" w:eastAsia="FangSong_GB2312" w:cs="FangSong_GB2312"/>
                <w:color w:val="auto"/>
                <w:spacing w:val="27"/>
                <w:sz w:val="24"/>
                <w:szCs w:val="24"/>
                <w:highlight w:val="none"/>
              </w:rPr>
              <w:t>等便于服务对</w:t>
            </w:r>
            <w:r>
              <w:rPr>
                <w:rFonts w:ascii="FangSong_GB2312" w:hAnsi="FangSong_GB2312" w:eastAsia="FangSong_GB2312" w:cs="FangSong_GB2312"/>
                <w:color w:val="auto"/>
                <w:spacing w:val="-2"/>
                <w:sz w:val="24"/>
                <w:szCs w:val="24"/>
                <w:highlight w:val="none"/>
              </w:rPr>
              <w:t>象到达的地方</w:t>
            </w:r>
          </w:p>
        </w:tc>
        <w:tc>
          <w:tcPr>
            <w:tcW w:w="3898" w:type="dxa"/>
            <w:noWrap w:val="0"/>
            <w:vAlign w:val="top"/>
          </w:tcPr>
          <w:p w14:paraId="1773D123">
            <w:pPr>
              <w:pStyle w:val="56"/>
              <w:spacing w:line="291" w:lineRule="auto"/>
              <w:rPr>
                <w:color w:val="auto"/>
                <w:highlight w:val="none"/>
              </w:rPr>
            </w:pPr>
          </w:p>
          <w:p w14:paraId="7A61167E">
            <w:pPr>
              <w:pStyle w:val="56"/>
              <w:spacing w:line="292" w:lineRule="auto"/>
              <w:rPr>
                <w:color w:val="auto"/>
                <w:highlight w:val="none"/>
              </w:rPr>
            </w:pPr>
          </w:p>
          <w:p w14:paraId="5383FED2">
            <w:pPr>
              <w:pStyle w:val="56"/>
              <w:spacing w:line="292" w:lineRule="auto"/>
              <w:rPr>
                <w:color w:val="auto"/>
                <w:highlight w:val="none"/>
              </w:rPr>
            </w:pPr>
          </w:p>
          <w:p w14:paraId="4E19D927">
            <w:pPr>
              <w:spacing w:before="78"/>
              <w:ind w:left="121" w:right="105" w:firstLine="12"/>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8"/>
                <w:sz w:val="24"/>
                <w:szCs w:val="24"/>
                <w:highlight w:val="none"/>
              </w:rPr>
              <w:t>1.</w:t>
            </w:r>
            <w:r>
              <w:rPr>
                <w:rFonts w:ascii="Times New Roman" w:hAnsi="Times New Roman" w:eastAsia="Times New Roman" w:cs="Times New Roman"/>
                <w:color w:val="auto"/>
                <w:spacing w:val="-20"/>
                <w:sz w:val="24"/>
                <w:szCs w:val="24"/>
                <w:highlight w:val="none"/>
              </w:rPr>
              <w:t xml:space="preserve"> </w:t>
            </w:r>
            <w:r>
              <w:rPr>
                <w:rFonts w:ascii="FangSong_GB2312" w:hAnsi="FangSong_GB2312" w:eastAsia="FangSong_GB2312" w:cs="FangSong_GB2312"/>
                <w:color w:val="auto"/>
                <w:spacing w:val="8"/>
                <w:sz w:val="24"/>
                <w:szCs w:val="24"/>
                <w:highlight w:val="none"/>
              </w:rPr>
              <w:t>原则上场地面积不少于</w:t>
            </w:r>
            <w:r>
              <w:rPr>
                <w:rFonts w:ascii="Times New Roman" w:hAnsi="Times New Roman" w:eastAsia="Times New Roman" w:cs="Times New Roman"/>
                <w:color w:val="auto"/>
                <w:spacing w:val="8"/>
                <w:sz w:val="24"/>
                <w:szCs w:val="24"/>
                <w:highlight w:val="none"/>
              </w:rPr>
              <w:t>30</w:t>
            </w:r>
            <w:r>
              <w:rPr>
                <w:rFonts w:ascii="FangSong_GB2312" w:hAnsi="FangSong_GB2312" w:eastAsia="FangSong_GB2312" w:cs="FangSong_GB2312"/>
                <w:color w:val="auto"/>
                <w:spacing w:val="8"/>
                <w:sz w:val="24"/>
                <w:szCs w:val="24"/>
                <w:highlight w:val="none"/>
              </w:rPr>
              <w:t>平方</w:t>
            </w:r>
            <w:r>
              <w:rPr>
                <w:rFonts w:ascii="FangSong_GB2312" w:hAnsi="FangSong_GB2312" w:eastAsia="FangSong_GB2312" w:cs="FangSong_GB2312"/>
                <w:color w:val="auto"/>
                <w:spacing w:val="-8"/>
                <w:sz w:val="24"/>
                <w:szCs w:val="24"/>
                <w:highlight w:val="none"/>
              </w:rPr>
              <w:t>米；</w:t>
            </w:r>
          </w:p>
          <w:p w14:paraId="047ACDDC">
            <w:pPr>
              <w:spacing w:before="1" w:line="247" w:lineRule="auto"/>
              <w:ind w:left="114" w:right="32" w:hanging="4"/>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6"/>
                <w:sz w:val="24"/>
                <w:szCs w:val="24"/>
                <w:highlight w:val="none"/>
              </w:rPr>
              <w:t>2.</w:t>
            </w:r>
            <w:r>
              <w:rPr>
                <w:rFonts w:ascii="FangSong_GB2312" w:hAnsi="FangSong_GB2312" w:eastAsia="FangSong_GB2312" w:cs="FangSong_GB2312"/>
                <w:color w:val="auto"/>
                <w:spacing w:val="-6"/>
                <w:sz w:val="24"/>
                <w:szCs w:val="24"/>
                <w:highlight w:val="none"/>
              </w:rPr>
              <w:t>场地能满足设置柜面服务区、信息发布区、数智求职区、等候休息区、</w:t>
            </w:r>
            <w:r>
              <w:rPr>
                <w:rFonts w:ascii="FangSong_GB2312" w:hAnsi="FangSong_GB2312" w:eastAsia="FangSong_GB2312" w:cs="FangSong_GB2312"/>
                <w:color w:val="auto"/>
                <w:spacing w:val="-1"/>
                <w:sz w:val="24"/>
                <w:szCs w:val="24"/>
                <w:highlight w:val="none"/>
              </w:rPr>
              <w:t>便民服务区等基本功能区域。</w:t>
            </w:r>
          </w:p>
        </w:tc>
        <w:tc>
          <w:tcPr>
            <w:tcW w:w="2352" w:type="dxa"/>
            <w:noWrap w:val="0"/>
            <w:vAlign w:val="top"/>
          </w:tcPr>
          <w:p w14:paraId="756A601F">
            <w:pPr>
              <w:spacing w:before="178"/>
              <w:ind w:left="114" w:right="105" w:firstLine="21"/>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z w:val="24"/>
                <w:szCs w:val="24"/>
                <w:highlight w:val="none"/>
              </w:rPr>
              <w:t>1.</w:t>
            </w:r>
            <w:r>
              <w:rPr>
                <w:rFonts w:ascii="FangSong_GB2312" w:hAnsi="FangSong_GB2312" w:eastAsia="FangSong_GB2312" w:cs="FangSong_GB2312"/>
                <w:color w:val="auto"/>
                <w:sz w:val="24"/>
                <w:szCs w:val="24"/>
                <w:highlight w:val="none"/>
              </w:rPr>
              <w:t>根据场地实际，可</w:t>
            </w:r>
            <w:r>
              <w:rPr>
                <w:rFonts w:ascii="FangSong_GB2312" w:hAnsi="FangSong_GB2312" w:eastAsia="FangSong_GB2312" w:cs="FangSong_GB2312"/>
                <w:color w:val="auto"/>
                <w:spacing w:val="-4"/>
                <w:sz w:val="24"/>
                <w:szCs w:val="24"/>
                <w:highlight w:val="none"/>
              </w:rPr>
              <w:t>增设求职招聘区、职业培训区、线上直播区、视频面试区以及</w:t>
            </w:r>
          </w:p>
          <w:p w14:paraId="36CF2DE9">
            <w:pPr>
              <w:ind w:left="121" w:right="108" w:hanging="9"/>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12"/>
                <w:sz w:val="24"/>
                <w:szCs w:val="24"/>
                <w:highlight w:val="none"/>
              </w:rPr>
              <w:t>24</w:t>
            </w:r>
            <w:r>
              <w:rPr>
                <w:rFonts w:ascii="Times New Roman" w:hAnsi="Times New Roman" w:eastAsia="Times New Roman" w:cs="Times New Roman"/>
                <w:color w:val="auto"/>
                <w:spacing w:val="37"/>
                <w:sz w:val="24"/>
                <w:szCs w:val="24"/>
                <w:highlight w:val="none"/>
              </w:rPr>
              <w:t xml:space="preserve"> </w:t>
            </w:r>
            <w:r>
              <w:rPr>
                <w:rFonts w:ascii="FangSong_GB2312" w:hAnsi="FangSong_GB2312" w:eastAsia="FangSong_GB2312" w:cs="FangSong_GB2312"/>
                <w:color w:val="auto"/>
                <w:spacing w:val="12"/>
                <w:sz w:val="24"/>
                <w:szCs w:val="24"/>
                <w:highlight w:val="none"/>
              </w:rPr>
              <w:t>小时人社自助服</w:t>
            </w:r>
            <w:r>
              <w:rPr>
                <w:rFonts w:ascii="FangSong_GB2312" w:hAnsi="FangSong_GB2312" w:eastAsia="FangSong_GB2312" w:cs="FangSong_GB2312"/>
                <w:color w:val="auto"/>
                <w:spacing w:val="-2"/>
                <w:sz w:val="24"/>
                <w:szCs w:val="24"/>
                <w:highlight w:val="none"/>
              </w:rPr>
              <w:t>务区等功能区域；</w:t>
            </w:r>
          </w:p>
          <w:p w14:paraId="75ACC0F2">
            <w:pPr>
              <w:spacing w:before="4" w:line="241" w:lineRule="auto"/>
              <w:ind w:left="112" w:right="108"/>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6"/>
                <w:sz w:val="24"/>
                <w:szCs w:val="24"/>
                <w:highlight w:val="none"/>
              </w:rPr>
              <w:t>2.</w:t>
            </w:r>
            <w:r>
              <w:rPr>
                <w:rFonts w:ascii="FangSong_GB2312" w:hAnsi="FangSong_GB2312" w:eastAsia="FangSong_GB2312" w:cs="FangSong_GB2312"/>
                <w:color w:val="auto"/>
                <w:spacing w:val="6"/>
                <w:sz w:val="24"/>
                <w:szCs w:val="24"/>
                <w:highlight w:val="none"/>
              </w:rPr>
              <w:t>场</w:t>
            </w:r>
            <w:r>
              <w:rPr>
                <w:rFonts w:ascii="FangSong_GB2312" w:hAnsi="FangSong_GB2312" w:eastAsia="FangSong_GB2312" w:cs="FangSong_GB2312"/>
                <w:color w:val="auto"/>
                <w:spacing w:val="-71"/>
                <w:sz w:val="24"/>
                <w:szCs w:val="24"/>
                <w:highlight w:val="none"/>
              </w:rPr>
              <w:t xml:space="preserve"> </w:t>
            </w:r>
            <w:r>
              <w:rPr>
                <w:rFonts w:ascii="FangSong_GB2312" w:hAnsi="FangSong_GB2312" w:eastAsia="FangSong_GB2312" w:cs="FangSong_GB2312"/>
                <w:color w:val="auto"/>
                <w:spacing w:val="6"/>
                <w:sz w:val="24"/>
                <w:szCs w:val="24"/>
                <w:highlight w:val="none"/>
              </w:rPr>
              <w:t>所</w:t>
            </w:r>
            <w:r>
              <w:rPr>
                <w:rFonts w:ascii="FangSong_GB2312" w:hAnsi="FangSong_GB2312" w:eastAsia="FangSong_GB2312" w:cs="FangSong_GB2312"/>
                <w:color w:val="auto"/>
                <w:spacing w:val="-62"/>
                <w:sz w:val="24"/>
                <w:szCs w:val="24"/>
                <w:highlight w:val="none"/>
              </w:rPr>
              <w:t xml:space="preserve"> </w:t>
            </w:r>
            <w:r>
              <w:rPr>
                <w:rFonts w:ascii="FangSong_GB2312" w:hAnsi="FangSong_GB2312" w:eastAsia="FangSong_GB2312" w:cs="FangSong_GB2312"/>
                <w:color w:val="auto"/>
                <w:spacing w:val="6"/>
                <w:sz w:val="24"/>
                <w:szCs w:val="24"/>
                <w:highlight w:val="none"/>
              </w:rPr>
              <w:t>可使用面</w:t>
            </w:r>
            <w:r>
              <w:rPr>
                <w:rFonts w:ascii="FangSong_GB2312" w:hAnsi="FangSong_GB2312" w:eastAsia="FangSong_GB2312" w:cs="FangSong_GB2312"/>
                <w:color w:val="auto"/>
                <w:spacing w:val="-70"/>
                <w:sz w:val="24"/>
                <w:szCs w:val="24"/>
                <w:highlight w:val="none"/>
              </w:rPr>
              <w:t xml:space="preserve"> </w:t>
            </w:r>
            <w:r>
              <w:rPr>
                <w:rFonts w:ascii="FangSong_GB2312" w:hAnsi="FangSong_GB2312" w:eastAsia="FangSong_GB2312" w:cs="FangSong_GB2312"/>
                <w:color w:val="auto"/>
                <w:spacing w:val="6"/>
                <w:sz w:val="24"/>
                <w:szCs w:val="24"/>
                <w:highlight w:val="none"/>
              </w:rPr>
              <w:t>积</w:t>
            </w:r>
            <w:r>
              <w:rPr>
                <w:rFonts w:ascii="FangSong_GB2312" w:hAnsi="FangSong_GB2312" w:eastAsia="FangSong_GB2312" w:cs="FangSong_GB2312"/>
                <w:color w:val="auto"/>
                <w:spacing w:val="-11"/>
                <w:sz w:val="24"/>
                <w:szCs w:val="24"/>
                <w:highlight w:val="none"/>
              </w:rPr>
              <w:t>（含延展面积）超</w:t>
            </w:r>
            <w:r>
              <w:rPr>
                <w:rFonts w:ascii="Times New Roman" w:hAnsi="Times New Roman" w:eastAsia="Times New Roman" w:cs="Times New Roman"/>
                <w:color w:val="auto"/>
                <w:spacing w:val="-11"/>
                <w:sz w:val="24"/>
                <w:szCs w:val="24"/>
                <w:highlight w:val="none"/>
              </w:rPr>
              <w:t>50</w:t>
            </w:r>
            <w:r>
              <w:rPr>
                <w:rFonts w:ascii="FangSong_GB2312" w:hAnsi="FangSong_GB2312" w:eastAsia="FangSong_GB2312" w:cs="FangSong_GB2312"/>
                <w:color w:val="auto"/>
                <w:spacing w:val="-4"/>
                <w:sz w:val="24"/>
                <w:szCs w:val="24"/>
                <w:highlight w:val="none"/>
              </w:rPr>
              <w:t>平方米的，可结合实</w:t>
            </w:r>
            <w:r>
              <w:rPr>
                <w:rFonts w:ascii="FangSong_GB2312" w:hAnsi="FangSong_GB2312" w:eastAsia="FangSong_GB2312" w:cs="FangSong_GB2312"/>
                <w:color w:val="auto"/>
                <w:spacing w:val="-1"/>
                <w:sz w:val="24"/>
                <w:szCs w:val="24"/>
                <w:highlight w:val="none"/>
              </w:rPr>
              <w:t>际加挂零工市场。</w:t>
            </w:r>
          </w:p>
        </w:tc>
      </w:tr>
      <w:tr w14:paraId="7BFCF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1" w:hRule="atLeast"/>
        </w:trPr>
        <w:tc>
          <w:tcPr>
            <w:tcW w:w="778" w:type="dxa"/>
            <w:noWrap w:val="0"/>
            <w:vAlign w:val="top"/>
          </w:tcPr>
          <w:p w14:paraId="4E5C6B81">
            <w:pPr>
              <w:pStyle w:val="56"/>
              <w:spacing w:line="241" w:lineRule="auto"/>
              <w:rPr>
                <w:color w:val="auto"/>
                <w:highlight w:val="none"/>
              </w:rPr>
            </w:pPr>
          </w:p>
          <w:p w14:paraId="58AC1BDB">
            <w:pPr>
              <w:pStyle w:val="56"/>
              <w:spacing w:line="241" w:lineRule="auto"/>
              <w:rPr>
                <w:color w:val="auto"/>
                <w:highlight w:val="none"/>
              </w:rPr>
            </w:pPr>
          </w:p>
          <w:p w14:paraId="15D63B11">
            <w:pPr>
              <w:pStyle w:val="56"/>
              <w:spacing w:line="241" w:lineRule="auto"/>
              <w:rPr>
                <w:color w:val="auto"/>
                <w:highlight w:val="none"/>
              </w:rPr>
            </w:pPr>
          </w:p>
          <w:p w14:paraId="622FD48E">
            <w:pPr>
              <w:pStyle w:val="56"/>
              <w:spacing w:line="241" w:lineRule="auto"/>
              <w:rPr>
                <w:color w:val="auto"/>
                <w:highlight w:val="none"/>
              </w:rPr>
            </w:pPr>
          </w:p>
          <w:p w14:paraId="7FD6F25D">
            <w:pPr>
              <w:pStyle w:val="56"/>
              <w:spacing w:line="241" w:lineRule="auto"/>
              <w:rPr>
                <w:color w:val="auto"/>
                <w:highlight w:val="none"/>
              </w:rPr>
            </w:pPr>
          </w:p>
          <w:p w14:paraId="0E208129">
            <w:pPr>
              <w:pStyle w:val="56"/>
              <w:spacing w:line="241" w:lineRule="auto"/>
              <w:rPr>
                <w:color w:val="auto"/>
                <w:highlight w:val="none"/>
              </w:rPr>
            </w:pPr>
          </w:p>
          <w:p w14:paraId="5412ED58">
            <w:pPr>
              <w:pStyle w:val="56"/>
              <w:spacing w:line="242" w:lineRule="auto"/>
              <w:rPr>
                <w:color w:val="auto"/>
                <w:highlight w:val="none"/>
              </w:rPr>
            </w:pPr>
          </w:p>
          <w:p w14:paraId="0274D730">
            <w:pPr>
              <w:pStyle w:val="56"/>
              <w:spacing w:line="242" w:lineRule="auto"/>
              <w:rPr>
                <w:color w:val="auto"/>
                <w:highlight w:val="none"/>
              </w:rPr>
            </w:pPr>
          </w:p>
          <w:p w14:paraId="41339F5F">
            <w:pPr>
              <w:pStyle w:val="56"/>
              <w:spacing w:line="242" w:lineRule="auto"/>
              <w:rPr>
                <w:color w:val="auto"/>
                <w:highlight w:val="none"/>
              </w:rPr>
            </w:pPr>
          </w:p>
          <w:p w14:paraId="30C8C352">
            <w:pPr>
              <w:pStyle w:val="56"/>
              <w:spacing w:line="242" w:lineRule="auto"/>
              <w:rPr>
                <w:color w:val="auto"/>
                <w:highlight w:val="none"/>
              </w:rPr>
            </w:pPr>
          </w:p>
          <w:p w14:paraId="14E66856">
            <w:pPr>
              <w:pStyle w:val="56"/>
              <w:spacing w:line="242" w:lineRule="auto"/>
              <w:rPr>
                <w:color w:val="auto"/>
                <w:highlight w:val="none"/>
              </w:rPr>
            </w:pPr>
          </w:p>
          <w:p w14:paraId="1D247E16">
            <w:pPr>
              <w:pStyle w:val="56"/>
              <w:spacing w:line="242" w:lineRule="auto"/>
              <w:rPr>
                <w:color w:val="auto"/>
                <w:highlight w:val="none"/>
              </w:rPr>
            </w:pPr>
          </w:p>
          <w:p w14:paraId="706D2567">
            <w:pPr>
              <w:pStyle w:val="56"/>
              <w:spacing w:line="242" w:lineRule="auto"/>
              <w:rPr>
                <w:color w:val="auto"/>
                <w:highlight w:val="none"/>
              </w:rPr>
            </w:pPr>
          </w:p>
          <w:p w14:paraId="5685EDF6">
            <w:pPr>
              <w:pStyle w:val="56"/>
              <w:spacing w:line="242" w:lineRule="auto"/>
              <w:rPr>
                <w:color w:val="auto"/>
                <w:highlight w:val="none"/>
              </w:rPr>
            </w:pPr>
          </w:p>
          <w:p w14:paraId="6035BB86">
            <w:pPr>
              <w:pStyle w:val="56"/>
              <w:spacing w:line="242" w:lineRule="auto"/>
              <w:rPr>
                <w:color w:val="auto"/>
                <w:highlight w:val="none"/>
              </w:rPr>
            </w:pPr>
          </w:p>
          <w:p w14:paraId="3A520BBE">
            <w:pPr>
              <w:spacing w:before="69" w:line="315" w:lineRule="exact"/>
              <w:ind w:left="330"/>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2</w:t>
            </w:r>
          </w:p>
        </w:tc>
        <w:tc>
          <w:tcPr>
            <w:tcW w:w="959" w:type="dxa"/>
            <w:noWrap w:val="0"/>
            <w:vAlign w:val="top"/>
          </w:tcPr>
          <w:p w14:paraId="2EABC190">
            <w:pPr>
              <w:pStyle w:val="56"/>
              <w:spacing w:line="249" w:lineRule="auto"/>
              <w:rPr>
                <w:color w:val="auto"/>
                <w:highlight w:val="none"/>
              </w:rPr>
            </w:pPr>
          </w:p>
          <w:p w14:paraId="323D2B71">
            <w:pPr>
              <w:pStyle w:val="56"/>
              <w:spacing w:line="249" w:lineRule="auto"/>
              <w:rPr>
                <w:color w:val="auto"/>
                <w:highlight w:val="none"/>
              </w:rPr>
            </w:pPr>
          </w:p>
          <w:p w14:paraId="6A039DD9">
            <w:pPr>
              <w:pStyle w:val="56"/>
              <w:spacing w:line="249" w:lineRule="auto"/>
              <w:rPr>
                <w:color w:val="auto"/>
                <w:highlight w:val="none"/>
              </w:rPr>
            </w:pPr>
          </w:p>
          <w:p w14:paraId="2D19C726">
            <w:pPr>
              <w:pStyle w:val="56"/>
              <w:spacing w:line="249" w:lineRule="auto"/>
              <w:rPr>
                <w:color w:val="auto"/>
                <w:highlight w:val="none"/>
              </w:rPr>
            </w:pPr>
          </w:p>
          <w:p w14:paraId="40D717FB">
            <w:pPr>
              <w:pStyle w:val="56"/>
              <w:spacing w:line="249" w:lineRule="auto"/>
              <w:rPr>
                <w:color w:val="auto"/>
                <w:highlight w:val="none"/>
              </w:rPr>
            </w:pPr>
          </w:p>
          <w:p w14:paraId="4E1F92C1">
            <w:pPr>
              <w:pStyle w:val="56"/>
              <w:spacing w:line="250" w:lineRule="auto"/>
              <w:rPr>
                <w:color w:val="auto"/>
                <w:highlight w:val="none"/>
              </w:rPr>
            </w:pPr>
          </w:p>
          <w:p w14:paraId="554D97DE">
            <w:pPr>
              <w:pStyle w:val="56"/>
              <w:spacing w:line="250" w:lineRule="auto"/>
              <w:rPr>
                <w:color w:val="auto"/>
                <w:highlight w:val="none"/>
              </w:rPr>
            </w:pPr>
          </w:p>
          <w:p w14:paraId="12CBE6C6">
            <w:pPr>
              <w:pStyle w:val="56"/>
              <w:spacing w:line="250" w:lineRule="auto"/>
              <w:rPr>
                <w:color w:val="auto"/>
                <w:highlight w:val="none"/>
              </w:rPr>
            </w:pPr>
          </w:p>
          <w:p w14:paraId="2CC5C325">
            <w:pPr>
              <w:pStyle w:val="56"/>
              <w:spacing w:line="250" w:lineRule="auto"/>
              <w:rPr>
                <w:color w:val="auto"/>
                <w:highlight w:val="none"/>
              </w:rPr>
            </w:pPr>
          </w:p>
          <w:p w14:paraId="0C99A2A0">
            <w:pPr>
              <w:pStyle w:val="56"/>
              <w:spacing w:line="250" w:lineRule="auto"/>
              <w:rPr>
                <w:color w:val="auto"/>
                <w:highlight w:val="none"/>
              </w:rPr>
            </w:pPr>
          </w:p>
          <w:p w14:paraId="67971A18">
            <w:pPr>
              <w:pStyle w:val="56"/>
              <w:spacing w:line="250" w:lineRule="auto"/>
              <w:rPr>
                <w:color w:val="auto"/>
                <w:highlight w:val="none"/>
              </w:rPr>
            </w:pPr>
          </w:p>
          <w:p w14:paraId="6C512500">
            <w:pPr>
              <w:pStyle w:val="56"/>
              <w:spacing w:line="250" w:lineRule="auto"/>
              <w:rPr>
                <w:color w:val="auto"/>
                <w:highlight w:val="none"/>
              </w:rPr>
            </w:pPr>
          </w:p>
          <w:p w14:paraId="21767452">
            <w:pPr>
              <w:pStyle w:val="56"/>
              <w:spacing w:line="250" w:lineRule="auto"/>
              <w:rPr>
                <w:color w:val="auto"/>
                <w:highlight w:val="none"/>
              </w:rPr>
            </w:pPr>
          </w:p>
          <w:p w14:paraId="7694ECA6">
            <w:pPr>
              <w:pStyle w:val="56"/>
              <w:spacing w:line="250" w:lineRule="auto"/>
              <w:rPr>
                <w:color w:val="auto"/>
                <w:highlight w:val="none"/>
              </w:rPr>
            </w:pPr>
          </w:p>
          <w:p w14:paraId="2EAF4CB1">
            <w:pPr>
              <w:spacing w:before="78" w:line="242" w:lineRule="auto"/>
              <w:ind w:left="245" w:right="117" w:hanging="114"/>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有服务</w:t>
            </w:r>
            <w:r>
              <w:rPr>
                <w:rFonts w:ascii="FangSong_GB2312" w:hAnsi="FangSong_GB2312" w:eastAsia="FangSong_GB2312" w:cs="FangSong_GB2312"/>
                <w:color w:val="auto"/>
                <w:spacing w:val="-5"/>
                <w:sz w:val="24"/>
                <w:szCs w:val="24"/>
                <w:highlight w:val="none"/>
              </w:rPr>
              <w:t>设施</w:t>
            </w:r>
          </w:p>
        </w:tc>
        <w:tc>
          <w:tcPr>
            <w:tcW w:w="1831" w:type="dxa"/>
            <w:noWrap w:val="0"/>
            <w:vAlign w:val="top"/>
          </w:tcPr>
          <w:p w14:paraId="52FDDBF7">
            <w:pPr>
              <w:pStyle w:val="56"/>
              <w:spacing w:line="252" w:lineRule="auto"/>
              <w:rPr>
                <w:color w:val="auto"/>
                <w:highlight w:val="none"/>
              </w:rPr>
            </w:pPr>
          </w:p>
          <w:p w14:paraId="42C71245">
            <w:pPr>
              <w:pStyle w:val="56"/>
              <w:spacing w:line="252" w:lineRule="auto"/>
              <w:rPr>
                <w:color w:val="auto"/>
                <w:highlight w:val="none"/>
              </w:rPr>
            </w:pPr>
          </w:p>
          <w:p w14:paraId="5DCEE87A">
            <w:pPr>
              <w:pStyle w:val="56"/>
              <w:spacing w:line="252" w:lineRule="auto"/>
              <w:rPr>
                <w:color w:val="auto"/>
                <w:highlight w:val="none"/>
              </w:rPr>
            </w:pPr>
          </w:p>
          <w:p w14:paraId="0369EB53">
            <w:pPr>
              <w:pStyle w:val="56"/>
              <w:spacing w:line="252" w:lineRule="auto"/>
              <w:rPr>
                <w:color w:val="auto"/>
                <w:highlight w:val="none"/>
              </w:rPr>
            </w:pPr>
          </w:p>
          <w:p w14:paraId="783BDB68">
            <w:pPr>
              <w:pStyle w:val="56"/>
              <w:spacing w:line="252" w:lineRule="auto"/>
              <w:rPr>
                <w:color w:val="auto"/>
                <w:highlight w:val="none"/>
              </w:rPr>
            </w:pPr>
          </w:p>
          <w:p w14:paraId="2F0039E8">
            <w:pPr>
              <w:pStyle w:val="56"/>
              <w:spacing w:line="253" w:lineRule="auto"/>
              <w:rPr>
                <w:color w:val="auto"/>
                <w:highlight w:val="none"/>
              </w:rPr>
            </w:pPr>
          </w:p>
          <w:p w14:paraId="2B98283A">
            <w:pPr>
              <w:pStyle w:val="56"/>
              <w:spacing w:line="253" w:lineRule="auto"/>
              <w:rPr>
                <w:color w:val="auto"/>
                <w:highlight w:val="none"/>
              </w:rPr>
            </w:pPr>
          </w:p>
          <w:p w14:paraId="094BB005">
            <w:pPr>
              <w:pStyle w:val="56"/>
              <w:spacing w:line="253" w:lineRule="auto"/>
              <w:rPr>
                <w:color w:val="auto"/>
                <w:highlight w:val="none"/>
              </w:rPr>
            </w:pPr>
          </w:p>
          <w:p w14:paraId="07034DC9">
            <w:pPr>
              <w:pStyle w:val="56"/>
              <w:spacing w:line="253" w:lineRule="auto"/>
              <w:rPr>
                <w:color w:val="auto"/>
                <w:highlight w:val="none"/>
              </w:rPr>
            </w:pPr>
          </w:p>
          <w:p w14:paraId="26A73AE5">
            <w:pPr>
              <w:pStyle w:val="56"/>
              <w:spacing w:line="253" w:lineRule="auto"/>
              <w:rPr>
                <w:color w:val="auto"/>
                <w:highlight w:val="none"/>
              </w:rPr>
            </w:pPr>
          </w:p>
          <w:p w14:paraId="5CC20005">
            <w:pPr>
              <w:pStyle w:val="56"/>
              <w:spacing w:line="253" w:lineRule="auto"/>
              <w:rPr>
                <w:color w:val="auto"/>
                <w:highlight w:val="none"/>
              </w:rPr>
            </w:pPr>
          </w:p>
          <w:p w14:paraId="6F6144B1">
            <w:pPr>
              <w:pStyle w:val="56"/>
              <w:spacing w:line="253" w:lineRule="auto"/>
              <w:rPr>
                <w:color w:val="auto"/>
                <w:highlight w:val="none"/>
              </w:rPr>
            </w:pPr>
          </w:p>
          <w:p w14:paraId="43EBAE13">
            <w:pPr>
              <w:spacing w:before="78" w:line="215" w:lineRule="auto"/>
              <w:ind w:left="125"/>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0"/>
                <w:sz w:val="24"/>
                <w:szCs w:val="24"/>
                <w:highlight w:val="none"/>
              </w:rPr>
              <w:t>配备有必要的</w:t>
            </w:r>
          </w:p>
          <w:p w14:paraId="13B125FF">
            <w:pPr>
              <w:spacing w:before="34"/>
              <w:ind w:left="114" w:right="105" w:firstLine="10"/>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3"/>
                <w:sz w:val="24"/>
                <w:szCs w:val="24"/>
                <w:highlight w:val="none"/>
              </w:rPr>
              <w:t>办公服务、求职</w:t>
            </w:r>
            <w:r>
              <w:rPr>
                <w:rFonts w:ascii="FangSong_GB2312" w:hAnsi="FangSong_GB2312" w:eastAsia="FangSong_GB2312" w:cs="FangSong_GB2312"/>
                <w:color w:val="auto"/>
                <w:spacing w:val="17"/>
                <w:sz w:val="24"/>
                <w:szCs w:val="24"/>
                <w:highlight w:val="none"/>
              </w:rPr>
              <w:t>服务</w:t>
            </w:r>
            <w:r>
              <w:rPr>
                <w:rFonts w:ascii="FangSong_GB2312" w:hAnsi="FangSong_GB2312" w:eastAsia="FangSong_GB2312" w:cs="FangSong_GB2312"/>
                <w:color w:val="auto"/>
                <w:spacing w:val="-58"/>
                <w:sz w:val="24"/>
                <w:szCs w:val="24"/>
                <w:highlight w:val="none"/>
              </w:rPr>
              <w:t xml:space="preserve"> </w:t>
            </w:r>
            <w:r>
              <w:rPr>
                <w:rFonts w:ascii="FangSong_GB2312" w:hAnsi="FangSong_GB2312" w:eastAsia="FangSong_GB2312" w:cs="FangSong_GB2312"/>
                <w:color w:val="auto"/>
                <w:spacing w:val="17"/>
                <w:sz w:val="24"/>
                <w:szCs w:val="24"/>
                <w:highlight w:val="none"/>
              </w:rPr>
              <w:t>、便民服</w:t>
            </w:r>
            <w:r>
              <w:rPr>
                <w:rFonts w:ascii="FangSong_GB2312" w:hAnsi="FangSong_GB2312" w:eastAsia="FangSong_GB2312" w:cs="FangSong_GB2312"/>
                <w:color w:val="auto"/>
                <w:spacing w:val="-11"/>
                <w:sz w:val="24"/>
                <w:szCs w:val="24"/>
                <w:highlight w:val="none"/>
              </w:rPr>
              <w:t>务、安全防护等</w:t>
            </w:r>
            <w:r>
              <w:rPr>
                <w:rFonts w:ascii="FangSong_GB2312" w:hAnsi="FangSong_GB2312" w:eastAsia="FangSong_GB2312" w:cs="FangSong_GB2312"/>
                <w:color w:val="auto"/>
                <w:spacing w:val="-3"/>
                <w:sz w:val="24"/>
                <w:szCs w:val="24"/>
                <w:highlight w:val="none"/>
              </w:rPr>
              <w:t>设施设备</w:t>
            </w:r>
          </w:p>
        </w:tc>
        <w:tc>
          <w:tcPr>
            <w:tcW w:w="3898" w:type="dxa"/>
            <w:noWrap w:val="0"/>
            <w:vAlign w:val="top"/>
          </w:tcPr>
          <w:p w14:paraId="09F3FB2D">
            <w:pPr>
              <w:spacing w:before="2" w:line="241" w:lineRule="auto"/>
              <w:ind w:left="133"/>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5"/>
                <w:sz w:val="24"/>
                <w:szCs w:val="24"/>
                <w:highlight w:val="none"/>
              </w:rPr>
              <w:t>1.</w:t>
            </w:r>
            <w:r>
              <w:rPr>
                <w:rFonts w:ascii="FangSong_GB2312" w:hAnsi="FangSong_GB2312" w:eastAsia="FangSong_GB2312" w:cs="FangSong_GB2312"/>
                <w:color w:val="auto"/>
                <w:spacing w:val="-5"/>
                <w:sz w:val="24"/>
                <w:szCs w:val="24"/>
                <w:highlight w:val="none"/>
              </w:rPr>
              <w:t>办公服务：</w:t>
            </w:r>
          </w:p>
          <w:p w14:paraId="51E66295">
            <w:pPr>
              <w:ind w:left="110"/>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pacing w:val="-17"/>
                <w:sz w:val="24"/>
                <w:szCs w:val="24"/>
                <w:highlight w:val="none"/>
              </w:rPr>
              <w:t>（</w:t>
            </w:r>
            <w:r>
              <w:rPr>
                <w:rFonts w:ascii="Times New Roman" w:hAnsi="Times New Roman" w:eastAsia="Times New Roman" w:cs="Times New Roman"/>
                <w:color w:val="auto"/>
                <w:spacing w:val="-17"/>
                <w:sz w:val="24"/>
                <w:szCs w:val="24"/>
                <w:highlight w:val="none"/>
              </w:rPr>
              <w:t>1</w:t>
            </w:r>
            <w:r>
              <w:rPr>
                <w:rFonts w:ascii="FangSong_GB2312" w:hAnsi="FangSong_GB2312" w:eastAsia="FangSong_GB2312" w:cs="FangSong_GB2312"/>
                <w:color w:val="auto"/>
                <w:spacing w:val="-17"/>
                <w:sz w:val="24"/>
                <w:szCs w:val="24"/>
                <w:highlight w:val="none"/>
              </w:rPr>
              <w:t>）服务前台及座椅（可容纳</w:t>
            </w:r>
            <w:r>
              <w:rPr>
                <w:rFonts w:ascii="Times New Roman" w:hAnsi="Times New Roman" w:eastAsia="Times New Roman" w:cs="Times New Roman"/>
                <w:color w:val="auto"/>
                <w:spacing w:val="-17"/>
                <w:sz w:val="24"/>
                <w:szCs w:val="24"/>
                <w:highlight w:val="none"/>
              </w:rPr>
              <w:t>2</w:t>
            </w:r>
            <w:r>
              <w:rPr>
                <w:rFonts w:ascii="FangSong_GB2312" w:hAnsi="FangSong_GB2312" w:eastAsia="FangSong_GB2312" w:cs="FangSong_GB2312"/>
                <w:color w:val="auto"/>
                <w:spacing w:val="-17"/>
                <w:sz w:val="24"/>
                <w:szCs w:val="24"/>
                <w:highlight w:val="none"/>
              </w:rPr>
              <w:t>人）</w:t>
            </w:r>
            <w:r>
              <w:rPr>
                <w:rFonts w:ascii="Times New Roman" w:hAnsi="Times New Roman" w:eastAsia="Times New Roman" w:cs="Times New Roman"/>
                <w:color w:val="auto"/>
                <w:spacing w:val="-17"/>
                <w:sz w:val="24"/>
                <w:szCs w:val="24"/>
                <w:highlight w:val="none"/>
              </w:rPr>
              <w:t>;</w:t>
            </w:r>
          </w:p>
          <w:p w14:paraId="1226DC3E">
            <w:pPr>
              <w:ind w:left="110"/>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pacing w:val="-3"/>
                <w:sz w:val="24"/>
                <w:szCs w:val="24"/>
                <w:highlight w:val="none"/>
              </w:rPr>
              <w:t>（</w:t>
            </w:r>
            <w:r>
              <w:rPr>
                <w:rFonts w:ascii="Times New Roman" w:hAnsi="Times New Roman" w:eastAsia="Times New Roman" w:cs="Times New Roman"/>
                <w:color w:val="auto"/>
                <w:spacing w:val="-3"/>
                <w:sz w:val="24"/>
                <w:szCs w:val="24"/>
                <w:highlight w:val="none"/>
              </w:rPr>
              <w:t>2</w:t>
            </w:r>
            <w:r>
              <w:rPr>
                <w:rFonts w:ascii="FangSong_GB2312" w:hAnsi="FangSong_GB2312" w:eastAsia="FangSong_GB2312" w:cs="FangSong_GB2312"/>
                <w:color w:val="auto"/>
                <w:spacing w:val="-3"/>
                <w:sz w:val="24"/>
                <w:szCs w:val="24"/>
                <w:highlight w:val="none"/>
              </w:rPr>
              <w:t>）办公电脑（不少于</w:t>
            </w:r>
            <w:r>
              <w:rPr>
                <w:rFonts w:ascii="FangSong_GB2312" w:hAnsi="FangSong_GB2312" w:eastAsia="FangSong_GB2312" w:cs="FangSong_GB2312"/>
                <w:color w:val="auto"/>
                <w:spacing w:val="-42"/>
                <w:sz w:val="24"/>
                <w:szCs w:val="24"/>
                <w:highlight w:val="none"/>
              </w:rPr>
              <w:t xml:space="preserve"> </w:t>
            </w:r>
            <w:r>
              <w:rPr>
                <w:rFonts w:ascii="Times New Roman" w:hAnsi="Times New Roman" w:eastAsia="Times New Roman" w:cs="Times New Roman"/>
                <w:color w:val="auto"/>
                <w:spacing w:val="-3"/>
                <w:sz w:val="24"/>
                <w:szCs w:val="24"/>
                <w:highlight w:val="none"/>
              </w:rPr>
              <w:t>2</w:t>
            </w:r>
            <w:r>
              <w:rPr>
                <w:rFonts w:ascii="FangSong_GB2312" w:hAnsi="FangSong_GB2312" w:eastAsia="FangSong_GB2312" w:cs="FangSong_GB2312"/>
                <w:color w:val="auto"/>
                <w:spacing w:val="-3"/>
                <w:sz w:val="24"/>
                <w:szCs w:val="24"/>
                <w:highlight w:val="none"/>
              </w:rPr>
              <w:t>台）</w:t>
            </w:r>
            <w:r>
              <w:rPr>
                <w:rFonts w:ascii="Times New Roman" w:hAnsi="Times New Roman" w:eastAsia="Times New Roman" w:cs="Times New Roman"/>
                <w:color w:val="auto"/>
                <w:spacing w:val="-3"/>
                <w:sz w:val="24"/>
                <w:szCs w:val="24"/>
                <w:highlight w:val="none"/>
              </w:rPr>
              <w:t>;</w:t>
            </w:r>
          </w:p>
          <w:p w14:paraId="2FFE50B7">
            <w:pPr>
              <w:ind w:left="110"/>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3</w:t>
            </w:r>
            <w:r>
              <w:rPr>
                <w:rFonts w:ascii="FangSong_GB2312" w:hAnsi="FangSong_GB2312" w:eastAsia="FangSong_GB2312" w:cs="FangSong_GB2312"/>
                <w:color w:val="auto"/>
                <w:spacing w:val="-1"/>
                <w:sz w:val="24"/>
                <w:szCs w:val="24"/>
                <w:highlight w:val="none"/>
              </w:rPr>
              <w:t>）打印复印一体机</w:t>
            </w:r>
            <w:r>
              <w:rPr>
                <w:rFonts w:ascii="Times New Roman" w:hAnsi="Times New Roman" w:eastAsia="Times New Roman" w:cs="Times New Roman"/>
                <w:color w:val="auto"/>
                <w:spacing w:val="-1"/>
                <w:sz w:val="24"/>
                <w:szCs w:val="24"/>
                <w:highlight w:val="none"/>
              </w:rPr>
              <w:t>;</w:t>
            </w:r>
          </w:p>
          <w:p w14:paraId="4225794C">
            <w:pPr>
              <w:spacing w:line="349" w:lineRule="exact"/>
              <w:ind w:left="11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position w:val="2"/>
                <w:sz w:val="24"/>
                <w:szCs w:val="24"/>
                <w:highlight w:val="none"/>
              </w:rPr>
              <w:t>（</w:t>
            </w:r>
            <w:r>
              <w:rPr>
                <w:rFonts w:ascii="Times New Roman" w:hAnsi="Times New Roman" w:eastAsia="Times New Roman" w:cs="Times New Roman"/>
                <w:color w:val="auto"/>
                <w:spacing w:val="-1"/>
                <w:position w:val="2"/>
                <w:sz w:val="24"/>
                <w:szCs w:val="24"/>
                <w:highlight w:val="none"/>
              </w:rPr>
              <w:t>4</w:t>
            </w:r>
            <w:r>
              <w:rPr>
                <w:rFonts w:ascii="FangSong_GB2312" w:hAnsi="FangSong_GB2312" w:eastAsia="FangSong_GB2312" w:cs="FangSong_GB2312"/>
                <w:color w:val="auto"/>
                <w:spacing w:val="-1"/>
                <w:position w:val="2"/>
                <w:sz w:val="24"/>
                <w:szCs w:val="24"/>
                <w:highlight w:val="none"/>
              </w:rPr>
              <w:t>）文件柜；</w:t>
            </w:r>
          </w:p>
          <w:p w14:paraId="37332D0A">
            <w:pPr>
              <w:spacing w:line="210" w:lineRule="auto"/>
              <w:ind w:left="11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5</w:t>
            </w:r>
            <w:r>
              <w:rPr>
                <w:rFonts w:ascii="FangSong_GB2312" w:hAnsi="FangSong_GB2312" w:eastAsia="FangSong_GB2312" w:cs="FangSong_GB2312"/>
                <w:color w:val="auto"/>
                <w:spacing w:val="-1"/>
                <w:sz w:val="24"/>
                <w:szCs w:val="24"/>
                <w:highlight w:val="none"/>
              </w:rPr>
              <w:t>）人社专网；</w:t>
            </w:r>
          </w:p>
          <w:p w14:paraId="02C23083">
            <w:pPr>
              <w:spacing w:line="235" w:lineRule="auto"/>
              <w:ind w:left="110"/>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1"/>
                <w:sz w:val="24"/>
                <w:szCs w:val="24"/>
                <w:highlight w:val="none"/>
              </w:rPr>
              <w:t>2.</w:t>
            </w:r>
            <w:r>
              <w:rPr>
                <w:rFonts w:ascii="FangSong_GB2312" w:hAnsi="FangSong_GB2312" w:eastAsia="FangSong_GB2312" w:cs="FangSong_GB2312"/>
                <w:color w:val="auto"/>
                <w:spacing w:val="-1"/>
                <w:sz w:val="24"/>
                <w:szCs w:val="24"/>
                <w:highlight w:val="none"/>
              </w:rPr>
              <w:t>求职服务：</w:t>
            </w:r>
          </w:p>
          <w:p w14:paraId="1277CEF3">
            <w:pPr>
              <w:spacing w:line="225" w:lineRule="auto"/>
              <w:ind w:left="116" w:right="103" w:hanging="6"/>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w:t>
            </w:r>
            <w:r>
              <w:rPr>
                <w:rFonts w:ascii="Times New Roman" w:hAnsi="Times New Roman" w:eastAsia="Times New Roman" w:cs="Times New Roman"/>
                <w:color w:val="auto"/>
                <w:spacing w:val="-3"/>
                <w:sz w:val="24"/>
                <w:szCs w:val="24"/>
                <w:highlight w:val="none"/>
              </w:rPr>
              <w:t>6</w:t>
            </w:r>
            <w:r>
              <w:rPr>
                <w:rFonts w:ascii="FangSong_GB2312" w:hAnsi="FangSong_GB2312" w:eastAsia="FangSong_GB2312" w:cs="FangSong_GB2312"/>
                <w:color w:val="auto"/>
                <w:spacing w:val="-3"/>
                <w:sz w:val="24"/>
                <w:szCs w:val="24"/>
                <w:highlight w:val="none"/>
              </w:rPr>
              <w:t>）求职招聘信息发布大屏（或可</w:t>
            </w:r>
            <w:r>
              <w:rPr>
                <w:rFonts w:ascii="FangSong_GB2312" w:hAnsi="FangSong_GB2312" w:eastAsia="FangSong_GB2312" w:cs="FangSong_GB2312"/>
                <w:color w:val="auto"/>
                <w:spacing w:val="-2"/>
                <w:sz w:val="24"/>
                <w:szCs w:val="24"/>
                <w:highlight w:val="none"/>
              </w:rPr>
              <w:t>触摸查询信息大屏</w:t>
            </w:r>
            <w:r>
              <w:rPr>
                <w:rFonts w:ascii="FangSong_GB2312" w:hAnsi="FangSong_GB2312" w:eastAsia="FangSong_GB2312" w:cs="FangSong_GB2312"/>
                <w:color w:val="auto"/>
                <w:spacing w:val="1"/>
                <w:sz w:val="24"/>
                <w:szCs w:val="24"/>
                <w:highlight w:val="none"/>
              </w:rPr>
              <w:t>）；</w:t>
            </w:r>
          </w:p>
          <w:p w14:paraId="08FB0392">
            <w:pPr>
              <w:spacing w:before="18" w:line="212" w:lineRule="auto"/>
              <w:ind w:left="11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7</w:t>
            </w:r>
            <w:r>
              <w:rPr>
                <w:rFonts w:ascii="FangSong_GB2312" w:hAnsi="FangSong_GB2312" w:eastAsia="FangSong_GB2312" w:cs="FangSong_GB2312"/>
                <w:color w:val="auto"/>
                <w:spacing w:val="-1"/>
                <w:sz w:val="24"/>
                <w:szCs w:val="24"/>
                <w:highlight w:val="none"/>
              </w:rPr>
              <w:t>）求职招聘自助服务机；</w:t>
            </w:r>
          </w:p>
          <w:p w14:paraId="23B03448">
            <w:pPr>
              <w:spacing w:before="1" w:line="241" w:lineRule="auto"/>
              <w:ind w:left="110"/>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8</w:t>
            </w:r>
            <w:r>
              <w:rPr>
                <w:rFonts w:ascii="FangSong_GB2312" w:hAnsi="FangSong_GB2312" w:eastAsia="FangSong_GB2312" w:cs="FangSong_GB2312"/>
                <w:color w:val="auto"/>
                <w:spacing w:val="-1"/>
                <w:sz w:val="24"/>
                <w:szCs w:val="24"/>
                <w:highlight w:val="none"/>
              </w:rPr>
              <w:t>）资料取阅架</w:t>
            </w:r>
            <w:r>
              <w:rPr>
                <w:rFonts w:ascii="Times New Roman" w:hAnsi="Times New Roman" w:eastAsia="Times New Roman" w:cs="Times New Roman"/>
                <w:color w:val="auto"/>
                <w:spacing w:val="-1"/>
                <w:sz w:val="24"/>
                <w:szCs w:val="24"/>
                <w:highlight w:val="none"/>
              </w:rPr>
              <w:t>;</w:t>
            </w:r>
          </w:p>
          <w:p w14:paraId="49BCA126">
            <w:pPr>
              <w:spacing w:before="1" w:line="239" w:lineRule="auto"/>
              <w:ind w:left="115"/>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2"/>
                <w:sz w:val="24"/>
                <w:szCs w:val="24"/>
                <w:highlight w:val="none"/>
              </w:rPr>
              <w:t>3.</w:t>
            </w:r>
            <w:r>
              <w:rPr>
                <w:rFonts w:ascii="FangSong_GB2312" w:hAnsi="FangSong_GB2312" w:eastAsia="FangSong_GB2312" w:cs="FangSong_GB2312"/>
                <w:color w:val="auto"/>
                <w:spacing w:val="-2"/>
                <w:sz w:val="24"/>
                <w:szCs w:val="24"/>
                <w:highlight w:val="none"/>
              </w:rPr>
              <w:t>便民服务：</w:t>
            </w:r>
          </w:p>
          <w:p w14:paraId="6B5BCC40">
            <w:pPr>
              <w:ind w:left="124" w:right="126" w:hanging="14"/>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pacing w:val="-5"/>
                <w:sz w:val="24"/>
                <w:szCs w:val="24"/>
                <w:highlight w:val="none"/>
              </w:rPr>
              <w:t>（</w:t>
            </w:r>
            <w:r>
              <w:rPr>
                <w:rFonts w:ascii="Times New Roman" w:hAnsi="Times New Roman" w:eastAsia="Times New Roman" w:cs="Times New Roman"/>
                <w:color w:val="auto"/>
                <w:spacing w:val="-5"/>
                <w:sz w:val="24"/>
                <w:szCs w:val="24"/>
                <w:highlight w:val="none"/>
              </w:rPr>
              <w:t>9</w:t>
            </w:r>
            <w:r>
              <w:rPr>
                <w:rFonts w:ascii="FangSong_GB2312" w:hAnsi="FangSong_GB2312" w:eastAsia="FangSong_GB2312" w:cs="FangSong_GB2312"/>
                <w:color w:val="auto"/>
                <w:spacing w:val="-5"/>
                <w:sz w:val="24"/>
                <w:szCs w:val="24"/>
                <w:highlight w:val="none"/>
              </w:rPr>
              <w:t>）等候休息桌椅（不少于</w:t>
            </w:r>
            <w:r>
              <w:rPr>
                <w:rFonts w:ascii="FangSong_GB2312" w:hAnsi="FangSong_GB2312" w:eastAsia="FangSong_GB2312" w:cs="FangSong_GB2312"/>
                <w:color w:val="auto"/>
                <w:spacing w:val="-41"/>
                <w:sz w:val="24"/>
                <w:szCs w:val="24"/>
                <w:highlight w:val="none"/>
              </w:rPr>
              <w:t xml:space="preserve"> </w:t>
            </w:r>
            <w:r>
              <w:rPr>
                <w:rFonts w:ascii="Times New Roman" w:hAnsi="Times New Roman" w:eastAsia="Times New Roman" w:cs="Times New Roman"/>
                <w:color w:val="auto"/>
                <w:spacing w:val="-5"/>
                <w:sz w:val="24"/>
                <w:szCs w:val="24"/>
                <w:highlight w:val="none"/>
              </w:rPr>
              <w:t>2</w:t>
            </w:r>
            <w:r>
              <w:rPr>
                <w:rFonts w:ascii="FangSong_GB2312" w:hAnsi="FangSong_GB2312" w:eastAsia="FangSong_GB2312" w:cs="FangSong_GB2312"/>
                <w:color w:val="auto"/>
                <w:spacing w:val="-5"/>
                <w:sz w:val="24"/>
                <w:szCs w:val="24"/>
                <w:highlight w:val="none"/>
              </w:rPr>
              <w:t>套，</w:t>
            </w:r>
            <w:r>
              <w:rPr>
                <w:rFonts w:ascii="FangSong_GB2312" w:hAnsi="FangSong_GB2312" w:eastAsia="FangSong_GB2312" w:cs="FangSong_GB2312"/>
                <w:color w:val="auto"/>
                <w:spacing w:val="-2"/>
                <w:sz w:val="24"/>
                <w:szCs w:val="24"/>
                <w:highlight w:val="none"/>
              </w:rPr>
              <w:t>可容纳</w:t>
            </w:r>
            <w:r>
              <w:rPr>
                <w:rFonts w:ascii="FangSong_GB2312" w:hAnsi="FangSong_GB2312" w:eastAsia="FangSong_GB2312" w:cs="FangSong_GB2312"/>
                <w:color w:val="auto"/>
                <w:spacing w:val="-45"/>
                <w:sz w:val="24"/>
                <w:szCs w:val="24"/>
                <w:highlight w:val="none"/>
              </w:rPr>
              <w:t xml:space="preserve"> </w:t>
            </w:r>
            <w:r>
              <w:rPr>
                <w:rFonts w:ascii="Times New Roman" w:hAnsi="Times New Roman" w:eastAsia="Times New Roman" w:cs="Times New Roman"/>
                <w:color w:val="auto"/>
                <w:spacing w:val="-2"/>
                <w:sz w:val="24"/>
                <w:szCs w:val="24"/>
                <w:highlight w:val="none"/>
              </w:rPr>
              <w:t xml:space="preserve">6 </w:t>
            </w:r>
            <w:r>
              <w:rPr>
                <w:rFonts w:ascii="FangSong_GB2312" w:hAnsi="FangSong_GB2312" w:eastAsia="FangSong_GB2312" w:cs="FangSong_GB2312"/>
                <w:color w:val="auto"/>
                <w:spacing w:val="-2"/>
                <w:sz w:val="24"/>
                <w:szCs w:val="24"/>
                <w:highlight w:val="none"/>
              </w:rPr>
              <w:t>人以上）</w:t>
            </w:r>
            <w:r>
              <w:rPr>
                <w:rFonts w:ascii="Times New Roman" w:hAnsi="Times New Roman" w:eastAsia="Times New Roman" w:cs="Times New Roman"/>
                <w:color w:val="auto"/>
                <w:spacing w:val="-2"/>
                <w:sz w:val="24"/>
                <w:szCs w:val="24"/>
                <w:highlight w:val="none"/>
              </w:rPr>
              <w:t>;</w:t>
            </w:r>
          </w:p>
          <w:p w14:paraId="14A98FD9">
            <w:pPr>
              <w:spacing w:before="1" w:line="239" w:lineRule="auto"/>
              <w:ind w:left="110"/>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10</w:t>
            </w:r>
            <w:r>
              <w:rPr>
                <w:rFonts w:ascii="FangSong_GB2312" w:hAnsi="FangSong_GB2312" w:eastAsia="FangSong_GB2312" w:cs="FangSong_GB2312"/>
                <w:color w:val="auto"/>
                <w:spacing w:val="-1"/>
                <w:sz w:val="24"/>
                <w:szCs w:val="24"/>
                <w:highlight w:val="none"/>
              </w:rPr>
              <w:t>）室内空调</w:t>
            </w:r>
            <w:r>
              <w:rPr>
                <w:rFonts w:ascii="Times New Roman" w:hAnsi="Times New Roman" w:eastAsia="Times New Roman" w:cs="Times New Roman"/>
                <w:color w:val="auto"/>
                <w:spacing w:val="-1"/>
                <w:sz w:val="24"/>
                <w:szCs w:val="24"/>
                <w:highlight w:val="none"/>
              </w:rPr>
              <w:t>;</w:t>
            </w:r>
          </w:p>
          <w:p w14:paraId="6CA9E2DA">
            <w:pPr>
              <w:spacing w:before="1" w:line="239" w:lineRule="auto"/>
              <w:ind w:left="121" w:right="103" w:hanging="11"/>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11</w:t>
            </w:r>
            <w:r>
              <w:rPr>
                <w:rFonts w:ascii="FangSong_GB2312" w:hAnsi="FangSong_GB2312" w:eastAsia="FangSong_GB2312" w:cs="FangSong_GB2312"/>
                <w:color w:val="auto"/>
                <w:spacing w:val="1"/>
                <w:sz w:val="24"/>
                <w:szCs w:val="24"/>
                <w:highlight w:val="none"/>
              </w:rPr>
              <w:t>）</w:t>
            </w:r>
            <w:r>
              <w:rPr>
                <w:rFonts w:ascii="FangSong_GB2312" w:hAnsi="FangSong_GB2312" w:eastAsia="FangSong_GB2312" w:cs="FangSong_GB2312"/>
                <w:color w:val="auto"/>
                <w:spacing w:val="-59"/>
                <w:sz w:val="24"/>
                <w:szCs w:val="24"/>
                <w:highlight w:val="none"/>
              </w:rPr>
              <w:t xml:space="preserve"> </w:t>
            </w:r>
            <w:r>
              <w:rPr>
                <w:rFonts w:ascii="FangSong_GB2312" w:hAnsi="FangSong_GB2312" w:eastAsia="FangSong_GB2312" w:cs="FangSong_GB2312"/>
                <w:color w:val="auto"/>
                <w:spacing w:val="1"/>
                <w:sz w:val="24"/>
                <w:szCs w:val="24"/>
                <w:highlight w:val="none"/>
              </w:rPr>
              <w:t>自助饮水机或茶吧机（配一</w:t>
            </w:r>
            <w:r>
              <w:rPr>
                <w:rFonts w:ascii="FangSong_GB2312" w:hAnsi="FangSong_GB2312" w:eastAsia="FangSong_GB2312" w:cs="FangSong_GB2312"/>
                <w:color w:val="auto"/>
                <w:spacing w:val="-1"/>
                <w:sz w:val="24"/>
                <w:szCs w:val="24"/>
                <w:highlight w:val="none"/>
              </w:rPr>
              <w:t>次性水杯）</w:t>
            </w:r>
            <w:r>
              <w:rPr>
                <w:rFonts w:ascii="Times New Roman" w:hAnsi="Times New Roman" w:eastAsia="Times New Roman" w:cs="Times New Roman"/>
                <w:color w:val="auto"/>
                <w:spacing w:val="-1"/>
                <w:sz w:val="24"/>
                <w:szCs w:val="24"/>
                <w:highlight w:val="none"/>
              </w:rPr>
              <w:t>;</w:t>
            </w:r>
          </w:p>
          <w:p w14:paraId="00BD0623">
            <w:pPr>
              <w:spacing w:before="1" w:line="241" w:lineRule="auto"/>
              <w:ind w:left="109"/>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1"/>
                <w:sz w:val="24"/>
                <w:szCs w:val="24"/>
                <w:highlight w:val="none"/>
              </w:rPr>
              <w:t>4.</w:t>
            </w:r>
            <w:r>
              <w:rPr>
                <w:rFonts w:ascii="FangSong_GB2312" w:hAnsi="FangSong_GB2312" w:eastAsia="FangSong_GB2312" w:cs="FangSong_GB2312"/>
                <w:color w:val="auto"/>
                <w:spacing w:val="-1"/>
                <w:sz w:val="24"/>
                <w:szCs w:val="24"/>
                <w:highlight w:val="none"/>
              </w:rPr>
              <w:t>爱心服务设备：</w:t>
            </w:r>
          </w:p>
          <w:p w14:paraId="542549CB">
            <w:pPr>
              <w:spacing w:line="247" w:lineRule="auto"/>
              <w:ind w:left="116" w:right="32" w:hanging="6"/>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w:t>
            </w:r>
            <w:r>
              <w:rPr>
                <w:rFonts w:ascii="Times New Roman" w:hAnsi="Times New Roman" w:eastAsia="Times New Roman" w:cs="Times New Roman"/>
                <w:color w:val="auto"/>
                <w:spacing w:val="-6"/>
                <w:sz w:val="24"/>
                <w:szCs w:val="24"/>
                <w:highlight w:val="none"/>
              </w:rPr>
              <w:t>12</w:t>
            </w:r>
            <w:r>
              <w:rPr>
                <w:rFonts w:ascii="FangSong_GB2312" w:hAnsi="FangSong_GB2312" w:eastAsia="FangSong_GB2312" w:cs="FangSong_GB2312"/>
                <w:color w:val="auto"/>
                <w:spacing w:val="-6"/>
                <w:sz w:val="24"/>
                <w:szCs w:val="24"/>
                <w:highlight w:val="none"/>
              </w:rPr>
              <w:t>）应急药箱、微波炉、储物柜、</w:t>
            </w:r>
            <w:r>
              <w:rPr>
                <w:rFonts w:ascii="FangSong_GB2312" w:hAnsi="FangSong_GB2312" w:eastAsia="FangSong_GB2312" w:cs="FangSong_GB2312"/>
                <w:color w:val="auto"/>
                <w:spacing w:val="4"/>
                <w:sz w:val="24"/>
                <w:szCs w:val="24"/>
                <w:highlight w:val="none"/>
              </w:rPr>
              <w:t>充电宝、手机充电、便民雨伞及老</w:t>
            </w:r>
            <w:r>
              <w:rPr>
                <w:rFonts w:ascii="FangSong_GB2312" w:hAnsi="FangSong_GB2312" w:eastAsia="FangSong_GB2312" w:cs="FangSong_GB2312"/>
                <w:color w:val="auto"/>
                <w:spacing w:val="-3"/>
                <w:sz w:val="24"/>
                <w:szCs w:val="24"/>
                <w:highlight w:val="none"/>
              </w:rPr>
              <w:t>花镜等；</w:t>
            </w:r>
          </w:p>
          <w:p w14:paraId="4B8E26E3">
            <w:pPr>
              <w:spacing w:before="7" w:line="212" w:lineRule="auto"/>
              <w:ind w:left="117"/>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2"/>
                <w:sz w:val="24"/>
                <w:szCs w:val="24"/>
                <w:highlight w:val="none"/>
              </w:rPr>
              <w:t>5.</w:t>
            </w:r>
            <w:r>
              <w:rPr>
                <w:rFonts w:ascii="FangSong_GB2312" w:hAnsi="FangSong_GB2312" w:eastAsia="FangSong_GB2312" w:cs="FangSong_GB2312"/>
                <w:color w:val="auto"/>
                <w:spacing w:val="-2"/>
                <w:sz w:val="24"/>
                <w:szCs w:val="24"/>
                <w:highlight w:val="none"/>
              </w:rPr>
              <w:t>安全防护：</w:t>
            </w:r>
          </w:p>
          <w:p w14:paraId="0C3AC31A">
            <w:pPr>
              <w:spacing w:line="241" w:lineRule="auto"/>
              <w:ind w:left="11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13</w:t>
            </w:r>
            <w:r>
              <w:rPr>
                <w:rFonts w:ascii="FangSong_GB2312" w:hAnsi="FangSong_GB2312" w:eastAsia="FangSong_GB2312" w:cs="FangSong_GB2312"/>
                <w:color w:val="auto"/>
                <w:spacing w:val="-1"/>
                <w:sz w:val="24"/>
                <w:szCs w:val="24"/>
                <w:highlight w:val="none"/>
              </w:rPr>
              <w:t>）监控设备；</w:t>
            </w:r>
          </w:p>
          <w:p w14:paraId="07A72630">
            <w:pPr>
              <w:ind w:left="110"/>
              <w:rPr>
                <w:rFonts w:ascii="Times New Roman" w:hAnsi="Times New Roman" w:eastAsia="Times New Roman" w:cs="Times New Roman"/>
                <w:color w:val="auto"/>
                <w:sz w:val="24"/>
                <w:szCs w:val="24"/>
                <w:highlight w:val="none"/>
              </w:rPr>
            </w:pPr>
            <w:r>
              <w:rPr>
                <w:rFonts w:ascii="FangSong_GB2312" w:hAnsi="FangSong_GB2312" w:eastAsia="FangSong_GB2312" w:cs="FangSong_GB2312"/>
                <w:color w:val="auto"/>
                <w:sz w:val="24"/>
                <w:szCs w:val="24"/>
                <w:highlight w:val="none"/>
              </w:rPr>
              <w:t>（</w:t>
            </w:r>
            <w:r>
              <w:rPr>
                <w:rFonts w:ascii="Times New Roman" w:hAnsi="Times New Roman" w:eastAsia="Times New Roman" w:cs="Times New Roman"/>
                <w:color w:val="auto"/>
                <w:sz w:val="24"/>
                <w:szCs w:val="24"/>
                <w:highlight w:val="none"/>
              </w:rPr>
              <w:t>14</w:t>
            </w:r>
            <w:r>
              <w:rPr>
                <w:rFonts w:ascii="FangSong_GB2312" w:hAnsi="FangSong_GB2312" w:eastAsia="FangSong_GB2312" w:cs="FangSong_GB2312"/>
                <w:color w:val="auto"/>
                <w:sz w:val="24"/>
                <w:szCs w:val="24"/>
                <w:highlight w:val="none"/>
              </w:rPr>
              <w:t>）灭火器（不少于</w:t>
            </w:r>
            <w:r>
              <w:rPr>
                <w:rFonts w:ascii="FangSong_GB2312" w:hAnsi="FangSong_GB2312" w:eastAsia="FangSong_GB2312" w:cs="FangSong_GB2312"/>
                <w:color w:val="auto"/>
                <w:spacing w:val="-50"/>
                <w:sz w:val="24"/>
                <w:szCs w:val="24"/>
                <w:highlight w:val="none"/>
              </w:rPr>
              <w:t xml:space="preserve"> </w:t>
            </w:r>
            <w:r>
              <w:rPr>
                <w:rFonts w:ascii="Times New Roman" w:hAnsi="Times New Roman" w:eastAsia="Times New Roman" w:cs="Times New Roman"/>
                <w:color w:val="auto"/>
                <w:sz w:val="24"/>
                <w:szCs w:val="24"/>
                <w:highlight w:val="none"/>
              </w:rPr>
              <w:t xml:space="preserve">2 </w:t>
            </w:r>
            <w:r>
              <w:rPr>
                <w:rFonts w:ascii="FangSong_GB2312" w:hAnsi="FangSong_GB2312" w:eastAsia="FangSong_GB2312" w:cs="FangSong_GB2312"/>
                <w:color w:val="auto"/>
                <w:sz w:val="24"/>
                <w:szCs w:val="24"/>
                <w:highlight w:val="none"/>
              </w:rPr>
              <w:t>支）</w:t>
            </w:r>
            <w:r>
              <w:rPr>
                <w:rFonts w:ascii="Times New Roman" w:hAnsi="Times New Roman" w:eastAsia="Times New Roman" w:cs="Times New Roman"/>
                <w:color w:val="auto"/>
                <w:sz w:val="24"/>
                <w:szCs w:val="24"/>
                <w:highlight w:val="none"/>
              </w:rPr>
              <w:t>;</w:t>
            </w:r>
          </w:p>
          <w:p w14:paraId="378824F8">
            <w:pPr>
              <w:spacing w:before="1" w:line="231" w:lineRule="auto"/>
              <w:ind w:left="110"/>
              <w:rPr>
                <w:rFonts w:ascii="FangSong_GB2312" w:hAnsi="FangSong_GB2312" w:eastAsia="FangSong_GB2312" w:cs="FangSong_GB2312"/>
                <w:color w:val="auto"/>
                <w:spacing w:val="-1"/>
                <w:sz w:val="24"/>
                <w:szCs w:val="24"/>
                <w:highlight w:val="none"/>
              </w:rPr>
            </w:pPr>
            <w:r>
              <w:rPr>
                <w:rFonts w:ascii="FangSong_GB2312" w:hAnsi="FangSong_GB2312" w:eastAsia="FangSong_GB2312" w:cs="FangSong_GB2312"/>
                <w:color w:val="auto"/>
                <w:spacing w:val="-1"/>
                <w:sz w:val="24"/>
                <w:szCs w:val="24"/>
                <w:highlight w:val="none"/>
              </w:rPr>
              <w:t>（</w:t>
            </w:r>
            <w:r>
              <w:rPr>
                <w:rFonts w:ascii="Times New Roman" w:hAnsi="Times New Roman" w:eastAsia="Times New Roman" w:cs="Times New Roman"/>
                <w:color w:val="auto"/>
                <w:spacing w:val="-1"/>
                <w:sz w:val="24"/>
                <w:szCs w:val="24"/>
                <w:highlight w:val="none"/>
              </w:rPr>
              <w:t>15</w:t>
            </w:r>
            <w:r>
              <w:rPr>
                <w:rFonts w:ascii="FangSong_GB2312" w:hAnsi="FangSong_GB2312" w:eastAsia="FangSong_GB2312" w:cs="FangSong_GB2312"/>
                <w:color w:val="auto"/>
                <w:spacing w:val="-1"/>
                <w:sz w:val="24"/>
                <w:szCs w:val="24"/>
                <w:highlight w:val="none"/>
              </w:rPr>
              <w:t>）反恐防暴装备。</w:t>
            </w:r>
          </w:p>
          <w:p w14:paraId="4BD5B50A">
            <w:pPr>
              <w:spacing w:before="1" w:line="231" w:lineRule="auto"/>
              <w:ind w:left="110"/>
              <w:rPr>
                <w:rFonts w:ascii="FangSong_GB2312" w:hAnsi="FangSong_GB2312" w:eastAsia="FangSong_GB2312" w:cs="FangSong_GB2312"/>
                <w:color w:val="auto"/>
                <w:spacing w:val="-1"/>
                <w:sz w:val="24"/>
                <w:szCs w:val="24"/>
                <w:highlight w:val="none"/>
              </w:rPr>
            </w:pPr>
          </w:p>
        </w:tc>
        <w:tc>
          <w:tcPr>
            <w:tcW w:w="2352" w:type="dxa"/>
            <w:noWrap w:val="0"/>
            <w:vAlign w:val="top"/>
          </w:tcPr>
          <w:p w14:paraId="2D9E6BFB">
            <w:pPr>
              <w:pStyle w:val="56"/>
              <w:spacing w:line="246" w:lineRule="auto"/>
              <w:rPr>
                <w:color w:val="auto"/>
                <w:highlight w:val="none"/>
              </w:rPr>
            </w:pPr>
          </w:p>
          <w:p w14:paraId="3D480C70">
            <w:pPr>
              <w:pStyle w:val="56"/>
              <w:spacing w:line="246" w:lineRule="auto"/>
              <w:rPr>
                <w:color w:val="auto"/>
                <w:highlight w:val="none"/>
              </w:rPr>
            </w:pPr>
          </w:p>
          <w:p w14:paraId="2AC446AC">
            <w:pPr>
              <w:pStyle w:val="56"/>
              <w:spacing w:line="246" w:lineRule="auto"/>
              <w:rPr>
                <w:color w:val="auto"/>
                <w:highlight w:val="none"/>
              </w:rPr>
            </w:pPr>
          </w:p>
          <w:p w14:paraId="5DB437BC">
            <w:pPr>
              <w:pStyle w:val="56"/>
              <w:spacing w:line="247" w:lineRule="auto"/>
              <w:rPr>
                <w:color w:val="auto"/>
                <w:highlight w:val="none"/>
              </w:rPr>
            </w:pPr>
          </w:p>
          <w:p w14:paraId="0041CE66">
            <w:pPr>
              <w:pStyle w:val="56"/>
              <w:spacing w:line="247" w:lineRule="auto"/>
              <w:rPr>
                <w:color w:val="auto"/>
                <w:highlight w:val="none"/>
              </w:rPr>
            </w:pPr>
          </w:p>
          <w:p w14:paraId="323B9371">
            <w:pPr>
              <w:pStyle w:val="56"/>
              <w:spacing w:line="247" w:lineRule="auto"/>
              <w:rPr>
                <w:color w:val="auto"/>
                <w:highlight w:val="none"/>
              </w:rPr>
            </w:pPr>
          </w:p>
          <w:p w14:paraId="5F13B151">
            <w:pPr>
              <w:spacing w:before="78" w:line="231" w:lineRule="auto"/>
              <w:ind w:left="116" w:right="108" w:hanging="2"/>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25"/>
                <w:sz w:val="24"/>
                <w:szCs w:val="24"/>
                <w:highlight w:val="none"/>
              </w:rPr>
              <w:t>根据需要增设有关</w:t>
            </w:r>
            <w:r>
              <w:rPr>
                <w:rFonts w:ascii="FangSong_GB2312" w:hAnsi="FangSong_GB2312" w:eastAsia="FangSong_GB2312" w:cs="FangSong_GB2312"/>
                <w:color w:val="auto"/>
                <w:spacing w:val="-5"/>
                <w:sz w:val="24"/>
                <w:szCs w:val="24"/>
                <w:highlight w:val="none"/>
              </w:rPr>
              <w:t>设施设备，包括但不</w:t>
            </w:r>
            <w:r>
              <w:rPr>
                <w:rFonts w:ascii="FangSong_GB2312" w:hAnsi="FangSong_GB2312" w:eastAsia="FangSong_GB2312" w:cs="FangSong_GB2312"/>
                <w:color w:val="auto"/>
                <w:spacing w:val="-4"/>
                <w:sz w:val="24"/>
                <w:szCs w:val="24"/>
                <w:highlight w:val="none"/>
              </w:rPr>
              <w:t>限于：</w:t>
            </w:r>
          </w:p>
          <w:p w14:paraId="5CC77ACD">
            <w:pPr>
              <w:spacing w:before="3" w:line="239" w:lineRule="auto"/>
              <w:ind w:left="121" w:right="105" w:firstLine="14"/>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5"/>
                <w:sz w:val="24"/>
                <w:szCs w:val="24"/>
                <w:highlight w:val="none"/>
              </w:rPr>
              <w:t xml:space="preserve">1. </w:t>
            </w:r>
            <w:r>
              <w:rPr>
                <w:rFonts w:ascii="FangSong_GB2312" w:hAnsi="FangSong_GB2312" w:eastAsia="FangSong_GB2312" w:cs="FangSong_GB2312"/>
                <w:color w:val="auto"/>
                <w:spacing w:val="-5"/>
                <w:sz w:val="24"/>
                <w:szCs w:val="24"/>
                <w:highlight w:val="none"/>
              </w:rPr>
              <w:t>自助服务设备：招</w:t>
            </w:r>
            <w:r>
              <w:rPr>
                <w:rFonts w:ascii="FangSong_GB2312" w:hAnsi="FangSong_GB2312" w:eastAsia="FangSong_GB2312" w:cs="FangSong_GB2312"/>
                <w:color w:val="auto"/>
                <w:spacing w:val="8"/>
                <w:sz w:val="24"/>
                <w:szCs w:val="24"/>
                <w:highlight w:val="none"/>
              </w:rPr>
              <w:t>聘直播机</w:t>
            </w:r>
            <w:r>
              <w:rPr>
                <w:rFonts w:ascii="FangSong_GB2312" w:hAnsi="FangSong_GB2312" w:eastAsia="FangSong_GB2312" w:cs="FangSong_GB2312"/>
                <w:color w:val="auto"/>
                <w:spacing w:val="-72"/>
                <w:sz w:val="24"/>
                <w:szCs w:val="24"/>
                <w:highlight w:val="none"/>
              </w:rPr>
              <w:t xml:space="preserve"> </w:t>
            </w:r>
            <w:r>
              <w:rPr>
                <w:rFonts w:ascii="FangSong_GB2312" w:hAnsi="FangSong_GB2312" w:eastAsia="FangSong_GB2312" w:cs="FangSong_GB2312"/>
                <w:color w:val="auto"/>
                <w:spacing w:val="8"/>
                <w:sz w:val="24"/>
                <w:szCs w:val="24"/>
                <w:highlight w:val="none"/>
              </w:rPr>
              <w:t>、智能</w:t>
            </w:r>
            <w:r>
              <w:rPr>
                <w:rFonts w:ascii="FangSong_GB2312" w:hAnsi="FangSong_GB2312" w:eastAsia="FangSong_GB2312" w:cs="FangSong_GB2312"/>
                <w:color w:val="auto"/>
                <w:spacing w:val="-39"/>
                <w:sz w:val="24"/>
                <w:szCs w:val="24"/>
                <w:highlight w:val="none"/>
              </w:rPr>
              <w:t xml:space="preserve"> </w:t>
            </w:r>
            <w:r>
              <w:rPr>
                <w:rFonts w:ascii="Times New Roman" w:hAnsi="Times New Roman" w:eastAsia="Times New Roman" w:cs="Times New Roman"/>
                <w:color w:val="auto"/>
                <w:sz w:val="24"/>
                <w:szCs w:val="24"/>
                <w:highlight w:val="none"/>
              </w:rPr>
              <w:t>AI</w:t>
            </w:r>
            <w:r>
              <w:rPr>
                <w:rFonts w:ascii="FangSong_GB2312" w:hAnsi="FangSong_GB2312" w:eastAsia="FangSong_GB2312" w:cs="FangSong_GB2312"/>
                <w:color w:val="auto"/>
                <w:spacing w:val="-3"/>
                <w:sz w:val="24"/>
                <w:szCs w:val="24"/>
                <w:highlight w:val="none"/>
              </w:rPr>
              <w:t>招聘设备等；</w:t>
            </w:r>
          </w:p>
          <w:p w14:paraId="74EB32DD">
            <w:pPr>
              <w:spacing w:before="8" w:line="242" w:lineRule="auto"/>
              <w:ind w:left="116" w:right="108" w:hanging="4"/>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3"/>
                <w:sz w:val="24"/>
                <w:szCs w:val="24"/>
                <w:highlight w:val="none"/>
              </w:rPr>
              <w:t>2.</w:t>
            </w:r>
            <w:r>
              <w:rPr>
                <w:rFonts w:ascii="Times New Roman" w:hAnsi="Times New Roman" w:eastAsia="Times New Roman" w:cs="Times New Roman"/>
                <w:color w:val="auto"/>
                <w:spacing w:val="-8"/>
                <w:sz w:val="24"/>
                <w:szCs w:val="24"/>
                <w:highlight w:val="none"/>
              </w:rPr>
              <w:t xml:space="preserve"> </w:t>
            </w:r>
            <w:r>
              <w:rPr>
                <w:rFonts w:ascii="FangSong_GB2312" w:hAnsi="FangSong_GB2312" w:eastAsia="FangSong_GB2312" w:cs="FangSong_GB2312"/>
                <w:color w:val="auto"/>
                <w:spacing w:val="-3"/>
                <w:sz w:val="24"/>
                <w:szCs w:val="24"/>
                <w:highlight w:val="none"/>
              </w:rPr>
              <w:t>增设</w:t>
            </w:r>
            <w:r>
              <w:rPr>
                <w:rFonts w:ascii="FangSong_GB2312" w:hAnsi="FangSong_GB2312" w:eastAsia="FangSong_GB2312" w:cs="FangSong_GB2312"/>
                <w:color w:val="auto"/>
                <w:spacing w:val="-39"/>
                <w:sz w:val="24"/>
                <w:szCs w:val="24"/>
                <w:highlight w:val="none"/>
              </w:rPr>
              <w:t xml:space="preserve"> </w:t>
            </w:r>
            <w:r>
              <w:rPr>
                <w:rFonts w:ascii="FangSong_GB2312" w:hAnsi="FangSong_GB2312" w:eastAsia="FangSong_GB2312" w:cs="FangSong_GB2312"/>
                <w:color w:val="auto"/>
                <w:spacing w:val="-3"/>
                <w:sz w:val="24"/>
                <w:szCs w:val="24"/>
                <w:highlight w:val="none"/>
              </w:rPr>
              <w:t>区</w:t>
            </w:r>
            <w:r>
              <w:rPr>
                <w:rFonts w:ascii="FangSong_GB2312" w:hAnsi="FangSong_GB2312" w:eastAsia="FangSong_GB2312" w:cs="FangSong_GB2312"/>
                <w:color w:val="auto"/>
                <w:spacing w:val="-70"/>
                <w:sz w:val="24"/>
                <w:szCs w:val="24"/>
                <w:highlight w:val="none"/>
              </w:rPr>
              <w:t xml:space="preserve"> </w:t>
            </w:r>
            <w:r>
              <w:rPr>
                <w:rFonts w:ascii="FangSong_GB2312" w:hAnsi="FangSong_GB2312" w:eastAsia="FangSong_GB2312" w:cs="FangSong_GB2312"/>
                <w:color w:val="auto"/>
                <w:spacing w:val="-3"/>
                <w:sz w:val="24"/>
                <w:szCs w:val="24"/>
                <w:highlight w:val="none"/>
              </w:rPr>
              <w:t>域</w:t>
            </w:r>
            <w:r>
              <w:rPr>
                <w:rFonts w:ascii="FangSong_GB2312" w:hAnsi="FangSong_GB2312" w:eastAsia="FangSong_GB2312" w:cs="FangSong_GB2312"/>
                <w:color w:val="auto"/>
                <w:spacing w:val="-62"/>
                <w:sz w:val="24"/>
                <w:szCs w:val="24"/>
                <w:highlight w:val="none"/>
              </w:rPr>
              <w:t xml:space="preserve"> </w:t>
            </w:r>
            <w:r>
              <w:rPr>
                <w:rFonts w:ascii="FangSong_GB2312" w:hAnsi="FangSong_GB2312" w:eastAsia="FangSong_GB2312" w:cs="FangSong_GB2312"/>
                <w:color w:val="auto"/>
                <w:spacing w:val="-3"/>
                <w:sz w:val="24"/>
                <w:szCs w:val="24"/>
                <w:highlight w:val="none"/>
              </w:rPr>
              <w:t>配</w:t>
            </w:r>
            <w:r>
              <w:rPr>
                <w:rFonts w:ascii="FangSong_GB2312" w:hAnsi="FangSong_GB2312" w:eastAsia="FangSong_GB2312" w:cs="FangSong_GB2312"/>
                <w:color w:val="auto"/>
                <w:spacing w:val="-69"/>
                <w:sz w:val="24"/>
                <w:szCs w:val="24"/>
                <w:highlight w:val="none"/>
              </w:rPr>
              <w:t xml:space="preserve"> </w:t>
            </w:r>
            <w:r>
              <w:rPr>
                <w:rFonts w:ascii="FangSong_GB2312" w:hAnsi="FangSong_GB2312" w:eastAsia="FangSong_GB2312" w:cs="FangSong_GB2312"/>
                <w:color w:val="auto"/>
                <w:spacing w:val="-3"/>
                <w:sz w:val="24"/>
                <w:szCs w:val="24"/>
                <w:highlight w:val="none"/>
              </w:rPr>
              <w:t>套设</w:t>
            </w:r>
            <w:r>
              <w:rPr>
                <w:rFonts w:ascii="FangSong_GB2312" w:hAnsi="FangSong_GB2312" w:eastAsia="FangSong_GB2312" w:cs="FangSong_GB2312"/>
                <w:color w:val="auto"/>
                <w:spacing w:val="-5"/>
                <w:sz w:val="24"/>
                <w:szCs w:val="24"/>
                <w:highlight w:val="none"/>
              </w:rPr>
              <w:t>备：加挂零工市场和设有职业培训区、求职指导区（创业指导区）、线上直播区、</w:t>
            </w:r>
            <w:r>
              <w:rPr>
                <w:rFonts w:ascii="FangSong_GB2312" w:hAnsi="FangSong_GB2312" w:eastAsia="FangSong_GB2312" w:cs="FangSong_GB2312"/>
                <w:color w:val="auto"/>
                <w:spacing w:val="5"/>
                <w:sz w:val="24"/>
                <w:szCs w:val="24"/>
                <w:highlight w:val="none"/>
              </w:rPr>
              <w:t>视频面试区</w:t>
            </w:r>
            <w:r>
              <w:rPr>
                <w:rFonts w:ascii="FangSong_GB2312" w:hAnsi="FangSong_GB2312" w:eastAsia="FangSong_GB2312" w:cs="FangSong_GB2312"/>
                <w:color w:val="auto"/>
                <w:spacing w:val="-51"/>
                <w:sz w:val="24"/>
                <w:szCs w:val="24"/>
                <w:highlight w:val="none"/>
              </w:rPr>
              <w:t xml:space="preserve"> </w:t>
            </w:r>
            <w:r>
              <w:rPr>
                <w:rFonts w:ascii="FangSong_GB2312" w:hAnsi="FangSong_GB2312" w:eastAsia="FangSong_GB2312" w:cs="FangSong_GB2312"/>
                <w:color w:val="auto"/>
                <w:spacing w:val="5"/>
                <w:sz w:val="24"/>
                <w:szCs w:val="24"/>
                <w:highlight w:val="none"/>
              </w:rPr>
              <w:t>以及</w:t>
            </w:r>
            <w:r>
              <w:rPr>
                <w:rFonts w:ascii="FangSong_GB2312" w:hAnsi="FangSong_GB2312" w:eastAsia="FangSong_GB2312" w:cs="FangSong_GB2312"/>
                <w:color w:val="auto"/>
                <w:spacing w:val="-34"/>
                <w:sz w:val="24"/>
                <w:szCs w:val="24"/>
                <w:highlight w:val="none"/>
              </w:rPr>
              <w:t xml:space="preserve"> </w:t>
            </w:r>
            <w:r>
              <w:rPr>
                <w:rFonts w:ascii="Times New Roman" w:hAnsi="Times New Roman" w:eastAsia="Times New Roman" w:cs="Times New Roman"/>
                <w:color w:val="auto"/>
                <w:spacing w:val="5"/>
                <w:sz w:val="24"/>
                <w:szCs w:val="24"/>
                <w:highlight w:val="none"/>
              </w:rPr>
              <w:t>24</w:t>
            </w:r>
            <w:r>
              <w:rPr>
                <w:rFonts w:ascii="FangSong_GB2312" w:hAnsi="FangSong_GB2312" w:eastAsia="FangSong_GB2312" w:cs="FangSong_GB2312"/>
                <w:color w:val="auto"/>
                <w:sz w:val="24"/>
                <w:szCs w:val="24"/>
                <w:highlight w:val="none"/>
              </w:rPr>
              <w:t>小</w:t>
            </w:r>
            <w:r>
              <w:rPr>
                <w:rFonts w:ascii="FangSong_GB2312" w:hAnsi="FangSong_GB2312" w:eastAsia="FangSong_GB2312" w:cs="FangSong_GB2312"/>
                <w:color w:val="auto"/>
                <w:spacing w:val="-53"/>
                <w:sz w:val="24"/>
                <w:szCs w:val="24"/>
                <w:highlight w:val="none"/>
              </w:rPr>
              <w:t xml:space="preserve"> </w:t>
            </w:r>
            <w:r>
              <w:rPr>
                <w:rFonts w:ascii="FangSong_GB2312" w:hAnsi="FangSong_GB2312" w:eastAsia="FangSong_GB2312" w:cs="FangSong_GB2312"/>
                <w:color w:val="auto"/>
                <w:sz w:val="24"/>
                <w:szCs w:val="24"/>
                <w:highlight w:val="none"/>
              </w:rPr>
              <w:t>时人社</w:t>
            </w:r>
            <w:r>
              <w:rPr>
                <w:rFonts w:ascii="FangSong_GB2312" w:hAnsi="FangSong_GB2312" w:eastAsia="FangSong_GB2312" w:cs="FangSong_GB2312"/>
                <w:color w:val="auto"/>
                <w:spacing w:val="-39"/>
                <w:sz w:val="24"/>
                <w:szCs w:val="24"/>
                <w:highlight w:val="none"/>
              </w:rPr>
              <w:t xml:space="preserve"> </w:t>
            </w:r>
            <w:r>
              <w:rPr>
                <w:rFonts w:ascii="FangSong_GB2312" w:hAnsi="FangSong_GB2312" w:eastAsia="FangSong_GB2312" w:cs="FangSong_GB2312"/>
                <w:color w:val="auto"/>
                <w:sz w:val="24"/>
                <w:szCs w:val="24"/>
                <w:highlight w:val="none"/>
              </w:rPr>
              <w:t>自</w:t>
            </w:r>
            <w:r>
              <w:rPr>
                <w:rFonts w:ascii="FangSong_GB2312" w:hAnsi="FangSong_GB2312" w:eastAsia="FangSong_GB2312" w:cs="FangSong_GB2312"/>
                <w:color w:val="auto"/>
                <w:spacing w:val="-68"/>
                <w:sz w:val="24"/>
                <w:szCs w:val="24"/>
                <w:highlight w:val="none"/>
              </w:rPr>
              <w:t xml:space="preserve"> </w:t>
            </w:r>
            <w:r>
              <w:rPr>
                <w:rFonts w:ascii="FangSong_GB2312" w:hAnsi="FangSong_GB2312" w:eastAsia="FangSong_GB2312" w:cs="FangSong_GB2312"/>
                <w:color w:val="auto"/>
                <w:sz w:val="24"/>
                <w:szCs w:val="24"/>
                <w:highlight w:val="none"/>
              </w:rPr>
              <w:t>助服务</w:t>
            </w:r>
            <w:r>
              <w:rPr>
                <w:rFonts w:ascii="FangSong_GB2312" w:hAnsi="FangSong_GB2312" w:eastAsia="FangSong_GB2312" w:cs="FangSong_GB2312"/>
                <w:color w:val="auto"/>
                <w:spacing w:val="-5"/>
                <w:sz w:val="24"/>
                <w:szCs w:val="24"/>
                <w:highlight w:val="none"/>
              </w:rPr>
              <w:t>区等所需桌椅、设施</w:t>
            </w:r>
            <w:r>
              <w:rPr>
                <w:rFonts w:ascii="FangSong_GB2312" w:hAnsi="FangSong_GB2312" w:eastAsia="FangSong_GB2312" w:cs="FangSong_GB2312"/>
                <w:color w:val="auto"/>
                <w:spacing w:val="-3"/>
                <w:sz w:val="24"/>
                <w:szCs w:val="24"/>
                <w:highlight w:val="none"/>
              </w:rPr>
              <w:t>设备等。</w:t>
            </w:r>
          </w:p>
        </w:tc>
      </w:tr>
      <w:tr w14:paraId="60BB0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78" w:type="dxa"/>
            <w:noWrap w:val="0"/>
            <w:vAlign w:val="top"/>
          </w:tcPr>
          <w:p w14:paraId="44A912A2">
            <w:pPr>
              <w:spacing w:before="197" w:line="223" w:lineRule="auto"/>
              <w:ind w:left="155"/>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序号</w:t>
            </w:r>
          </w:p>
        </w:tc>
        <w:tc>
          <w:tcPr>
            <w:tcW w:w="959" w:type="dxa"/>
            <w:noWrap w:val="0"/>
            <w:vAlign w:val="top"/>
          </w:tcPr>
          <w:p w14:paraId="0ACF1C6D">
            <w:pPr>
              <w:spacing w:before="41" w:line="223" w:lineRule="auto"/>
              <w:ind w:left="126"/>
              <w:rPr>
                <w:rFonts w:ascii="黑体" w:hAnsi="黑体" w:eastAsia="黑体" w:cs="黑体"/>
                <w:color w:val="auto"/>
                <w:sz w:val="24"/>
                <w:szCs w:val="24"/>
                <w:highlight w:val="none"/>
              </w:rPr>
            </w:pPr>
            <w:r>
              <w:rPr>
                <w:rFonts w:ascii="黑体" w:hAnsi="黑体" w:eastAsia="黑体" w:cs="黑体"/>
                <w:color w:val="auto"/>
                <w:spacing w:val="-4"/>
                <w:sz w:val="24"/>
                <w:szCs w:val="24"/>
                <w:highlight w:val="none"/>
              </w:rPr>
              <w:t>配备运</w:t>
            </w:r>
          </w:p>
          <w:p w14:paraId="62BF3349">
            <w:pPr>
              <w:spacing w:before="22" w:line="207" w:lineRule="auto"/>
              <w:ind w:left="130"/>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营标准</w:t>
            </w:r>
          </w:p>
        </w:tc>
        <w:tc>
          <w:tcPr>
            <w:tcW w:w="1831" w:type="dxa"/>
            <w:noWrap w:val="0"/>
            <w:vAlign w:val="top"/>
          </w:tcPr>
          <w:p w14:paraId="0C538398">
            <w:pPr>
              <w:spacing w:before="197" w:line="222" w:lineRule="auto"/>
              <w:ind w:left="202"/>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配备运营要求</w:t>
            </w:r>
          </w:p>
        </w:tc>
        <w:tc>
          <w:tcPr>
            <w:tcW w:w="3898" w:type="dxa"/>
            <w:noWrap w:val="0"/>
            <w:vAlign w:val="top"/>
          </w:tcPr>
          <w:p w14:paraId="0BCBA1C3">
            <w:pPr>
              <w:spacing w:before="197" w:line="223" w:lineRule="auto"/>
              <w:ind w:left="147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基本配备</w:t>
            </w:r>
          </w:p>
        </w:tc>
        <w:tc>
          <w:tcPr>
            <w:tcW w:w="2352" w:type="dxa"/>
            <w:noWrap w:val="0"/>
            <w:vAlign w:val="top"/>
          </w:tcPr>
          <w:p w14:paraId="71C4F32E">
            <w:pPr>
              <w:spacing w:before="196" w:line="222" w:lineRule="auto"/>
              <w:ind w:left="700"/>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增设配备</w:t>
            </w:r>
          </w:p>
        </w:tc>
      </w:tr>
      <w:tr w14:paraId="162B8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0" w:hRule="atLeast"/>
        </w:trPr>
        <w:tc>
          <w:tcPr>
            <w:tcW w:w="778" w:type="dxa"/>
            <w:noWrap w:val="0"/>
            <w:vAlign w:val="top"/>
          </w:tcPr>
          <w:p w14:paraId="4FD56839">
            <w:pPr>
              <w:pStyle w:val="56"/>
              <w:spacing w:line="298" w:lineRule="auto"/>
              <w:rPr>
                <w:color w:val="auto"/>
                <w:highlight w:val="none"/>
              </w:rPr>
            </w:pPr>
          </w:p>
          <w:p w14:paraId="78485B77">
            <w:pPr>
              <w:pStyle w:val="56"/>
              <w:spacing w:line="298" w:lineRule="auto"/>
              <w:rPr>
                <w:color w:val="auto"/>
                <w:highlight w:val="none"/>
              </w:rPr>
            </w:pPr>
          </w:p>
          <w:p w14:paraId="373F9558">
            <w:pPr>
              <w:pStyle w:val="56"/>
              <w:spacing w:line="298" w:lineRule="auto"/>
              <w:rPr>
                <w:color w:val="auto"/>
                <w:highlight w:val="none"/>
              </w:rPr>
            </w:pPr>
          </w:p>
          <w:p w14:paraId="726F068E">
            <w:pPr>
              <w:pStyle w:val="56"/>
              <w:spacing w:line="298" w:lineRule="auto"/>
              <w:rPr>
                <w:color w:val="auto"/>
                <w:highlight w:val="none"/>
              </w:rPr>
            </w:pPr>
          </w:p>
          <w:p w14:paraId="23D9118E">
            <w:pPr>
              <w:spacing w:before="69" w:line="315" w:lineRule="exact"/>
              <w:ind w:left="33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3</w:t>
            </w:r>
          </w:p>
        </w:tc>
        <w:tc>
          <w:tcPr>
            <w:tcW w:w="959" w:type="dxa"/>
            <w:noWrap w:val="0"/>
            <w:vAlign w:val="top"/>
          </w:tcPr>
          <w:p w14:paraId="54ECD6E4">
            <w:pPr>
              <w:pStyle w:val="56"/>
              <w:spacing w:line="266" w:lineRule="auto"/>
              <w:rPr>
                <w:color w:val="auto"/>
                <w:highlight w:val="none"/>
              </w:rPr>
            </w:pPr>
          </w:p>
          <w:p w14:paraId="0172629C">
            <w:pPr>
              <w:pStyle w:val="56"/>
              <w:spacing w:line="266" w:lineRule="auto"/>
              <w:rPr>
                <w:color w:val="auto"/>
                <w:highlight w:val="none"/>
              </w:rPr>
            </w:pPr>
          </w:p>
          <w:p w14:paraId="330CFFB3">
            <w:pPr>
              <w:pStyle w:val="56"/>
              <w:spacing w:line="266" w:lineRule="auto"/>
              <w:rPr>
                <w:color w:val="auto"/>
                <w:highlight w:val="none"/>
              </w:rPr>
            </w:pPr>
          </w:p>
          <w:p w14:paraId="147B55C5">
            <w:pPr>
              <w:pStyle w:val="56"/>
              <w:spacing w:line="267" w:lineRule="auto"/>
              <w:rPr>
                <w:color w:val="auto"/>
                <w:highlight w:val="none"/>
              </w:rPr>
            </w:pPr>
          </w:p>
          <w:p w14:paraId="7B58EE6B">
            <w:pPr>
              <w:spacing w:before="78" w:line="241" w:lineRule="auto"/>
              <w:ind w:left="269" w:right="117" w:hanging="138"/>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有服务</w:t>
            </w:r>
            <w:r>
              <w:rPr>
                <w:rFonts w:ascii="FangSong_GB2312" w:hAnsi="FangSong_GB2312" w:eastAsia="FangSong_GB2312" w:cs="FangSong_GB2312"/>
                <w:color w:val="auto"/>
                <w:spacing w:val="-17"/>
                <w:sz w:val="24"/>
                <w:szCs w:val="24"/>
                <w:highlight w:val="none"/>
              </w:rPr>
              <w:t>团队</w:t>
            </w:r>
          </w:p>
        </w:tc>
        <w:tc>
          <w:tcPr>
            <w:tcW w:w="1831" w:type="dxa"/>
            <w:noWrap w:val="0"/>
            <w:vAlign w:val="top"/>
          </w:tcPr>
          <w:p w14:paraId="607B7928">
            <w:pPr>
              <w:spacing w:before="215"/>
              <w:ind w:left="115" w:right="105" w:firstLine="9"/>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z w:val="24"/>
                <w:szCs w:val="24"/>
                <w:highlight w:val="none"/>
              </w:rPr>
              <w:t>配</w:t>
            </w:r>
            <w:r>
              <w:rPr>
                <w:rFonts w:ascii="FangSong_GB2312" w:hAnsi="FangSong_GB2312" w:eastAsia="FangSong_GB2312" w:cs="FangSong_GB2312"/>
                <w:color w:val="auto"/>
                <w:spacing w:val="-72"/>
                <w:sz w:val="24"/>
                <w:szCs w:val="24"/>
                <w:highlight w:val="none"/>
              </w:rPr>
              <w:t xml:space="preserve"> </w:t>
            </w:r>
            <w:r>
              <w:rPr>
                <w:rFonts w:ascii="FangSong_GB2312" w:hAnsi="FangSong_GB2312" w:eastAsia="FangSong_GB2312" w:cs="FangSong_GB2312"/>
                <w:color w:val="auto"/>
                <w:sz w:val="24"/>
                <w:szCs w:val="24"/>
                <w:highlight w:val="none"/>
              </w:rPr>
              <w:t>备</w:t>
            </w:r>
            <w:r>
              <w:rPr>
                <w:rFonts w:ascii="FangSong_GB2312" w:hAnsi="FangSong_GB2312" w:eastAsia="FangSong_GB2312" w:cs="FangSong_GB2312"/>
                <w:color w:val="auto"/>
                <w:spacing w:val="-70"/>
                <w:sz w:val="24"/>
                <w:szCs w:val="24"/>
                <w:highlight w:val="none"/>
              </w:rPr>
              <w:t xml:space="preserve"> </w:t>
            </w:r>
            <w:r>
              <w:rPr>
                <w:rFonts w:ascii="FangSong_GB2312" w:hAnsi="FangSong_GB2312" w:eastAsia="FangSong_GB2312" w:cs="FangSong_GB2312"/>
                <w:color w:val="auto"/>
                <w:sz w:val="24"/>
                <w:szCs w:val="24"/>
                <w:highlight w:val="none"/>
              </w:rPr>
              <w:t>专</w:t>
            </w:r>
            <w:r>
              <w:rPr>
                <w:rFonts w:ascii="FangSong_GB2312" w:hAnsi="FangSong_GB2312" w:eastAsia="FangSong_GB2312" w:cs="FangSong_GB2312"/>
                <w:color w:val="auto"/>
                <w:spacing w:val="-64"/>
                <w:sz w:val="24"/>
                <w:szCs w:val="24"/>
                <w:highlight w:val="none"/>
              </w:rPr>
              <w:t xml:space="preserve"> </w:t>
            </w:r>
            <w:r>
              <w:rPr>
                <w:rFonts w:ascii="FangSong_GB2312" w:hAnsi="FangSong_GB2312" w:eastAsia="FangSong_GB2312" w:cs="FangSong_GB2312"/>
                <w:color w:val="auto"/>
                <w:sz w:val="24"/>
                <w:szCs w:val="24"/>
                <w:highlight w:val="none"/>
              </w:rPr>
              <w:t>业的运</w:t>
            </w:r>
            <w:r>
              <w:rPr>
                <w:rFonts w:ascii="FangSong_GB2312" w:hAnsi="FangSong_GB2312" w:eastAsia="FangSong_GB2312" w:cs="FangSong_GB2312"/>
                <w:color w:val="auto"/>
                <w:spacing w:val="-11"/>
                <w:sz w:val="24"/>
                <w:szCs w:val="24"/>
                <w:highlight w:val="none"/>
              </w:rPr>
              <w:t>营队伍，熟悉就</w:t>
            </w:r>
            <w:r>
              <w:rPr>
                <w:rFonts w:ascii="FangSong_GB2312" w:hAnsi="FangSong_GB2312" w:eastAsia="FangSong_GB2312" w:cs="FangSong_GB2312"/>
                <w:color w:val="auto"/>
                <w:spacing w:val="27"/>
                <w:sz w:val="24"/>
                <w:szCs w:val="24"/>
                <w:highlight w:val="none"/>
              </w:rPr>
              <w:t>业政策和业务</w:t>
            </w:r>
            <w:r>
              <w:rPr>
                <w:rFonts w:ascii="FangSong_GB2312" w:hAnsi="FangSong_GB2312" w:eastAsia="FangSong_GB2312" w:cs="FangSong_GB2312"/>
                <w:color w:val="auto"/>
                <w:spacing w:val="-11"/>
                <w:sz w:val="24"/>
                <w:szCs w:val="24"/>
                <w:highlight w:val="none"/>
              </w:rPr>
              <w:t>流程，在购买服</w:t>
            </w:r>
            <w:r>
              <w:rPr>
                <w:rFonts w:ascii="FangSong_GB2312" w:hAnsi="FangSong_GB2312" w:eastAsia="FangSong_GB2312" w:cs="FangSong_GB2312"/>
                <w:color w:val="auto"/>
                <w:spacing w:val="27"/>
                <w:sz w:val="24"/>
                <w:szCs w:val="24"/>
                <w:highlight w:val="none"/>
              </w:rPr>
              <w:t>务方和属地的监督指导下充分实现服务要</w:t>
            </w:r>
            <w:r>
              <w:rPr>
                <w:rFonts w:ascii="FangSong_GB2312" w:hAnsi="FangSong_GB2312" w:eastAsia="FangSong_GB2312" w:cs="FangSong_GB2312"/>
                <w:color w:val="auto"/>
                <w:sz w:val="24"/>
                <w:szCs w:val="24"/>
                <w:highlight w:val="none"/>
              </w:rPr>
              <w:t>求</w:t>
            </w:r>
          </w:p>
        </w:tc>
        <w:tc>
          <w:tcPr>
            <w:tcW w:w="3898" w:type="dxa"/>
            <w:noWrap w:val="0"/>
            <w:vAlign w:val="top"/>
          </w:tcPr>
          <w:p w14:paraId="681EE8C5">
            <w:pPr>
              <w:pStyle w:val="56"/>
              <w:spacing w:line="253" w:lineRule="auto"/>
              <w:rPr>
                <w:color w:val="auto"/>
                <w:highlight w:val="none"/>
              </w:rPr>
            </w:pPr>
          </w:p>
          <w:p w14:paraId="3CA6C276">
            <w:pPr>
              <w:spacing w:before="78"/>
              <w:ind w:left="115" w:right="103" w:firstLine="18"/>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8"/>
                <w:sz w:val="24"/>
                <w:szCs w:val="24"/>
                <w:highlight w:val="none"/>
              </w:rPr>
              <w:t>1.</w:t>
            </w:r>
            <w:r>
              <w:rPr>
                <w:rFonts w:ascii="FangSong_GB2312" w:hAnsi="FangSong_GB2312" w:eastAsia="FangSong_GB2312" w:cs="FangSong_GB2312"/>
                <w:color w:val="auto"/>
                <w:spacing w:val="-8"/>
                <w:sz w:val="24"/>
                <w:szCs w:val="24"/>
                <w:highlight w:val="none"/>
              </w:rPr>
              <w:t>第一站长：当地党委政府或所属机</w:t>
            </w:r>
            <w:r>
              <w:rPr>
                <w:rFonts w:ascii="FangSong_GB2312" w:hAnsi="FangSong_GB2312" w:eastAsia="FangSong_GB2312" w:cs="FangSong_GB2312"/>
                <w:color w:val="auto"/>
                <w:spacing w:val="2"/>
                <w:sz w:val="24"/>
                <w:szCs w:val="24"/>
                <w:highlight w:val="none"/>
              </w:rPr>
              <w:t>构安排</w:t>
            </w:r>
            <w:r>
              <w:rPr>
                <w:rFonts w:ascii="FangSong_GB2312" w:hAnsi="FangSong_GB2312" w:eastAsia="FangSong_GB2312" w:cs="FangSong_GB2312"/>
                <w:color w:val="auto"/>
                <w:spacing w:val="-19"/>
                <w:sz w:val="24"/>
                <w:szCs w:val="24"/>
                <w:highlight w:val="none"/>
              </w:rPr>
              <w:t xml:space="preserve"> </w:t>
            </w:r>
            <w:r>
              <w:rPr>
                <w:rFonts w:ascii="Times New Roman" w:hAnsi="Times New Roman" w:eastAsia="Times New Roman" w:cs="Times New Roman"/>
                <w:color w:val="auto"/>
                <w:spacing w:val="2"/>
                <w:sz w:val="24"/>
                <w:szCs w:val="24"/>
                <w:highlight w:val="none"/>
              </w:rPr>
              <w:t xml:space="preserve">1 </w:t>
            </w:r>
            <w:r>
              <w:rPr>
                <w:rFonts w:ascii="FangSong_GB2312" w:hAnsi="FangSong_GB2312" w:eastAsia="FangSong_GB2312" w:cs="FangSong_GB2312"/>
                <w:color w:val="auto"/>
                <w:spacing w:val="2"/>
                <w:sz w:val="24"/>
                <w:szCs w:val="24"/>
                <w:highlight w:val="none"/>
              </w:rPr>
              <w:t>名在职在编干部负责服务</w:t>
            </w:r>
            <w:r>
              <w:rPr>
                <w:rFonts w:ascii="FangSong_GB2312" w:hAnsi="FangSong_GB2312" w:eastAsia="FangSong_GB2312" w:cs="FangSong_GB2312"/>
                <w:color w:val="auto"/>
                <w:spacing w:val="-1"/>
                <w:sz w:val="24"/>
                <w:szCs w:val="24"/>
                <w:highlight w:val="none"/>
              </w:rPr>
              <w:t>站的日常联络和监督指导工作；</w:t>
            </w:r>
          </w:p>
          <w:p w14:paraId="0DA2D09C">
            <w:pPr>
              <w:ind w:left="126" w:right="103" w:hanging="16"/>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6"/>
                <w:sz w:val="24"/>
                <w:szCs w:val="24"/>
                <w:highlight w:val="none"/>
              </w:rPr>
              <w:t>2.</w:t>
            </w:r>
            <w:r>
              <w:rPr>
                <w:rFonts w:ascii="FangSong_GB2312" w:hAnsi="FangSong_GB2312" w:eastAsia="FangSong_GB2312" w:cs="FangSong_GB2312"/>
                <w:color w:val="auto"/>
                <w:spacing w:val="-6"/>
                <w:sz w:val="24"/>
                <w:szCs w:val="24"/>
                <w:highlight w:val="none"/>
              </w:rPr>
              <w:t>站长：运营机构设置有专门的驻站</w:t>
            </w:r>
            <w:r>
              <w:rPr>
                <w:rFonts w:ascii="FangSong_GB2312" w:hAnsi="FangSong_GB2312" w:eastAsia="FangSong_GB2312" w:cs="FangSong_GB2312"/>
                <w:color w:val="auto"/>
                <w:spacing w:val="-2"/>
                <w:sz w:val="24"/>
                <w:szCs w:val="24"/>
                <w:highlight w:val="none"/>
              </w:rPr>
              <w:t>负责人，对服务站日常运营管理；</w:t>
            </w:r>
          </w:p>
          <w:p w14:paraId="2D1C7721">
            <w:pPr>
              <w:spacing w:before="1" w:line="243" w:lineRule="auto"/>
              <w:ind w:left="117" w:right="103" w:hanging="2"/>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8"/>
                <w:sz w:val="24"/>
                <w:szCs w:val="24"/>
                <w:highlight w:val="none"/>
              </w:rPr>
              <w:t>3.</w:t>
            </w:r>
            <w:r>
              <w:rPr>
                <w:rFonts w:ascii="FangSong_GB2312" w:hAnsi="FangSong_GB2312" w:eastAsia="FangSong_GB2312" w:cs="FangSong_GB2312"/>
                <w:color w:val="auto"/>
                <w:spacing w:val="-8"/>
                <w:sz w:val="24"/>
                <w:szCs w:val="24"/>
                <w:highlight w:val="none"/>
              </w:rPr>
              <w:t>服务专员：前台常态至少</w:t>
            </w:r>
            <w:r>
              <w:rPr>
                <w:rFonts w:ascii="FangSong_GB2312" w:hAnsi="FangSong_GB2312" w:eastAsia="FangSong_GB2312" w:cs="FangSong_GB2312"/>
                <w:color w:val="auto"/>
                <w:spacing w:val="-23"/>
                <w:sz w:val="24"/>
                <w:szCs w:val="24"/>
                <w:highlight w:val="none"/>
              </w:rPr>
              <w:t xml:space="preserve"> </w:t>
            </w:r>
            <w:r>
              <w:rPr>
                <w:rFonts w:ascii="Times New Roman" w:hAnsi="Times New Roman" w:eastAsia="Times New Roman" w:cs="Times New Roman"/>
                <w:color w:val="auto"/>
                <w:spacing w:val="-8"/>
                <w:sz w:val="24"/>
                <w:szCs w:val="24"/>
                <w:highlight w:val="none"/>
              </w:rPr>
              <w:t xml:space="preserve">1 </w:t>
            </w:r>
            <w:r>
              <w:rPr>
                <w:rFonts w:ascii="FangSong_GB2312" w:hAnsi="FangSong_GB2312" w:eastAsia="FangSong_GB2312" w:cs="FangSong_GB2312"/>
                <w:color w:val="auto"/>
                <w:spacing w:val="-8"/>
                <w:sz w:val="24"/>
                <w:szCs w:val="24"/>
                <w:highlight w:val="none"/>
              </w:rPr>
              <w:t>人在岗</w:t>
            </w:r>
            <w:r>
              <w:rPr>
                <w:rFonts w:ascii="FangSong_GB2312" w:hAnsi="FangSong_GB2312" w:eastAsia="FangSong_GB2312" w:cs="FangSong_GB2312"/>
                <w:color w:val="auto"/>
                <w:spacing w:val="-5"/>
                <w:sz w:val="24"/>
                <w:szCs w:val="24"/>
                <w:highlight w:val="none"/>
              </w:rPr>
              <w:t>服务。</w:t>
            </w:r>
          </w:p>
        </w:tc>
        <w:tc>
          <w:tcPr>
            <w:tcW w:w="2352" w:type="dxa"/>
            <w:noWrap w:val="0"/>
            <w:vAlign w:val="top"/>
          </w:tcPr>
          <w:p w14:paraId="0F0A1F52">
            <w:pPr>
              <w:pStyle w:val="56"/>
              <w:spacing w:line="300" w:lineRule="auto"/>
              <w:rPr>
                <w:color w:val="auto"/>
                <w:highlight w:val="none"/>
              </w:rPr>
            </w:pPr>
          </w:p>
          <w:p w14:paraId="52976E64">
            <w:pPr>
              <w:pStyle w:val="56"/>
              <w:spacing w:line="300" w:lineRule="auto"/>
              <w:rPr>
                <w:color w:val="auto"/>
                <w:highlight w:val="none"/>
              </w:rPr>
            </w:pPr>
          </w:p>
          <w:p w14:paraId="10F2B74D">
            <w:pPr>
              <w:spacing w:before="78" w:line="241" w:lineRule="auto"/>
              <w:ind w:left="114" w:right="108" w:firstLine="3"/>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8"/>
                <w:sz w:val="24"/>
                <w:szCs w:val="24"/>
                <w:highlight w:val="none"/>
              </w:rPr>
              <w:t>运</w:t>
            </w:r>
            <w:r>
              <w:rPr>
                <w:rFonts w:ascii="FangSong_GB2312" w:hAnsi="FangSong_GB2312" w:eastAsia="FangSong_GB2312" w:cs="FangSong_GB2312"/>
                <w:color w:val="auto"/>
                <w:spacing w:val="-64"/>
                <w:sz w:val="24"/>
                <w:szCs w:val="24"/>
                <w:highlight w:val="none"/>
              </w:rPr>
              <w:t xml:space="preserve"> </w:t>
            </w:r>
            <w:r>
              <w:rPr>
                <w:rFonts w:ascii="FangSong_GB2312" w:hAnsi="FangSong_GB2312" w:eastAsia="FangSong_GB2312" w:cs="FangSong_GB2312"/>
                <w:color w:val="auto"/>
                <w:spacing w:val="18"/>
                <w:sz w:val="24"/>
                <w:szCs w:val="24"/>
                <w:highlight w:val="none"/>
              </w:rPr>
              <w:t>营机构在履行服</w:t>
            </w:r>
            <w:r>
              <w:rPr>
                <w:rFonts w:ascii="FangSong_GB2312" w:hAnsi="FangSong_GB2312" w:eastAsia="FangSong_GB2312" w:cs="FangSong_GB2312"/>
                <w:color w:val="auto"/>
                <w:spacing w:val="-4"/>
                <w:sz w:val="24"/>
                <w:szCs w:val="24"/>
                <w:highlight w:val="none"/>
              </w:rPr>
              <w:t>务约定的基础上，可</w:t>
            </w:r>
            <w:r>
              <w:rPr>
                <w:rFonts w:ascii="FangSong_GB2312" w:hAnsi="FangSong_GB2312" w:eastAsia="FangSong_GB2312" w:cs="FangSong_GB2312"/>
                <w:color w:val="auto"/>
                <w:spacing w:val="25"/>
                <w:sz w:val="24"/>
                <w:szCs w:val="24"/>
                <w:highlight w:val="none"/>
              </w:rPr>
              <w:t>根据需要增加人员</w:t>
            </w:r>
            <w:r>
              <w:rPr>
                <w:rFonts w:ascii="FangSong_GB2312" w:hAnsi="FangSong_GB2312" w:eastAsia="FangSong_GB2312" w:cs="FangSong_GB2312"/>
                <w:color w:val="auto"/>
                <w:spacing w:val="18"/>
                <w:sz w:val="24"/>
                <w:szCs w:val="24"/>
                <w:highlight w:val="none"/>
              </w:rPr>
              <w:t>配备或管理运</w:t>
            </w:r>
            <w:r>
              <w:rPr>
                <w:rFonts w:ascii="FangSong_GB2312" w:hAnsi="FangSong_GB2312" w:eastAsia="FangSong_GB2312" w:cs="FangSong_GB2312"/>
                <w:color w:val="auto"/>
                <w:spacing w:val="-61"/>
                <w:sz w:val="24"/>
                <w:szCs w:val="24"/>
                <w:highlight w:val="none"/>
              </w:rPr>
              <w:t xml:space="preserve"> </w:t>
            </w:r>
            <w:r>
              <w:rPr>
                <w:rFonts w:ascii="FangSong_GB2312" w:hAnsi="FangSong_GB2312" w:eastAsia="FangSong_GB2312" w:cs="FangSong_GB2312"/>
                <w:color w:val="auto"/>
                <w:spacing w:val="18"/>
                <w:sz w:val="24"/>
                <w:szCs w:val="24"/>
                <w:highlight w:val="none"/>
              </w:rPr>
              <w:t>营力</w:t>
            </w:r>
            <w:r>
              <w:rPr>
                <w:rFonts w:ascii="FangSong_GB2312" w:hAnsi="FangSong_GB2312" w:eastAsia="FangSong_GB2312" w:cs="FangSong_GB2312"/>
                <w:color w:val="auto"/>
                <w:spacing w:val="-4"/>
                <w:sz w:val="24"/>
                <w:szCs w:val="24"/>
                <w:highlight w:val="none"/>
              </w:rPr>
              <w:t>量。</w:t>
            </w:r>
          </w:p>
        </w:tc>
      </w:tr>
      <w:tr w14:paraId="3552C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3" w:hRule="atLeast"/>
        </w:trPr>
        <w:tc>
          <w:tcPr>
            <w:tcW w:w="778" w:type="dxa"/>
            <w:noWrap w:val="0"/>
            <w:vAlign w:val="top"/>
          </w:tcPr>
          <w:p w14:paraId="0895D87E">
            <w:pPr>
              <w:pStyle w:val="56"/>
              <w:spacing w:line="248" w:lineRule="auto"/>
              <w:rPr>
                <w:color w:val="auto"/>
                <w:highlight w:val="none"/>
              </w:rPr>
            </w:pPr>
          </w:p>
          <w:p w14:paraId="6EC7E164">
            <w:pPr>
              <w:pStyle w:val="56"/>
              <w:spacing w:line="248" w:lineRule="auto"/>
              <w:rPr>
                <w:color w:val="auto"/>
                <w:highlight w:val="none"/>
              </w:rPr>
            </w:pPr>
          </w:p>
          <w:p w14:paraId="01DBE865">
            <w:pPr>
              <w:pStyle w:val="56"/>
              <w:spacing w:line="248" w:lineRule="auto"/>
              <w:rPr>
                <w:color w:val="auto"/>
                <w:highlight w:val="none"/>
              </w:rPr>
            </w:pPr>
          </w:p>
          <w:p w14:paraId="2DCA4461">
            <w:pPr>
              <w:pStyle w:val="56"/>
              <w:spacing w:line="248" w:lineRule="auto"/>
              <w:rPr>
                <w:color w:val="auto"/>
                <w:highlight w:val="none"/>
              </w:rPr>
            </w:pPr>
          </w:p>
          <w:p w14:paraId="3F83513B">
            <w:pPr>
              <w:pStyle w:val="56"/>
              <w:spacing w:line="248" w:lineRule="auto"/>
              <w:rPr>
                <w:color w:val="auto"/>
                <w:highlight w:val="none"/>
              </w:rPr>
            </w:pPr>
          </w:p>
          <w:p w14:paraId="5AE9BB84">
            <w:pPr>
              <w:pStyle w:val="56"/>
              <w:spacing w:line="248" w:lineRule="auto"/>
              <w:rPr>
                <w:color w:val="auto"/>
                <w:highlight w:val="none"/>
              </w:rPr>
            </w:pPr>
          </w:p>
          <w:p w14:paraId="189C4CDA">
            <w:pPr>
              <w:pStyle w:val="56"/>
              <w:spacing w:line="248" w:lineRule="auto"/>
              <w:rPr>
                <w:color w:val="auto"/>
                <w:highlight w:val="none"/>
              </w:rPr>
            </w:pPr>
          </w:p>
          <w:p w14:paraId="7DD3EBA2">
            <w:pPr>
              <w:pStyle w:val="56"/>
              <w:spacing w:line="248" w:lineRule="auto"/>
              <w:rPr>
                <w:color w:val="auto"/>
                <w:highlight w:val="none"/>
              </w:rPr>
            </w:pPr>
          </w:p>
          <w:p w14:paraId="7BB27078">
            <w:pPr>
              <w:pStyle w:val="56"/>
              <w:spacing w:line="248" w:lineRule="auto"/>
              <w:rPr>
                <w:color w:val="auto"/>
                <w:highlight w:val="none"/>
              </w:rPr>
            </w:pPr>
          </w:p>
          <w:p w14:paraId="42B35B9C">
            <w:pPr>
              <w:pStyle w:val="56"/>
              <w:spacing w:line="248" w:lineRule="auto"/>
              <w:rPr>
                <w:color w:val="auto"/>
                <w:highlight w:val="none"/>
              </w:rPr>
            </w:pPr>
          </w:p>
          <w:p w14:paraId="054B5CB3">
            <w:pPr>
              <w:pStyle w:val="56"/>
              <w:spacing w:line="248" w:lineRule="auto"/>
              <w:rPr>
                <w:color w:val="auto"/>
                <w:highlight w:val="none"/>
              </w:rPr>
            </w:pPr>
          </w:p>
          <w:p w14:paraId="1F8A5D30">
            <w:pPr>
              <w:pStyle w:val="56"/>
              <w:spacing w:line="248" w:lineRule="auto"/>
              <w:rPr>
                <w:color w:val="auto"/>
                <w:highlight w:val="none"/>
              </w:rPr>
            </w:pPr>
          </w:p>
          <w:p w14:paraId="614342A2">
            <w:pPr>
              <w:pStyle w:val="56"/>
              <w:spacing w:line="249" w:lineRule="auto"/>
              <w:rPr>
                <w:color w:val="auto"/>
                <w:highlight w:val="none"/>
              </w:rPr>
            </w:pPr>
          </w:p>
          <w:p w14:paraId="4A992F73">
            <w:pPr>
              <w:pStyle w:val="56"/>
              <w:spacing w:line="249" w:lineRule="auto"/>
              <w:rPr>
                <w:color w:val="auto"/>
                <w:highlight w:val="none"/>
              </w:rPr>
            </w:pPr>
          </w:p>
          <w:p w14:paraId="4C4F6A84">
            <w:pPr>
              <w:pStyle w:val="56"/>
              <w:spacing w:line="249" w:lineRule="auto"/>
              <w:rPr>
                <w:color w:val="auto"/>
                <w:highlight w:val="none"/>
              </w:rPr>
            </w:pPr>
          </w:p>
          <w:p w14:paraId="3D98C8A4">
            <w:pPr>
              <w:pStyle w:val="56"/>
              <w:spacing w:line="249" w:lineRule="auto"/>
              <w:rPr>
                <w:color w:val="auto"/>
                <w:highlight w:val="none"/>
              </w:rPr>
            </w:pPr>
          </w:p>
          <w:p w14:paraId="140A7E99">
            <w:pPr>
              <w:spacing w:before="69" w:line="315" w:lineRule="exact"/>
              <w:ind w:left="329"/>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4</w:t>
            </w:r>
          </w:p>
        </w:tc>
        <w:tc>
          <w:tcPr>
            <w:tcW w:w="959" w:type="dxa"/>
            <w:noWrap w:val="0"/>
            <w:vAlign w:val="top"/>
          </w:tcPr>
          <w:p w14:paraId="73667DB0">
            <w:pPr>
              <w:pStyle w:val="56"/>
              <w:rPr>
                <w:color w:val="auto"/>
                <w:highlight w:val="none"/>
              </w:rPr>
            </w:pPr>
          </w:p>
          <w:p w14:paraId="08A9F26C">
            <w:pPr>
              <w:pStyle w:val="56"/>
              <w:rPr>
                <w:color w:val="auto"/>
                <w:highlight w:val="none"/>
              </w:rPr>
            </w:pPr>
          </w:p>
          <w:p w14:paraId="2C98498F">
            <w:pPr>
              <w:pStyle w:val="56"/>
              <w:rPr>
                <w:color w:val="auto"/>
                <w:highlight w:val="none"/>
              </w:rPr>
            </w:pPr>
          </w:p>
          <w:p w14:paraId="2FB53D7E">
            <w:pPr>
              <w:pStyle w:val="56"/>
              <w:rPr>
                <w:color w:val="auto"/>
                <w:highlight w:val="none"/>
              </w:rPr>
            </w:pPr>
          </w:p>
          <w:p w14:paraId="3B2EDACD">
            <w:pPr>
              <w:pStyle w:val="56"/>
              <w:rPr>
                <w:color w:val="auto"/>
                <w:highlight w:val="none"/>
              </w:rPr>
            </w:pPr>
          </w:p>
          <w:p w14:paraId="16EF6D4D">
            <w:pPr>
              <w:pStyle w:val="56"/>
              <w:rPr>
                <w:color w:val="auto"/>
                <w:highlight w:val="none"/>
              </w:rPr>
            </w:pPr>
          </w:p>
          <w:p w14:paraId="385D2BF5">
            <w:pPr>
              <w:pStyle w:val="56"/>
              <w:rPr>
                <w:color w:val="auto"/>
                <w:highlight w:val="none"/>
              </w:rPr>
            </w:pPr>
          </w:p>
          <w:p w14:paraId="50BBF643">
            <w:pPr>
              <w:pStyle w:val="56"/>
              <w:rPr>
                <w:color w:val="auto"/>
                <w:highlight w:val="none"/>
              </w:rPr>
            </w:pPr>
          </w:p>
          <w:p w14:paraId="6CB0238D">
            <w:pPr>
              <w:pStyle w:val="56"/>
              <w:rPr>
                <w:color w:val="auto"/>
                <w:highlight w:val="none"/>
              </w:rPr>
            </w:pPr>
          </w:p>
          <w:p w14:paraId="27D77D31">
            <w:pPr>
              <w:pStyle w:val="56"/>
              <w:rPr>
                <w:color w:val="auto"/>
                <w:highlight w:val="none"/>
              </w:rPr>
            </w:pPr>
          </w:p>
          <w:p w14:paraId="69530120">
            <w:pPr>
              <w:pStyle w:val="56"/>
              <w:rPr>
                <w:color w:val="auto"/>
                <w:highlight w:val="none"/>
              </w:rPr>
            </w:pPr>
          </w:p>
          <w:p w14:paraId="1E9C8998">
            <w:pPr>
              <w:pStyle w:val="56"/>
              <w:rPr>
                <w:color w:val="auto"/>
                <w:highlight w:val="none"/>
              </w:rPr>
            </w:pPr>
          </w:p>
          <w:p w14:paraId="46231AE5">
            <w:pPr>
              <w:pStyle w:val="56"/>
              <w:rPr>
                <w:color w:val="auto"/>
                <w:highlight w:val="none"/>
              </w:rPr>
            </w:pPr>
          </w:p>
          <w:p w14:paraId="7CC05816">
            <w:pPr>
              <w:pStyle w:val="56"/>
              <w:spacing w:line="241" w:lineRule="auto"/>
              <w:rPr>
                <w:color w:val="auto"/>
                <w:highlight w:val="none"/>
              </w:rPr>
            </w:pPr>
          </w:p>
          <w:p w14:paraId="22FE3EAF">
            <w:pPr>
              <w:pStyle w:val="56"/>
              <w:spacing w:line="241" w:lineRule="auto"/>
              <w:rPr>
                <w:color w:val="auto"/>
                <w:highlight w:val="none"/>
              </w:rPr>
            </w:pPr>
          </w:p>
          <w:p w14:paraId="50E25F61">
            <w:pPr>
              <w:pStyle w:val="56"/>
              <w:spacing w:line="241" w:lineRule="auto"/>
              <w:rPr>
                <w:color w:val="auto"/>
                <w:highlight w:val="none"/>
              </w:rPr>
            </w:pPr>
          </w:p>
          <w:p w14:paraId="2E9E9FCE">
            <w:pPr>
              <w:spacing w:before="78" w:line="241" w:lineRule="auto"/>
              <w:ind w:left="243" w:right="117" w:hanging="112"/>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有服务</w:t>
            </w:r>
            <w:r>
              <w:rPr>
                <w:rFonts w:ascii="FangSong_GB2312" w:hAnsi="FangSong_GB2312" w:eastAsia="FangSong_GB2312" w:cs="FangSong_GB2312"/>
                <w:color w:val="auto"/>
                <w:spacing w:val="-4"/>
                <w:sz w:val="24"/>
                <w:szCs w:val="24"/>
                <w:highlight w:val="none"/>
              </w:rPr>
              <w:t>标识</w:t>
            </w:r>
          </w:p>
        </w:tc>
        <w:tc>
          <w:tcPr>
            <w:tcW w:w="1831" w:type="dxa"/>
            <w:noWrap w:val="0"/>
            <w:vAlign w:val="top"/>
          </w:tcPr>
          <w:p w14:paraId="08DC4652">
            <w:pPr>
              <w:pStyle w:val="56"/>
              <w:spacing w:line="252" w:lineRule="auto"/>
              <w:rPr>
                <w:color w:val="auto"/>
                <w:highlight w:val="none"/>
              </w:rPr>
            </w:pPr>
          </w:p>
          <w:p w14:paraId="2235C1D7">
            <w:pPr>
              <w:pStyle w:val="56"/>
              <w:spacing w:line="252" w:lineRule="auto"/>
              <w:rPr>
                <w:color w:val="auto"/>
                <w:highlight w:val="none"/>
              </w:rPr>
            </w:pPr>
          </w:p>
          <w:p w14:paraId="0D53180B">
            <w:pPr>
              <w:pStyle w:val="56"/>
              <w:spacing w:line="252" w:lineRule="auto"/>
              <w:rPr>
                <w:color w:val="auto"/>
                <w:highlight w:val="none"/>
              </w:rPr>
            </w:pPr>
          </w:p>
          <w:p w14:paraId="60C280AC">
            <w:pPr>
              <w:pStyle w:val="56"/>
              <w:spacing w:line="252" w:lineRule="auto"/>
              <w:rPr>
                <w:color w:val="auto"/>
                <w:highlight w:val="none"/>
              </w:rPr>
            </w:pPr>
          </w:p>
          <w:p w14:paraId="4335E1C9">
            <w:pPr>
              <w:pStyle w:val="56"/>
              <w:spacing w:line="252" w:lineRule="auto"/>
              <w:rPr>
                <w:color w:val="auto"/>
                <w:highlight w:val="none"/>
              </w:rPr>
            </w:pPr>
          </w:p>
          <w:p w14:paraId="58D73808">
            <w:pPr>
              <w:pStyle w:val="56"/>
              <w:spacing w:line="252" w:lineRule="auto"/>
              <w:rPr>
                <w:color w:val="auto"/>
                <w:highlight w:val="none"/>
              </w:rPr>
            </w:pPr>
          </w:p>
          <w:p w14:paraId="6BDA1FAE">
            <w:pPr>
              <w:pStyle w:val="56"/>
              <w:spacing w:line="252" w:lineRule="auto"/>
              <w:rPr>
                <w:color w:val="auto"/>
                <w:highlight w:val="none"/>
              </w:rPr>
            </w:pPr>
          </w:p>
          <w:p w14:paraId="14408B22">
            <w:pPr>
              <w:pStyle w:val="56"/>
              <w:spacing w:line="253" w:lineRule="auto"/>
              <w:rPr>
                <w:color w:val="auto"/>
                <w:highlight w:val="none"/>
              </w:rPr>
            </w:pPr>
          </w:p>
          <w:p w14:paraId="73F1BCB8">
            <w:pPr>
              <w:pStyle w:val="56"/>
              <w:spacing w:line="253" w:lineRule="auto"/>
              <w:rPr>
                <w:color w:val="auto"/>
                <w:highlight w:val="none"/>
              </w:rPr>
            </w:pPr>
          </w:p>
          <w:p w14:paraId="3946ED88">
            <w:pPr>
              <w:pStyle w:val="56"/>
              <w:spacing w:line="253" w:lineRule="auto"/>
              <w:rPr>
                <w:color w:val="auto"/>
                <w:highlight w:val="none"/>
              </w:rPr>
            </w:pPr>
          </w:p>
          <w:p w14:paraId="29EA4B5F">
            <w:pPr>
              <w:pStyle w:val="56"/>
              <w:spacing w:line="253" w:lineRule="auto"/>
              <w:rPr>
                <w:color w:val="auto"/>
                <w:highlight w:val="none"/>
              </w:rPr>
            </w:pPr>
          </w:p>
          <w:p w14:paraId="4A3EC0B7">
            <w:pPr>
              <w:pStyle w:val="56"/>
              <w:spacing w:line="253" w:lineRule="auto"/>
              <w:rPr>
                <w:color w:val="auto"/>
                <w:highlight w:val="none"/>
              </w:rPr>
            </w:pPr>
          </w:p>
          <w:p w14:paraId="7CCE2D17">
            <w:pPr>
              <w:pStyle w:val="56"/>
              <w:spacing w:line="253" w:lineRule="auto"/>
              <w:rPr>
                <w:color w:val="auto"/>
                <w:highlight w:val="none"/>
              </w:rPr>
            </w:pPr>
          </w:p>
          <w:p w14:paraId="1ECBFFBB">
            <w:pPr>
              <w:pStyle w:val="56"/>
              <w:spacing w:line="253" w:lineRule="auto"/>
              <w:rPr>
                <w:color w:val="auto"/>
                <w:highlight w:val="none"/>
              </w:rPr>
            </w:pPr>
          </w:p>
          <w:p w14:paraId="1A58F82A">
            <w:pPr>
              <w:spacing w:before="78"/>
              <w:ind w:left="126" w:right="89"/>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0"/>
                <w:sz w:val="24"/>
                <w:szCs w:val="24"/>
                <w:highlight w:val="none"/>
              </w:rPr>
              <w:t>统一命名规则、统一视觉识别，统一服务清单、</w:t>
            </w:r>
            <w:r>
              <w:rPr>
                <w:rFonts w:ascii="FangSong_GB2312" w:hAnsi="FangSong_GB2312" w:eastAsia="FangSong_GB2312" w:cs="FangSong_GB2312"/>
                <w:color w:val="auto"/>
                <w:spacing w:val="-4"/>
                <w:sz w:val="24"/>
                <w:szCs w:val="24"/>
                <w:highlight w:val="none"/>
              </w:rPr>
              <w:t>统一制度规范</w:t>
            </w:r>
          </w:p>
        </w:tc>
        <w:tc>
          <w:tcPr>
            <w:tcW w:w="3898" w:type="dxa"/>
            <w:noWrap w:val="0"/>
            <w:vAlign w:val="top"/>
          </w:tcPr>
          <w:p w14:paraId="0ED46345">
            <w:pPr>
              <w:pStyle w:val="56"/>
              <w:spacing w:line="242" w:lineRule="auto"/>
              <w:rPr>
                <w:color w:val="auto"/>
                <w:highlight w:val="none"/>
              </w:rPr>
            </w:pPr>
          </w:p>
          <w:p w14:paraId="7C4A0F38">
            <w:pPr>
              <w:spacing w:before="78"/>
              <w:ind w:left="115" w:right="103" w:firstLine="18"/>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7"/>
                <w:sz w:val="24"/>
                <w:szCs w:val="24"/>
                <w:highlight w:val="none"/>
              </w:rPr>
              <w:t>1.</w:t>
            </w:r>
            <w:r>
              <w:rPr>
                <w:rFonts w:ascii="FangSong_GB2312" w:hAnsi="FangSong_GB2312" w:eastAsia="FangSong_GB2312" w:cs="FangSong_GB2312"/>
                <w:color w:val="auto"/>
                <w:spacing w:val="7"/>
                <w:sz w:val="24"/>
                <w:szCs w:val="24"/>
                <w:highlight w:val="none"/>
              </w:rPr>
              <w:t>使用统一的标识标牌字体和徽标</w:t>
            </w:r>
            <w:r>
              <w:rPr>
                <w:rFonts w:ascii="FangSong_GB2312" w:hAnsi="FangSong_GB2312" w:eastAsia="FangSong_GB2312" w:cs="FangSong_GB2312"/>
                <w:color w:val="auto"/>
                <w:spacing w:val="4"/>
                <w:sz w:val="24"/>
                <w:szCs w:val="24"/>
                <w:highlight w:val="none"/>
              </w:rPr>
              <w:t>图案，室内装修以蓝底白色为主基</w:t>
            </w:r>
            <w:r>
              <w:rPr>
                <w:rFonts w:ascii="FangSong_GB2312" w:hAnsi="FangSong_GB2312" w:eastAsia="FangSong_GB2312" w:cs="FangSong_GB2312"/>
                <w:color w:val="auto"/>
                <w:spacing w:val="-1"/>
                <w:sz w:val="24"/>
                <w:szCs w:val="24"/>
                <w:highlight w:val="none"/>
              </w:rPr>
              <w:t>调，形成整洁统一的视觉识别效果</w:t>
            </w:r>
            <w:r>
              <w:rPr>
                <w:rFonts w:ascii="Times New Roman" w:hAnsi="Times New Roman" w:eastAsia="Times New Roman" w:cs="Times New Roman"/>
                <w:color w:val="auto"/>
                <w:spacing w:val="-1"/>
                <w:sz w:val="24"/>
                <w:szCs w:val="24"/>
                <w:highlight w:val="none"/>
              </w:rPr>
              <w:t>;</w:t>
            </w:r>
          </w:p>
          <w:p w14:paraId="7FEA1018">
            <w:pPr>
              <w:spacing w:before="5" w:line="239" w:lineRule="auto"/>
              <w:ind w:left="116" w:right="103" w:hanging="6"/>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6"/>
                <w:sz w:val="24"/>
                <w:szCs w:val="24"/>
                <w:highlight w:val="none"/>
              </w:rPr>
              <w:t xml:space="preserve">2. </w:t>
            </w:r>
            <w:r>
              <w:rPr>
                <w:rFonts w:ascii="FangSong_GB2312" w:hAnsi="FangSong_GB2312" w:eastAsia="FangSong_GB2312" w:cs="FangSong_GB2312"/>
                <w:color w:val="auto"/>
                <w:spacing w:val="6"/>
                <w:sz w:val="24"/>
                <w:szCs w:val="24"/>
                <w:highlight w:val="none"/>
              </w:rPr>
              <w:t>门</w:t>
            </w:r>
            <w:r>
              <w:rPr>
                <w:rFonts w:ascii="FangSong_GB2312" w:hAnsi="FangSong_GB2312" w:eastAsia="FangSong_GB2312" w:cs="FangSong_GB2312"/>
                <w:color w:val="auto"/>
                <w:spacing w:val="-43"/>
                <w:sz w:val="24"/>
                <w:szCs w:val="24"/>
                <w:highlight w:val="none"/>
              </w:rPr>
              <w:t xml:space="preserve"> </w:t>
            </w:r>
            <w:r>
              <w:rPr>
                <w:rFonts w:ascii="FangSong_GB2312" w:hAnsi="FangSong_GB2312" w:eastAsia="FangSong_GB2312" w:cs="FangSong_GB2312"/>
                <w:color w:val="auto"/>
                <w:spacing w:val="6"/>
                <w:sz w:val="24"/>
                <w:szCs w:val="24"/>
                <w:highlight w:val="none"/>
              </w:rPr>
              <w:t>口上方按规范悬挂</w:t>
            </w:r>
            <w:r>
              <w:rPr>
                <w:rFonts w:ascii="Times New Roman" w:hAnsi="Times New Roman" w:eastAsia="Times New Roman" w:cs="Times New Roman"/>
                <w:color w:val="auto"/>
                <w:spacing w:val="6"/>
                <w:sz w:val="24"/>
                <w:szCs w:val="24"/>
                <w:highlight w:val="none"/>
              </w:rPr>
              <w:t>“</w:t>
            </w:r>
            <w:r>
              <w:rPr>
                <w:rFonts w:ascii="Times New Roman" w:hAnsi="Times New Roman" w:eastAsia="Times New Roman" w:cs="Times New Roman"/>
                <w:color w:val="auto"/>
                <w:spacing w:val="-28"/>
                <w:sz w:val="24"/>
                <w:szCs w:val="24"/>
                <w:highlight w:val="none"/>
              </w:rPr>
              <w:t xml:space="preserve"> </w:t>
            </w:r>
            <w:r>
              <w:rPr>
                <w:rFonts w:ascii="FangSong_GB2312" w:hAnsi="FangSong_GB2312" w:eastAsia="FangSong_GB2312" w:cs="FangSong_GB2312"/>
                <w:color w:val="auto"/>
                <w:spacing w:val="6"/>
                <w:sz w:val="24"/>
                <w:szCs w:val="24"/>
                <w:highlight w:val="none"/>
              </w:rPr>
              <w:t>就业服务</w:t>
            </w:r>
            <w:r>
              <w:rPr>
                <w:rFonts w:ascii="FangSong_GB2312" w:hAnsi="FangSong_GB2312" w:eastAsia="FangSong_GB2312" w:cs="FangSong_GB2312"/>
                <w:color w:val="auto"/>
                <w:spacing w:val="13"/>
                <w:sz w:val="24"/>
                <w:szCs w:val="24"/>
                <w:highlight w:val="none"/>
              </w:rPr>
              <w:t>站</w:t>
            </w:r>
            <w:r>
              <w:rPr>
                <w:rFonts w:ascii="Times New Roman" w:hAnsi="Times New Roman" w:eastAsia="Times New Roman" w:cs="Times New Roman"/>
                <w:color w:val="auto"/>
                <w:spacing w:val="13"/>
                <w:sz w:val="24"/>
                <w:szCs w:val="24"/>
                <w:highlight w:val="none"/>
              </w:rPr>
              <w:t>”</w:t>
            </w:r>
            <w:r>
              <w:rPr>
                <w:rFonts w:ascii="FangSong_GB2312" w:hAnsi="FangSong_GB2312" w:eastAsia="FangSong_GB2312" w:cs="FangSong_GB2312"/>
                <w:color w:val="auto"/>
                <w:spacing w:val="13"/>
                <w:sz w:val="24"/>
                <w:szCs w:val="24"/>
                <w:highlight w:val="none"/>
              </w:rPr>
              <w:t>牌匾；服务前台后方设置背景</w:t>
            </w:r>
            <w:r>
              <w:rPr>
                <w:rFonts w:ascii="FangSong_GB2312" w:hAnsi="FangSong_GB2312" w:eastAsia="FangSong_GB2312" w:cs="FangSong_GB2312"/>
                <w:color w:val="auto"/>
                <w:spacing w:val="3"/>
                <w:sz w:val="24"/>
                <w:szCs w:val="24"/>
                <w:highlight w:val="none"/>
              </w:rPr>
              <w:t>墙，明显标识</w:t>
            </w:r>
            <w:r>
              <w:rPr>
                <w:rFonts w:ascii="Times New Roman" w:hAnsi="Times New Roman" w:eastAsia="Times New Roman" w:cs="Times New Roman"/>
                <w:color w:val="auto"/>
                <w:spacing w:val="3"/>
                <w:sz w:val="24"/>
                <w:szCs w:val="24"/>
                <w:highlight w:val="none"/>
              </w:rPr>
              <w:t>“</w:t>
            </w:r>
            <w:r>
              <w:rPr>
                <w:rFonts w:ascii="Times New Roman" w:hAnsi="Times New Roman" w:eastAsia="Times New Roman" w:cs="Times New Roman"/>
                <w:color w:val="auto"/>
                <w:spacing w:val="-31"/>
                <w:sz w:val="24"/>
                <w:szCs w:val="24"/>
                <w:highlight w:val="none"/>
              </w:rPr>
              <w:t xml:space="preserve"> </w:t>
            </w:r>
            <w:r>
              <w:rPr>
                <w:rFonts w:ascii="FangSong_GB2312" w:hAnsi="FangSong_GB2312" w:eastAsia="FangSong_GB2312" w:cs="FangSong_GB2312"/>
                <w:color w:val="auto"/>
                <w:spacing w:val="3"/>
                <w:sz w:val="24"/>
                <w:szCs w:val="24"/>
                <w:highlight w:val="none"/>
              </w:rPr>
              <w:t>就业服务站</w:t>
            </w:r>
            <w:r>
              <w:rPr>
                <w:rFonts w:ascii="Times New Roman" w:hAnsi="Times New Roman" w:eastAsia="Times New Roman" w:cs="Times New Roman"/>
                <w:color w:val="auto"/>
                <w:spacing w:val="3"/>
                <w:sz w:val="24"/>
                <w:szCs w:val="24"/>
                <w:highlight w:val="none"/>
              </w:rPr>
              <w:t>”</w:t>
            </w:r>
            <w:r>
              <w:rPr>
                <w:rFonts w:ascii="Times New Roman" w:hAnsi="Times New Roman" w:eastAsia="Times New Roman" w:cs="Times New Roman"/>
                <w:color w:val="auto"/>
                <w:spacing w:val="-39"/>
                <w:sz w:val="24"/>
                <w:szCs w:val="24"/>
                <w:highlight w:val="none"/>
              </w:rPr>
              <w:t xml:space="preserve"> </w:t>
            </w:r>
            <w:r>
              <w:rPr>
                <w:rFonts w:ascii="FangSong_GB2312" w:hAnsi="FangSong_GB2312" w:eastAsia="FangSong_GB2312" w:cs="FangSong_GB2312"/>
                <w:color w:val="auto"/>
                <w:spacing w:val="3"/>
                <w:sz w:val="24"/>
                <w:szCs w:val="24"/>
                <w:highlight w:val="none"/>
              </w:rPr>
              <w:t>和主要</w:t>
            </w:r>
            <w:r>
              <w:rPr>
                <w:rFonts w:ascii="FangSong_GB2312" w:hAnsi="FangSong_GB2312" w:eastAsia="FangSong_GB2312" w:cs="FangSong_GB2312"/>
                <w:color w:val="auto"/>
                <w:spacing w:val="-3"/>
                <w:sz w:val="24"/>
                <w:szCs w:val="24"/>
                <w:highlight w:val="none"/>
              </w:rPr>
              <w:t>服务内容；</w:t>
            </w:r>
          </w:p>
          <w:p w14:paraId="305E0D43">
            <w:pPr>
              <w:spacing w:before="5" w:line="239" w:lineRule="auto"/>
              <w:ind w:left="117" w:right="103" w:hanging="2"/>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7"/>
                <w:sz w:val="24"/>
                <w:szCs w:val="24"/>
                <w:highlight w:val="none"/>
              </w:rPr>
              <w:t>3.</w:t>
            </w:r>
            <w:r>
              <w:rPr>
                <w:rFonts w:ascii="FangSong_GB2312" w:hAnsi="FangSong_GB2312" w:eastAsia="FangSong_GB2312" w:cs="FangSong_GB2312"/>
                <w:color w:val="auto"/>
                <w:spacing w:val="-7"/>
                <w:sz w:val="24"/>
                <w:szCs w:val="24"/>
                <w:highlight w:val="none"/>
              </w:rPr>
              <w:t>服务场所内张贴服务站简介、服务</w:t>
            </w:r>
            <w:r>
              <w:rPr>
                <w:rFonts w:ascii="FangSong_GB2312" w:hAnsi="FangSong_GB2312" w:eastAsia="FangSong_GB2312" w:cs="FangSong_GB2312"/>
                <w:color w:val="auto"/>
                <w:spacing w:val="4"/>
                <w:sz w:val="24"/>
                <w:szCs w:val="24"/>
                <w:highlight w:val="none"/>
              </w:rPr>
              <w:t>网点分布图等，张贴或悬挂服务事项清单，对各功能区域规范服务标</w:t>
            </w:r>
            <w:r>
              <w:rPr>
                <w:rFonts w:ascii="FangSong_GB2312" w:hAnsi="FangSong_GB2312" w:eastAsia="FangSong_GB2312" w:cs="FangSong_GB2312"/>
                <w:color w:val="auto"/>
                <w:spacing w:val="-2"/>
                <w:sz w:val="24"/>
                <w:szCs w:val="24"/>
                <w:highlight w:val="none"/>
              </w:rPr>
              <w:t>识、标语和服务指引；</w:t>
            </w:r>
          </w:p>
          <w:p w14:paraId="1CA09AF6">
            <w:pPr>
              <w:spacing w:before="2" w:line="247" w:lineRule="auto"/>
              <w:ind w:left="113" w:right="66" w:hanging="4"/>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4"/>
                <w:sz w:val="24"/>
                <w:szCs w:val="24"/>
                <w:highlight w:val="none"/>
              </w:rPr>
              <w:t>4.</w:t>
            </w:r>
            <w:r>
              <w:rPr>
                <w:rFonts w:ascii="FangSong_GB2312" w:hAnsi="FangSong_GB2312" w:eastAsia="FangSong_GB2312" w:cs="FangSong_GB2312"/>
                <w:color w:val="auto"/>
                <w:spacing w:val="-4"/>
                <w:sz w:val="24"/>
                <w:szCs w:val="24"/>
                <w:highlight w:val="none"/>
              </w:rPr>
              <w:t>服务场所门口张贴《服务时间》，</w:t>
            </w:r>
            <w:r>
              <w:rPr>
                <w:rFonts w:ascii="FangSong_GB2312" w:hAnsi="FangSong_GB2312" w:eastAsia="FangSong_GB2312" w:cs="FangSong_GB2312"/>
                <w:color w:val="auto"/>
                <w:spacing w:val="5"/>
                <w:sz w:val="24"/>
                <w:szCs w:val="24"/>
                <w:highlight w:val="none"/>
              </w:rPr>
              <w:t>实行服务时间告知和服务监督电话</w:t>
            </w:r>
            <w:r>
              <w:rPr>
                <w:rFonts w:ascii="FangSong_GB2312" w:hAnsi="FangSong_GB2312" w:eastAsia="FangSong_GB2312" w:cs="FangSong_GB2312"/>
                <w:color w:val="auto"/>
                <w:spacing w:val="-3"/>
                <w:sz w:val="24"/>
                <w:szCs w:val="24"/>
                <w:highlight w:val="none"/>
              </w:rPr>
              <w:t>公开；</w:t>
            </w:r>
          </w:p>
          <w:p w14:paraId="6F0F231F">
            <w:pPr>
              <w:spacing w:before="6" w:line="233" w:lineRule="auto"/>
              <w:ind w:left="110" w:right="103" w:firstLine="6"/>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7"/>
                <w:sz w:val="24"/>
                <w:szCs w:val="24"/>
                <w:highlight w:val="none"/>
              </w:rPr>
              <w:t>5.</w:t>
            </w:r>
            <w:r>
              <w:rPr>
                <w:rFonts w:ascii="FangSong_GB2312" w:hAnsi="FangSong_GB2312" w:eastAsia="FangSong_GB2312" w:cs="FangSong_GB2312"/>
                <w:color w:val="auto"/>
                <w:spacing w:val="-7"/>
                <w:sz w:val="24"/>
                <w:szCs w:val="24"/>
                <w:highlight w:val="none"/>
              </w:rPr>
              <w:t>服务场所内张贴《服务团队》，实</w:t>
            </w:r>
            <w:r>
              <w:rPr>
                <w:rFonts w:ascii="FangSong_GB2312" w:hAnsi="FangSong_GB2312" w:eastAsia="FangSong_GB2312" w:cs="FangSong_GB2312"/>
                <w:color w:val="auto"/>
                <w:spacing w:val="5"/>
                <w:sz w:val="24"/>
                <w:szCs w:val="24"/>
                <w:highlight w:val="none"/>
              </w:rPr>
              <w:t>行服务人员身份和电话公开；张贴</w:t>
            </w:r>
            <w:r>
              <w:rPr>
                <w:rFonts w:ascii="FangSong_GB2312" w:hAnsi="FangSong_GB2312" w:eastAsia="FangSong_GB2312" w:cs="FangSong_GB2312"/>
                <w:color w:val="auto"/>
                <w:spacing w:val="1"/>
                <w:sz w:val="24"/>
                <w:szCs w:val="24"/>
                <w:highlight w:val="none"/>
              </w:rPr>
              <w:t>《管理服务规范》</w:t>
            </w:r>
            <w:r>
              <w:rPr>
                <w:rFonts w:ascii="Times New Roman" w:hAnsi="Times New Roman" w:eastAsia="Times New Roman" w:cs="Times New Roman"/>
                <w:color w:val="auto"/>
                <w:spacing w:val="1"/>
                <w:sz w:val="24"/>
                <w:szCs w:val="24"/>
                <w:highlight w:val="none"/>
              </w:rPr>
              <w:t>,</w:t>
            </w:r>
            <w:r>
              <w:rPr>
                <w:rFonts w:ascii="FangSong_GB2312" w:hAnsi="FangSong_GB2312" w:eastAsia="FangSong_GB2312" w:cs="FangSong_GB2312"/>
                <w:color w:val="auto"/>
                <w:spacing w:val="1"/>
                <w:sz w:val="24"/>
                <w:szCs w:val="24"/>
                <w:highlight w:val="none"/>
              </w:rPr>
              <w:t>公开服务要求，</w:t>
            </w:r>
            <w:r>
              <w:rPr>
                <w:rFonts w:ascii="FangSong_GB2312" w:hAnsi="FangSong_GB2312" w:eastAsia="FangSong_GB2312" w:cs="FangSong_GB2312"/>
                <w:color w:val="auto"/>
                <w:spacing w:val="-1"/>
                <w:sz w:val="24"/>
                <w:szCs w:val="24"/>
                <w:highlight w:val="none"/>
              </w:rPr>
              <w:t>接受群众监督；</w:t>
            </w:r>
          </w:p>
          <w:p w14:paraId="7E1A225C">
            <w:pPr>
              <w:spacing w:line="246" w:lineRule="auto"/>
              <w:ind w:left="115" w:right="100"/>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7"/>
                <w:sz w:val="24"/>
                <w:szCs w:val="24"/>
                <w:highlight w:val="none"/>
              </w:rPr>
              <w:t>6.</w:t>
            </w:r>
            <w:r>
              <w:rPr>
                <w:rFonts w:ascii="FangSong_GB2312" w:hAnsi="FangSong_GB2312" w:eastAsia="FangSong_GB2312" w:cs="FangSong_GB2312"/>
                <w:color w:val="auto"/>
                <w:spacing w:val="-7"/>
                <w:sz w:val="24"/>
                <w:szCs w:val="24"/>
                <w:highlight w:val="none"/>
              </w:rPr>
              <w:t>在显眼位置张贴服务二维码（包括</w:t>
            </w:r>
            <w:r>
              <w:rPr>
                <w:rFonts w:ascii="FangSong_GB2312" w:hAnsi="FangSong_GB2312" w:eastAsia="FangSong_GB2312" w:cs="FangSong_GB2312"/>
                <w:color w:val="auto"/>
                <w:spacing w:val="4"/>
                <w:sz w:val="24"/>
                <w:szCs w:val="24"/>
                <w:highlight w:val="none"/>
              </w:rPr>
              <w:t>指定或认可的就业服务平台小程序</w:t>
            </w:r>
            <w:r>
              <w:rPr>
                <w:rFonts w:ascii="FangSong_GB2312" w:hAnsi="FangSong_GB2312" w:eastAsia="FangSong_GB2312" w:cs="FangSong_GB2312"/>
                <w:color w:val="auto"/>
                <w:spacing w:val="-5"/>
                <w:sz w:val="24"/>
                <w:szCs w:val="24"/>
                <w:highlight w:val="none"/>
              </w:rPr>
              <w:t>或</w:t>
            </w:r>
            <w:r>
              <w:rPr>
                <w:rFonts w:ascii="FangSong_GB2312" w:hAnsi="FangSong_GB2312" w:eastAsia="FangSong_GB2312" w:cs="FangSong_GB2312"/>
                <w:color w:val="auto"/>
                <w:spacing w:val="-58"/>
                <w:sz w:val="24"/>
                <w:szCs w:val="24"/>
                <w:highlight w:val="none"/>
              </w:rPr>
              <w:t xml:space="preserve"> </w:t>
            </w:r>
            <w:r>
              <w:rPr>
                <w:rFonts w:ascii="Times New Roman" w:hAnsi="Times New Roman" w:eastAsia="Times New Roman" w:cs="Times New Roman"/>
                <w:color w:val="auto"/>
                <w:spacing w:val="-5"/>
                <w:sz w:val="24"/>
                <w:szCs w:val="24"/>
                <w:highlight w:val="none"/>
              </w:rPr>
              <w:t>APP</w:t>
            </w:r>
            <w:r>
              <w:rPr>
                <w:rFonts w:ascii="Times New Roman" w:hAnsi="Times New Roman" w:eastAsia="Times New Roman" w:cs="Times New Roman"/>
                <w:color w:val="auto"/>
                <w:spacing w:val="31"/>
                <w:w w:val="101"/>
                <w:sz w:val="24"/>
                <w:szCs w:val="24"/>
                <w:highlight w:val="none"/>
              </w:rPr>
              <w:t xml:space="preserve"> </w:t>
            </w:r>
            <w:r>
              <w:rPr>
                <w:rFonts w:ascii="FangSong_GB2312" w:hAnsi="FangSong_GB2312" w:eastAsia="FangSong_GB2312" w:cs="FangSong_GB2312"/>
                <w:color w:val="auto"/>
                <w:spacing w:val="-5"/>
                <w:sz w:val="24"/>
                <w:szCs w:val="24"/>
                <w:highlight w:val="none"/>
              </w:rPr>
              <w:t>的服务二维码</w:t>
            </w:r>
            <w:r>
              <w:rPr>
                <w:rFonts w:ascii="FangSong_GB2312" w:hAnsi="FangSong_GB2312" w:eastAsia="FangSong_GB2312" w:cs="FangSong_GB2312"/>
                <w:color w:val="auto"/>
                <w:spacing w:val="16"/>
                <w:sz w:val="24"/>
                <w:szCs w:val="24"/>
                <w:highlight w:val="none"/>
              </w:rPr>
              <w:t>），</w:t>
            </w:r>
            <w:r>
              <w:rPr>
                <w:rFonts w:ascii="FangSong_GB2312" w:hAnsi="FangSong_GB2312" w:eastAsia="FangSong_GB2312" w:cs="FangSong_GB2312"/>
                <w:color w:val="auto"/>
                <w:spacing w:val="-5"/>
                <w:sz w:val="24"/>
                <w:szCs w:val="24"/>
                <w:highlight w:val="none"/>
              </w:rPr>
              <w:t>引导企业</w:t>
            </w:r>
            <w:r>
              <w:rPr>
                <w:rFonts w:ascii="FangSong_GB2312" w:hAnsi="FangSong_GB2312" w:eastAsia="FangSong_GB2312" w:cs="FangSong_GB2312"/>
                <w:color w:val="auto"/>
                <w:spacing w:val="-1"/>
                <w:sz w:val="24"/>
                <w:szCs w:val="24"/>
                <w:highlight w:val="none"/>
              </w:rPr>
              <w:t>或群众直接线上业务登记或办理</w:t>
            </w:r>
            <w:r>
              <w:rPr>
                <w:rFonts w:ascii="Times New Roman" w:hAnsi="Times New Roman" w:eastAsia="Times New Roman" w:cs="Times New Roman"/>
                <w:color w:val="auto"/>
                <w:spacing w:val="-1"/>
                <w:sz w:val="24"/>
                <w:szCs w:val="24"/>
                <w:highlight w:val="none"/>
              </w:rPr>
              <w:t>;</w:t>
            </w:r>
          </w:p>
          <w:p w14:paraId="474EDEBC">
            <w:pPr>
              <w:spacing w:before="4"/>
              <w:ind w:left="119" w:right="103" w:hanging="5"/>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7"/>
                <w:sz w:val="24"/>
                <w:szCs w:val="24"/>
                <w:highlight w:val="none"/>
              </w:rPr>
              <w:t>7.</w:t>
            </w:r>
            <w:r>
              <w:rPr>
                <w:rFonts w:ascii="FangSong_GB2312" w:hAnsi="FangSong_GB2312" w:eastAsia="FangSong_GB2312" w:cs="FangSong_GB2312"/>
                <w:color w:val="auto"/>
                <w:spacing w:val="-7"/>
                <w:sz w:val="24"/>
                <w:szCs w:val="24"/>
                <w:highlight w:val="none"/>
              </w:rPr>
              <w:t>工作人员统一着装，配置统一的服</w:t>
            </w:r>
            <w:r>
              <w:rPr>
                <w:rFonts w:ascii="FangSong_GB2312" w:hAnsi="FangSong_GB2312" w:eastAsia="FangSong_GB2312" w:cs="FangSong_GB2312"/>
                <w:color w:val="auto"/>
                <w:spacing w:val="4"/>
                <w:sz w:val="24"/>
                <w:szCs w:val="24"/>
                <w:highlight w:val="none"/>
              </w:rPr>
              <w:t>务马甲或服务服装，</w:t>
            </w:r>
            <w:r>
              <w:rPr>
                <w:rFonts w:hint="eastAsia" w:ascii="FangSong_GB2312" w:hAnsi="FangSong_GB2312" w:eastAsia="FangSong_GB2312" w:cs="FangSong_GB2312"/>
                <w:color w:val="auto"/>
                <w:spacing w:val="4"/>
                <w:sz w:val="24"/>
                <w:szCs w:val="24"/>
                <w:highlight w:val="none"/>
                <w:lang w:eastAsia="zh-CN"/>
              </w:rPr>
              <w:t>佩挂</w:t>
            </w:r>
            <w:r>
              <w:rPr>
                <w:rFonts w:ascii="FangSong_GB2312" w:hAnsi="FangSong_GB2312" w:eastAsia="FangSong_GB2312" w:cs="FangSong_GB2312"/>
                <w:color w:val="auto"/>
                <w:spacing w:val="4"/>
                <w:sz w:val="24"/>
                <w:szCs w:val="24"/>
                <w:highlight w:val="none"/>
              </w:rPr>
              <w:t>统一服务</w:t>
            </w:r>
            <w:r>
              <w:rPr>
                <w:rFonts w:ascii="FangSong_GB2312" w:hAnsi="FangSong_GB2312" w:eastAsia="FangSong_GB2312" w:cs="FangSong_GB2312"/>
                <w:color w:val="auto"/>
                <w:spacing w:val="-5"/>
                <w:sz w:val="24"/>
                <w:szCs w:val="24"/>
                <w:highlight w:val="none"/>
              </w:rPr>
              <w:t>工牌。</w:t>
            </w:r>
          </w:p>
        </w:tc>
        <w:tc>
          <w:tcPr>
            <w:tcW w:w="2352" w:type="dxa"/>
            <w:noWrap w:val="0"/>
            <w:vAlign w:val="top"/>
          </w:tcPr>
          <w:p w14:paraId="29E0030D">
            <w:pPr>
              <w:pStyle w:val="56"/>
              <w:spacing w:line="246" w:lineRule="auto"/>
              <w:rPr>
                <w:color w:val="auto"/>
                <w:highlight w:val="none"/>
              </w:rPr>
            </w:pPr>
          </w:p>
          <w:p w14:paraId="5C31F0A8">
            <w:pPr>
              <w:pStyle w:val="56"/>
              <w:spacing w:line="246" w:lineRule="auto"/>
              <w:rPr>
                <w:color w:val="auto"/>
                <w:highlight w:val="none"/>
              </w:rPr>
            </w:pPr>
          </w:p>
          <w:p w14:paraId="646F29B1">
            <w:pPr>
              <w:pStyle w:val="56"/>
              <w:spacing w:line="246" w:lineRule="auto"/>
              <w:rPr>
                <w:color w:val="auto"/>
                <w:highlight w:val="none"/>
              </w:rPr>
            </w:pPr>
          </w:p>
          <w:p w14:paraId="0B24101E">
            <w:pPr>
              <w:pStyle w:val="56"/>
              <w:spacing w:line="246" w:lineRule="auto"/>
              <w:rPr>
                <w:color w:val="auto"/>
                <w:highlight w:val="none"/>
              </w:rPr>
            </w:pPr>
          </w:p>
          <w:p w14:paraId="4C24524F">
            <w:pPr>
              <w:pStyle w:val="56"/>
              <w:spacing w:line="246" w:lineRule="auto"/>
              <w:rPr>
                <w:color w:val="auto"/>
                <w:highlight w:val="none"/>
              </w:rPr>
            </w:pPr>
          </w:p>
          <w:p w14:paraId="3BAD7C94">
            <w:pPr>
              <w:pStyle w:val="56"/>
              <w:spacing w:line="246" w:lineRule="auto"/>
              <w:rPr>
                <w:color w:val="auto"/>
                <w:highlight w:val="none"/>
              </w:rPr>
            </w:pPr>
          </w:p>
          <w:p w14:paraId="0529957C">
            <w:pPr>
              <w:pStyle w:val="56"/>
              <w:spacing w:line="246" w:lineRule="auto"/>
              <w:rPr>
                <w:color w:val="auto"/>
                <w:highlight w:val="none"/>
              </w:rPr>
            </w:pPr>
          </w:p>
          <w:p w14:paraId="24C09CD6">
            <w:pPr>
              <w:pStyle w:val="56"/>
              <w:spacing w:line="246" w:lineRule="auto"/>
              <w:rPr>
                <w:color w:val="auto"/>
                <w:highlight w:val="none"/>
              </w:rPr>
            </w:pPr>
          </w:p>
          <w:p w14:paraId="5D86FFB9">
            <w:pPr>
              <w:pStyle w:val="56"/>
              <w:spacing w:line="246" w:lineRule="auto"/>
              <w:rPr>
                <w:color w:val="auto"/>
                <w:highlight w:val="none"/>
              </w:rPr>
            </w:pPr>
          </w:p>
          <w:p w14:paraId="5A284CAD">
            <w:pPr>
              <w:pStyle w:val="56"/>
              <w:spacing w:line="246" w:lineRule="auto"/>
              <w:rPr>
                <w:color w:val="auto"/>
                <w:highlight w:val="none"/>
              </w:rPr>
            </w:pPr>
          </w:p>
          <w:p w14:paraId="7CE2AC7D">
            <w:pPr>
              <w:pStyle w:val="56"/>
              <w:spacing w:line="246" w:lineRule="auto"/>
              <w:rPr>
                <w:color w:val="auto"/>
                <w:highlight w:val="none"/>
              </w:rPr>
            </w:pPr>
          </w:p>
          <w:p w14:paraId="5088BDB8">
            <w:pPr>
              <w:pStyle w:val="56"/>
              <w:spacing w:line="246" w:lineRule="auto"/>
              <w:rPr>
                <w:color w:val="auto"/>
                <w:highlight w:val="none"/>
              </w:rPr>
            </w:pPr>
          </w:p>
          <w:p w14:paraId="761DF552">
            <w:pPr>
              <w:pStyle w:val="56"/>
              <w:spacing w:line="246" w:lineRule="auto"/>
              <w:rPr>
                <w:color w:val="auto"/>
                <w:highlight w:val="none"/>
              </w:rPr>
            </w:pPr>
          </w:p>
          <w:p w14:paraId="049766C8">
            <w:pPr>
              <w:pStyle w:val="56"/>
              <w:spacing w:line="246" w:lineRule="auto"/>
              <w:rPr>
                <w:color w:val="auto"/>
                <w:highlight w:val="none"/>
              </w:rPr>
            </w:pPr>
          </w:p>
          <w:p w14:paraId="4786CB87">
            <w:pPr>
              <w:pStyle w:val="56"/>
              <w:spacing w:line="246" w:lineRule="auto"/>
              <w:rPr>
                <w:color w:val="auto"/>
                <w:highlight w:val="none"/>
              </w:rPr>
            </w:pPr>
          </w:p>
          <w:p w14:paraId="6A75579C">
            <w:pPr>
              <w:spacing w:before="78" w:line="242" w:lineRule="auto"/>
              <w:ind w:left="122" w:right="105" w:firstLine="4"/>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可结合实际加挂</w:t>
            </w:r>
            <w:r>
              <w:rPr>
                <w:rFonts w:ascii="Times New Roman" w:hAnsi="Times New Roman" w:eastAsia="Times New Roman" w:cs="Times New Roman"/>
                <w:color w:val="auto"/>
                <w:spacing w:val="6"/>
                <w:sz w:val="24"/>
                <w:szCs w:val="24"/>
                <w:highlight w:val="none"/>
              </w:rPr>
              <w:t>“</w:t>
            </w:r>
            <w:r>
              <w:rPr>
                <w:rFonts w:ascii="Times New Roman" w:hAnsi="Times New Roman" w:eastAsia="Times New Roman" w:cs="Times New Roman"/>
                <w:color w:val="auto"/>
                <w:spacing w:val="-31"/>
                <w:sz w:val="24"/>
                <w:szCs w:val="24"/>
                <w:highlight w:val="none"/>
              </w:rPr>
              <w:t xml:space="preserve"> </w:t>
            </w:r>
            <w:r>
              <w:rPr>
                <w:rFonts w:ascii="FangSong_GB2312" w:hAnsi="FangSong_GB2312" w:eastAsia="FangSong_GB2312" w:cs="FangSong_GB2312"/>
                <w:color w:val="auto"/>
                <w:spacing w:val="6"/>
                <w:sz w:val="24"/>
                <w:szCs w:val="24"/>
                <w:highlight w:val="none"/>
              </w:rPr>
              <w:t>零</w:t>
            </w:r>
            <w:r>
              <w:rPr>
                <w:rFonts w:ascii="FangSong_GB2312" w:hAnsi="FangSong_GB2312" w:eastAsia="FangSong_GB2312" w:cs="FangSong_GB2312"/>
                <w:color w:val="auto"/>
                <w:spacing w:val="-11"/>
                <w:sz w:val="24"/>
                <w:szCs w:val="24"/>
                <w:highlight w:val="none"/>
              </w:rPr>
              <w:t>工</w:t>
            </w:r>
            <w:r>
              <w:rPr>
                <w:rFonts w:ascii="FangSong_GB2312" w:hAnsi="FangSong_GB2312" w:eastAsia="FangSong_GB2312" w:cs="FangSong_GB2312"/>
                <w:color w:val="auto"/>
                <w:spacing w:val="-50"/>
                <w:sz w:val="24"/>
                <w:szCs w:val="24"/>
                <w:highlight w:val="none"/>
              </w:rPr>
              <w:t xml:space="preserve"> </w:t>
            </w:r>
            <w:r>
              <w:rPr>
                <w:rFonts w:ascii="FangSong_GB2312" w:hAnsi="FangSong_GB2312" w:eastAsia="FangSong_GB2312" w:cs="FangSong_GB2312"/>
                <w:color w:val="auto"/>
                <w:spacing w:val="-11"/>
                <w:sz w:val="24"/>
                <w:szCs w:val="24"/>
                <w:highlight w:val="none"/>
              </w:rPr>
              <w:t>市</w:t>
            </w:r>
            <w:r>
              <w:rPr>
                <w:rFonts w:ascii="FangSong_GB2312" w:hAnsi="FangSong_GB2312" w:eastAsia="FangSong_GB2312" w:cs="FangSong_GB2312"/>
                <w:color w:val="auto"/>
                <w:spacing w:val="-64"/>
                <w:sz w:val="24"/>
                <w:szCs w:val="24"/>
                <w:highlight w:val="none"/>
              </w:rPr>
              <w:t xml:space="preserve"> </w:t>
            </w:r>
            <w:r>
              <w:rPr>
                <w:rFonts w:ascii="FangSong_GB2312" w:hAnsi="FangSong_GB2312" w:eastAsia="FangSong_GB2312" w:cs="FangSong_GB2312"/>
                <w:color w:val="auto"/>
                <w:spacing w:val="-11"/>
                <w:sz w:val="24"/>
                <w:szCs w:val="24"/>
                <w:highlight w:val="none"/>
              </w:rPr>
              <w:t>场</w:t>
            </w:r>
            <w:r>
              <w:rPr>
                <w:rFonts w:ascii="FangSong_GB2312" w:hAnsi="FangSong_GB2312" w:eastAsia="FangSong_GB2312" w:cs="FangSong_GB2312"/>
                <w:color w:val="auto"/>
                <w:spacing w:val="-62"/>
                <w:sz w:val="24"/>
                <w:szCs w:val="24"/>
                <w:highlight w:val="none"/>
              </w:rPr>
              <w:t xml:space="preserve"> </w:t>
            </w:r>
            <w:r>
              <w:rPr>
                <w:rFonts w:ascii="Times New Roman" w:hAnsi="Times New Roman" w:eastAsia="Times New Roman" w:cs="Times New Roman"/>
                <w:color w:val="auto"/>
                <w:spacing w:val="-11"/>
                <w:sz w:val="24"/>
                <w:szCs w:val="24"/>
                <w:highlight w:val="none"/>
              </w:rPr>
              <w:t xml:space="preserve">” </w:t>
            </w:r>
            <w:r>
              <w:rPr>
                <w:rFonts w:ascii="FangSong_GB2312" w:hAnsi="FangSong_GB2312" w:eastAsia="FangSong_GB2312" w:cs="FangSong_GB2312"/>
                <w:color w:val="auto"/>
                <w:spacing w:val="-11"/>
                <w:sz w:val="24"/>
                <w:szCs w:val="24"/>
                <w:highlight w:val="none"/>
              </w:rPr>
              <w:t>标</w:t>
            </w:r>
            <w:r>
              <w:rPr>
                <w:rFonts w:ascii="FangSong_GB2312" w:hAnsi="FangSong_GB2312" w:eastAsia="FangSong_GB2312" w:cs="FangSong_GB2312"/>
                <w:color w:val="auto"/>
                <w:spacing w:val="-50"/>
                <w:sz w:val="24"/>
                <w:szCs w:val="24"/>
                <w:highlight w:val="none"/>
              </w:rPr>
              <w:t xml:space="preserve"> </w:t>
            </w:r>
            <w:r>
              <w:rPr>
                <w:rFonts w:ascii="FangSong_GB2312" w:hAnsi="FangSong_GB2312" w:eastAsia="FangSong_GB2312" w:cs="FangSong_GB2312"/>
                <w:color w:val="auto"/>
                <w:spacing w:val="-11"/>
                <w:sz w:val="24"/>
                <w:szCs w:val="24"/>
                <w:highlight w:val="none"/>
              </w:rPr>
              <w:t>识</w:t>
            </w:r>
            <w:r>
              <w:rPr>
                <w:rFonts w:ascii="FangSong_GB2312" w:hAnsi="FangSong_GB2312" w:eastAsia="FangSong_GB2312" w:cs="FangSong_GB2312"/>
                <w:color w:val="auto"/>
                <w:spacing w:val="-62"/>
                <w:sz w:val="24"/>
                <w:szCs w:val="24"/>
                <w:highlight w:val="none"/>
              </w:rPr>
              <w:t xml:space="preserve"> </w:t>
            </w:r>
            <w:r>
              <w:rPr>
                <w:rFonts w:ascii="FangSong_GB2312" w:hAnsi="FangSong_GB2312" w:eastAsia="FangSong_GB2312" w:cs="FangSong_GB2312"/>
                <w:color w:val="auto"/>
                <w:spacing w:val="-11"/>
                <w:sz w:val="24"/>
                <w:szCs w:val="24"/>
                <w:highlight w:val="none"/>
              </w:rPr>
              <w:t>或</w:t>
            </w:r>
            <w:r>
              <w:rPr>
                <w:rFonts w:ascii="FangSong_GB2312" w:hAnsi="FangSong_GB2312" w:eastAsia="FangSong_GB2312" w:cs="FangSong_GB2312"/>
                <w:color w:val="auto"/>
                <w:spacing w:val="-63"/>
                <w:sz w:val="24"/>
                <w:szCs w:val="24"/>
                <w:highlight w:val="none"/>
              </w:rPr>
              <w:t xml:space="preserve"> </w:t>
            </w:r>
            <w:r>
              <w:rPr>
                <w:rFonts w:ascii="FangSong_GB2312" w:hAnsi="FangSong_GB2312" w:eastAsia="FangSong_GB2312" w:cs="FangSong_GB2312"/>
                <w:color w:val="auto"/>
                <w:spacing w:val="-11"/>
                <w:sz w:val="24"/>
                <w:szCs w:val="24"/>
                <w:highlight w:val="none"/>
              </w:rPr>
              <w:t>牌</w:t>
            </w:r>
            <w:r>
              <w:rPr>
                <w:rFonts w:ascii="FangSong_GB2312" w:hAnsi="FangSong_GB2312" w:eastAsia="FangSong_GB2312" w:cs="FangSong_GB2312"/>
                <w:color w:val="auto"/>
                <w:spacing w:val="-8"/>
                <w:sz w:val="24"/>
                <w:szCs w:val="24"/>
                <w:highlight w:val="none"/>
              </w:rPr>
              <w:t>匾。</w:t>
            </w:r>
          </w:p>
        </w:tc>
      </w:tr>
    </w:tbl>
    <w:p w14:paraId="27A3EC7B">
      <w:pPr>
        <w:pStyle w:val="7"/>
        <w:spacing w:line="560" w:lineRule="exact"/>
        <w:ind w:firstLine="0" w:firstLineChars="0"/>
        <w:rPr>
          <w:color w:val="auto"/>
          <w:highlight w:val="none"/>
          <w:u w:val="none"/>
        </w:rPr>
      </w:pPr>
    </w:p>
    <w:p w14:paraId="1C872061">
      <w:pPr>
        <w:rPr>
          <w:color w:val="auto"/>
          <w:highlight w:val="none"/>
          <w:u w:val="none"/>
        </w:rPr>
      </w:pPr>
    </w:p>
    <w:p w14:paraId="1200E65B">
      <w:pPr>
        <w:rPr>
          <w:color w:val="auto"/>
          <w:highlight w:val="none"/>
          <w:u w:val="none"/>
        </w:rPr>
      </w:pPr>
    </w:p>
    <w:p w14:paraId="6BD539A6">
      <w:pPr>
        <w:rPr>
          <w:color w:val="auto"/>
          <w:highlight w:val="none"/>
          <w:u w:val="none"/>
        </w:rPr>
      </w:pPr>
    </w:p>
    <w:tbl>
      <w:tblPr>
        <w:tblStyle w:val="1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8"/>
        <w:gridCol w:w="959"/>
        <w:gridCol w:w="1831"/>
        <w:gridCol w:w="3898"/>
        <w:gridCol w:w="2352"/>
      </w:tblGrid>
      <w:tr w14:paraId="0D952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78" w:type="dxa"/>
            <w:noWrap w:val="0"/>
            <w:vAlign w:val="top"/>
          </w:tcPr>
          <w:p w14:paraId="78A88268">
            <w:pPr>
              <w:spacing w:before="197" w:line="223" w:lineRule="auto"/>
              <w:ind w:left="155"/>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序号</w:t>
            </w:r>
          </w:p>
        </w:tc>
        <w:tc>
          <w:tcPr>
            <w:tcW w:w="959" w:type="dxa"/>
            <w:noWrap w:val="0"/>
            <w:vAlign w:val="top"/>
          </w:tcPr>
          <w:p w14:paraId="2834D5FD">
            <w:pPr>
              <w:spacing w:before="41" w:line="223" w:lineRule="auto"/>
              <w:ind w:left="126"/>
              <w:rPr>
                <w:rFonts w:ascii="黑体" w:hAnsi="黑体" w:eastAsia="黑体" w:cs="黑体"/>
                <w:color w:val="auto"/>
                <w:sz w:val="24"/>
                <w:szCs w:val="24"/>
                <w:highlight w:val="none"/>
              </w:rPr>
            </w:pPr>
            <w:r>
              <w:rPr>
                <w:rFonts w:ascii="黑体" w:hAnsi="黑体" w:eastAsia="黑体" w:cs="黑体"/>
                <w:color w:val="auto"/>
                <w:spacing w:val="-4"/>
                <w:sz w:val="24"/>
                <w:szCs w:val="24"/>
                <w:highlight w:val="none"/>
              </w:rPr>
              <w:t>配备运</w:t>
            </w:r>
          </w:p>
          <w:p w14:paraId="02203B70">
            <w:pPr>
              <w:spacing w:before="22" w:line="207" w:lineRule="auto"/>
              <w:ind w:left="130"/>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营标准</w:t>
            </w:r>
          </w:p>
        </w:tc>
        <w:tc>
          <w:tcPr>
            <w:tcW w:w="1831" w:type="dxa"/>
            <w:noWrap w:val="0"/>
            <w:vAlign w:val="top"/>
          </w:tcPr>
          <w:p w14:paraId="372B3F5A">
            <w:pPr>
              <w:spacing w:before="197" w:line="222" w:lineRule="auto"/>
              <w:ind w:left="202"/>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配备运营要求</w:t>
            </w:r>
          </w:p>
        </w:tc>
        <w:tc>
          <w:tcPr>
            <w:tcW w:w="3898" w:type="dxa"/>
            <w:noWrap w:val="0"/>
            <w:vAlign w:val="top"/>
          </w:tcPr>
          <w:p w14:paraId="071C920F">
            <w:pPr>
              <w:spacing w:before="197" w:line="223" w:lineRule="auto"/>
              <w:ind w:left="147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基本配备</w:t>
            </w:r>
          </w:p>
        </w:tc>
        <w:tc>
          <w:tcPr>
            <w:tcW w:w="2352" w:type="dxa"/>
            <w:noWrap w:val="0"/>
            <w:vAlign w:val="top"/>
          </w:tcPr>
          <w:p w14:paraId="5B49DEDC">
            <w:pPr>
              <w:spacing w:before="196" w:line="222" w:lineRule="auto"/>
              <w:ind w:left="700"/>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增设配备</w:t>
            </w:r>
          </w:p>
        </w:tc>
      </w:tr>
      <w:tr w14:paraId="7AC27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2" w:hRule="atLeast"/>
        </w:trPr>
        <w:tc>
          <w:tcPr>
            <w:tcW w:w="778" w:type="dxa"/>
            <w:noWrap w:val="0"/>
            <w:vAlign w:val="top"/>
          </w:tcPr>
          <w:p w14:paraId="66D2EB4C">
            <w:pPr>
              <w:pStyle w:val="56"/>
              <w:spacing w:line="263" w:lineRule="auto"/>
              <w:rPr>
                <w:color w:val="auto"/>
                <w:highlight w:val="none"/>
              </w:rPr>
            </w:pPr>
          </w:p>
          <w:p w14:paraId="158D971F">
            <w:pPr>
              <w:pStyle w:val="56"/>
              <w:spacing w:line="263" w:lineRule="auto"/>
              <w:rPr>
                <w:color w:val="auto"/>
                <w:highlight w:val="none"/>
              </w:rPr>
            </w:pPr>
          </w:p>
          <w:p w14:paraId="21631BB1">
            <w:pPr>
              <w:pStyle w:val="56"/>
              <w:spacing w:line="263" w:lineRule="auto"/>
              <w:rPr>
                <w:color w:val="auto"/>
                <w:highlight w:val="none"/>
              </w:rPr>
            </w:pPr>
          </w:p>
          <w:p w14:paraId="69047DF0">
            <w:pPr>
              <w:pStyle w:val="56"/>
              <w:spacing w:line="264" w:lineRule="auto"/>
              <w:rPr>
                <w:color w:val="auto"/>
                <w:highlight w:val="none"/>
              </w:rPr>
            </w:pPr>
          </w:p>
          <w:p w14:paraId="2C03AEAB">
            <w:pPr>
              <w:pStyle w:val="56"/>
              <w:spacing w:line="264" w:lineRule="auto"/>
              <w:rPr>
                <w:color w:val="auto"/>
                <w:highlight w:val="none"/>
              </w:rPr>
            </w:pPr>
          </w:p>
          <w:p w14:paraId="6787AB43">
            <w:pPr>
              <w:spacing w:before="69" w:line="185" w:lineRule="auto"/>
              <w:ind w:left="337"/>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Pr>
              <w:t>5</w:t>
            </w:r>
          </w:p>
        </w:tc>
        <w:tc>
          <w:tcPr>
            <w:tcW w:w="959" w:type="dxa"/>
            <w:noWrap w:val="0"/>
            <w:vAlign w:val="top"/>
          </w:tcPr>
          <w:p w14:paraId="1B962082">
            <w:pPr>
              <w:pStyle w:val="56"/>
              <w:spacing w:line="277" w:lineRule="auto"/>
              <w:rPr>
                <w:color w:val="auto"/>
                <w:highlight w:val="none"/>
              </w:rPr>
            </w:pPr>
          </w:p>
          <w:p w14:paraId="456FAD86">
            <w:pPr>
              <w:pStyle w:val="56"/>
              <w:spacing w:line="277" w:lineRule="auto"/>
              <w:rPr>
                <w:color w:val="auto"/>
                <w:highlight w:val="none"/>
              </w:rPr>
            </w:pPr>
          </w:p>
          <w:p w14:paraId="2148BC02">
            <w:pPr>
              <w:pStyle w:val="56"/>
              <w:spacing w:line="278" w:lineRule="auto"/>
              <w:rPr>
                <w:color w:val="auto"/>
                <w:highlight w:val="none"/>
              </w:rPr>
            </w:pPr>
          </w:p>
          <w:p w14:paraId="53B6A676">
            <w:pPr>
              <w:pStyle w:val="56"/>
              <w:spacing w:line="278" w:lineRule="auto"/>
              <w:rPr>
                <w:color w:val="auto"/>
                <w:highlight w:val="none"/>
              </w:rPr>
            </w:pPr>
          </w:p>
          <w:p w14:paraId="63EF0468">
            <w:pPr>
              <w:spacing w:before="78"/>
              <w:ind w:left="273" w:right="117" w:hanging="142"/>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有服务</w:t>
            </w:r>
            <w:r>
              <w:rPr>
                <w:rFonts w:ascii="FangSong_GB2312" w:hAnsi="FangSong_GB2312" w:eastAsia="FangSong_GB2312" w:cs="FangSong_GB2312"/>
                <w:color w:val="auto"/>
                <w:spacing w:val="-19"/>
                <w:sz w:val="24"/>
                <w:szCs w:val="24"/>
                <w:highlight w:val="none"/>
              </w:rPr>
              <w:t>台账</w:t>
            </w:r>
          </w:p>
        </w:tc>
        <w:tc>
          <w:tcPr>
            <w:tcW w:w="1831" w:type="dxa"/>
            <w:noWrap w:val="0"/>
            <w:vAlign w:val="top"/>
          </w:tcPr>
          <w:p w14:paraId="436136B6">
            <w:pPr>
              <w:pStyle w:val="56"/>
              <w:spacing w:line="266" w:lineRule="auto"/>
              <w:rPr>
                <w:color w:val="auto"/>
                <w:highlight w:val="none"/>
              </w:rPr>
            </w:pPr>
          </w:p>
          <w:p w14:paraId="327A661A">
            <w:pPr>
              <w:pStyle w:val="56"/>
              <w:spacing w:line="266" w:lineRule="auto"/>
              <w:rPr>
                <w:color w:val="auto"/>
                <w:highlight w:val="none"/>
              </w:rPr>
            </w:pPr>
          </w:p>
          <w:p w14:paraId="2AE561CB">
            <w:pPr>
              <w:pStyle w:val="56"/>
              <w:spacing w:line="266" w:lineRule="auto"/>
              <w:rPr>
                <w:color w:val="auto"/>
                <w:highlight w:val="none"/>
              </w:rPr>
            </w:pPr>
          </w:p>
          <w:p w14:paraId="24475D0A">
            <w:pPr>
              <w:spacing w:before="78"/>
              <w:ind w:left="117" w:right="105" w:hanging="4"/>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27"/>
                <w:sz w:val="24"/>
                <w:szCs w:val="24"/>
                <w:highlight w:val="none"/>
              </w:rPr>
              <w:t>建立服务站日常管理运营服</w:t>
            </w:r>
            <w:r>
              <w:rPr>
                <w:rFonts w:ascii="FangSong_GB2312" w:hAnsi="FangSong_GB2312" w:eastAsia="FangSong_GB2312" w:cs="FangSong_GB2312"/>
                <w:color w:val="auto"/>
                <w:spacing w:val="-12"/>
                <w:sz w:val="24"/>
                <w:szCs w:val="24"/>
                <w:highlight w:val="none"/>
              </w:rPr>
              <w:t>务台账，做好全</w:t>
            </w:r>
            <w:r>
              <w:rPr>
                <w:rFonts w:ascii="FangSong_GB2312" w:hAnsi="FangSong_GB2312" w:eastAsia="FangSong_GB2312" w:cs="FangSong_GB2312"/>
                <w:color w:val="auto"/>
                <w:spacing w:val="-3"/>
                <w:sz w:val="24"/>
                <w:szCs w:val="24"/>
                <w:highlight w:val="none"/>
              </w:rPr>
              <w:t>程服务记录</w:t>
            </w:r>
          </w:p>
        </w:tc>
        <w:tc>
          <w:tcPr>
            <w:tcW w:w="3898" w:type="dxa"/>
            <w:noWrap w:val="0"/>
            <w:vAlign w:val="top"/>
          </w:tcPr>
          <w:p w14:paraId="5E6926AD">
            <w:pPr>
              <w:spacing w:before="222"/>
              <w:ind w:left="115" w:right="103" w:firstLine="18"/>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2"/>
                <w:sz w:val="24"/>
                <w:szCs w:val="24"/>
                <w:highlight w:val="none"/>
              </w:rPr>
              <w:t>1.</w:t>
            </w:r>
            <w:r>
              <w:rPr>
                <w:rFonts w:ascii="FangSong_GB2312" w:hAnsi="FangSong_GB2312" w:eastAsia="FangSong_GB2312" w:cs="FangSong_GB2312"/>
                <w:color w:val="auto"/>
                <w:spacing w:val="2"/>
                <w:sz w:val="24"/>
                <w:szCs w:val="24"/>
                <w:highlight w:val="none"/>
              </w:rPr>
              <w:t>《求职</w:t>
            </w:r>
            <w:r>
              <w:rPr>
                <w:rFonts w:ascii="Times New Roman" w:hAnsi="Times New Roman" w:eastAsia="Times New Roman" w:cs="Times New Roman"/>
                <w:color w:val="auto"/>
                <w:spacing w:val="2"/>
                <w:sz w:val="24"/>
                <w:szCs w:val="24"/>
                <w:highlight w:val="none"/>
              </w:rPr>
              <w:t>/</w:t>
            </w:r>
            <w:r>
              <w:rPr>
                <w:rFonts w:ascii="FangSong_GB2312" w:hAnsi="FangSong_GB2312" w:eastAsia="FangSong_GB2312" w:cs="FangSong_GB2312"/>
                <w:color w:val="auto"/>
                <w:spacing w:val="2"/>
                <w:sz w:val="24"/>
                <w:szCs w:val="24"/>
                <w:highlight w:val="none"/>
              </w:rPr>
              <w:t>培训登记册》（前台接待</w:t>
            </w:r>
            <w:r>
              <w:rPr>
                <w:rFonts w:ascii="FangSong_GB2312" w:hAnsi="FangSong_GB2312" w:eastAsia="FangSong_GB2312" w:cs="FangSong_GB2312"/>
                <w:color w:val="auto"/>
                <w:sz w:val="24"/>
                <w:szCs w:val="24"/>
                <w:highlight w:val="none"/>
              </w:rPr>
              <w:t>或走访服务或回访服务使用）</w:t>
            </w:r>
            <w:r>
              <w:rPr>
                <w:rFonts w:ascii="Times New Roman" w:hAnsi="Times New Roman" w:eastAsia="Times New Roman" w:cs="Times New Roman"/>
                <w:color w:val="auto"/>
                <w:sz w:val="24"/>
                <w:szCs w:val="24"/>
                <w:highlight w:val="none"/>
              </w:rPr>
              <w:t>;</w:t>
            </w:r>
          </w:p>
          <w:p w14:paraId="72D63FFC">
            <w:pPr>
              <w:ind w:left="118" w:right="103" w:hanging="8"/>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6"/>
                <w:sz w:val="24"/>
                <w:szCs w:val="24"/>
                <w:highlight w:val="none"/>
              </w:rPr>
              <w:t>2.</w:t>
            </w:r>
            <w:r>
              <w:rPr>
                <w:rFonts w:ascii="FangSong_GB2312" w:hAnsi="FangSong_GB2312" w:eastAsia="FangSong_GB2312" w:cs="FangSong_GB2312"/>
                <w:color w:val="auto"/>
                <w:spacing w:val="-6"/>
                <w:sz w:val="24"/>
                <w:szCs w:val="24"/>
                <w:highlight w:val="none"/>
              </w:rPr>
              <w:t>《用工招聘登记册》（前台接待或</w:t>
            </w:r>
            <w:r>
              <w:rPr>
                <w:rFonts w:ascii="FangSong_GB2312" w:hAnsi="FangSong_GB2312" w:eastAsia="FangSong_GB2312" w:cs="FangSong_GB2312"/>
                <w:color w:val="auto"/>
                <w:sz w:val="24"/>
                <w:szCs w:val="24"/>
                <w:highlight w:val="none"/>
              </w:rPr>
              <w:t>走访服务或回访服务使用）</w:t>
            </w:r>
            <w:r>
              <w:rPr>
                <w:rFonts w:ascii="Times New Roman" w:hAnsi="Times New Roman" w:eastAsia="Times New Roman" w:cs="Times New Roman"/>
                <w:color w:val="auto"/>
                <w:sz w:val="24"/>
                <w:szCs w:val="24"/>
                <w:highlight w:val="none"/>
              </w:rPr>
              <w:t>;</w:t>
            </w:r>
          </w:p>
          <w:p w14:paraId="41AFA0F6">
            <w:pPr>
              <w:spacing w:before="2" w:line="239" w:lineRule="auto"/>
              <w:ind w:left="115" w:right="103"/>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7"/>
                <w:sz w:val="24"/>
                <w:szCs w:val="24"/>
                <w:highlight w:val="none"/>
              </w:rPr>
              <w:t>3.</w:t>
            </w:r>
            <w:r>
              <w:rPr>
                <w:rFonts w:ascii="FangSong_GB2312" w:hAnsi="FangSong_GB2312" w:eastAsia="FangSong_GB2312" w:cs="FangSong_GB2312"/>
                <w:color w:val="auto"/>
                <w:spacing w:val="-7"/>
                <w:sz w:val="24"/>
                <w:szCs w:val="24"/>
                <w:highlight w:val="none"/>
              </w:rPr>
              <w:t>《服务评价及意见建议册》（前台</w:t>
            </w:r>
            <w:r>
              <w:rPr>
                <w:rFonts w:ascii="FangSong_GB2312" w:hAnsi="FangSong_GB2312" w:eastAsia="FangSong_GB2312" w:cs="FangSong_GB2312"/>
                <w:color w:val="auto"/>
                <w:spacing w:val="1"/>
                <w:sz w:val="24"/>
                <w:szCs w:val="24"/>
                <w:highlight w:val="none"/>
              </w:rPr>
              <w:t>接待使用）</w:t>
            </w:r>
            <w:r>
              <w:rPr>
                <w:rFonts w:ascii="Times New Roman" w:hAnsi="Times New Roman" w:eastAsia="Times New Roman" w:cs="Times New Roman"/>
                <w:color w:val="auto"/>
                <w:spacing w:val="1"/>
                <w:sz w:val="24"/>
                <w:szCs w:val="24"/>
                <w:highlight w:val="none"/>
              </w:rPr>
              <w:t>;</w:t>
            </w:r>
          </w:p>
          <w:p w14:paraId="27871E0D">
            <w:pPr>
              <w:spacing w:before="1" w:line="243" w:lineRule="auto"/>
              <w:ind w:left="117" w:right="103" w:hanging="8"/>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6"/>
                <w:sz w:val="24"/>
                <w:szCs w:val="24"/>
                <w:highlight w:val="none"/>
              </w:rPr>
              <w:t>4.</w:t>
            </w:r>
            <w:r>
              <w:rPr>
                <w:rFonts w:ascii="FangSong_GB2312" w:hAnsi="FangSong_GB2312" w:eastAsia="FangSong_GB2312" w:cs="FangSong_GB2312"/>
                <w:color w:val="auto"/>
                <w:spacing w:val="-6"/>
                <w:sz w:val="24"/>
                <w:szCs w:val="24"/>
                <w:highlight w:val="none"/>
              </w:rPr>
              <w:t>服务台账及时登记或梳理入库，做</w:t>
            </w:r>
            <w:r>
              <w:rPr>
                <w:rFonts w:ascii="FangSong_GB2312" w:hAnsi="FangSong_GB2312" w:eastAsia="FangSong_GB2312" w:cs="FangSong_GB2312"/>
                <w:color w:val="auto"/>
                <w:spacing w:val="-1"/>
                <w:sz w:val="24"/>
                <w:szCs w:val="24"/>
                <w:highlight w:val="none"/>
              </w:rPr>
              <w:t>好全程服务记录、服务跟踪。</w:t>
            </w:r>
          </w:p>
        </w:tc>
        <w:tc>
          <w:tcPr>
            <w:tcW w:w="2352" w:type="dxa"/>
            <w:noWrap w:val="0"/>
            <w:vAlign w:val="top"/>
          </w:tcPr>
          <w:p w14:paraId="2BE09089">
            <w:pPr>
              <w:pStyle w:val="56"/>
              <w:rPr>
                <w:color w:val="auto"/>
                <w:highlight w:val="none"/>
              </w:rPr>
            </w:pPr>
          </w:p>
        </w:tc>
      </w:tr>
      <w:tr w14:paraId="7A5DD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7" w:hRule="atLeast"/>
        </w:trPr>
        <w:tc>
          <w:tcPr>
            <w:tcW w:w="778" w:type="dxa"/>
            <w:noWrap w:val="0"/>
            <w:vAlign w:val="top"/>
          </w:tcPr>
          <w:p w14:paraId="31908364">
            <w:pPr>
              <w:pStyle w:val="56"/>
              <w:spacing w:line="249" w:lineRule="auto"/>
              <w:rPr>
                <w:color w:val="auto"/>
                <w:highlight w:val="none"/>
              </w:rPr>
            </w:pPr>
          </w:p>
          <w:p w14:paraId="03499040">
            <w:pPr>
              <w:pStyle w:val="56"/>
              <w:spacing w:line="249" w:lineRule="auto"/>
              <w:rPr>
                <w:color w:val="auto"/>
                <w:highlight w:val="none"/>
              </w:rPr>
            </w:pPr>
          </w:p>
          <w:p w14:paraId="594686C5">
            <w:pPr>
              <w:pStyle w:val="56"/>
              <w:spacing w:line="249" w:lineRule="auto"/>
              <w:rPr>
                <w:color w:val="auto"/>
                <w:highlight w:val="none"/>
              </w:rPr>
            </w:pPr>
          </w:p>
          <w:p w14:paraId="627B00CC">
            <w:pPr>
              <w:pStyle w:val="56"/>
              <w:spacing w:line="249" w:lineRule="auto"/>
              <w:rPr>
                <w:color w:val="auto"/>
                <w:highlight w:val="none"/>
              </w:rPr>
            </w:pPr>
          </w:p>
          <w:p w14:paraId="2950957C">
            <w:pPr>
              <w:pStyle w:val="56"/>
              <w:spacing w:line="249" w:lineRule="auto"/>
              <w:rPr>
                <w:color w:val="auto"/>
                <w:highlight w:val="none"/>
              </w:rPr>
            </w:pPr>
          </w:p>
          <w:p w14:paraId="1B6B52E8">
            <w:pPr>
              <w:pStyle w:val="56"/>
              <w:spacing w:line="249" w:lineRule="auto"/>
              <w:rPr>
                <w:color w:val="auto"/>
                <w:highlight w:val="none"/>
              </w:rPr>
            </w:pPr>
          </w:p>
          <w:p w14:paraId="446C316A">
            <w:pPr>
              <w:pStyle w:val="56"/>
              <w:spacing w:line="250" w:lineRule="auto"/>
              <w:rPr>
                <w:color w:val="auto"/>
                <w:highlight w:val="none"/>
              </w:rPr>
            </w:pPr>
          </w:p>
          <w:p w14:paraId="40F2B7BC">
            <w:pPr>
              <w:pStyle w:val="56"/>
              <w:spacing w:line="250" w:lineRule="auto"/>
              <w:rPr>
                <w:color w:val="auto"/>
                <w:highlight w:val="none"/>
              </w:rPr>
            </w:pPr>
          </w:p>
          <w:p w14:paraId="10FEBAE8">
            <w:pPr>
              <w:pStyle w:val="56"/>
              <w:spacing w:line="250" w:lineRule="auto"/>
              <w:rPr>
                <w:color w:val="auto"/>
                <w:highlight w:val="none"/>
              </w:rPr>
            </w:pPr>
          </w:p>
          <w:p w14:paraId="02F40BD9">
            <w:pPr>
              <w:spacing w:before="69" w:line="315" w:lineRule="exact"/>
              <w:ind w:left="336"/>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6</w:t>
            </w:r>
          </w:p>
        </w:tc>
        <w:tc>
          <w:tcPr>
            <w:tcW w:w="959" w:type="dxa"/>
            <w:noWrap w:val="0"/>
            <w:vAlign w:val="top"/>
          </w:tcPr>
          <w:p w14:paraId="131E7338">
            <w:pPr>
              <w:pStyle w:val="56"/>
              <w:spacing w:line="264" w:lineRule="auto"/>
              <w:rPr>
                <w:color w:val="auto"/>
                <w:highlight w:val="none"/>
              </w:rPr>
            </w:pPr>
          </w:p>
          <w:p w14:paraId="31E7A4DD">
            <w:pPr>
              <w:pStyle w:val="56"/>
              <w:spacing w:line="264" w:lineRule="auto"/>
              <w:rPr>
                <w:color w:val="auto"/>
                <w:highlight w:val="none"/>
              </w:rPr>
            </w:pPr>
          </w:p>
          <w:p w14:paraId="754806FF">
            <w:pPr>
              <w:pStyle w:val="56"/>
              <w:spacing w:line="264" w:lineRule="auto"/>
              <w:rPr>
                <w:color w:val="auto"/>
                <w:highlight w:val="none"/>
              </w:rPr>
            </w:pPr>
          </w:p>
          <w:p w14:paraId="7713963A">
            <w:pPr>
              <w:pStyle w:val="56"/>
              <w:spacing w:line="264" w:lineRule="auto"/>
              <w:rPr>
                <w:color w:val="auto"/>
                <w:highlight w:val="none"/>
              </w:rPr>
            </w:pPr>
          </w:p>
          <w:p w14:paraId="0DCEE44D">
            <w:pPr>
              <w:pStyle w:val="56"/>
              <w:spacing w:line="264" w:lineRule="auto"/>
              <w:rPr>
                <w:color w:val="auto"/>
                <w:highlight w:val="none"/>
              </w:rPr>
            </w:pPr>
          </w:p>
          <w:p w14:paraId="364829ED">
            <w:pPr>
              <w:pStyle w:val="56"/>
              <w:spacing w:line="265" w:lineRule="auto"/>
              <w:rPr>
                <w:color w:val="auto"/>
                <w:highlight w:val="none"/>
              </w:rPr>
            </w:pPr>
          </w:p>
          <w:p w14:paraId="5E389D0F">
            <w:pPr>
              <w:pStyle w:val="56"/>
              <w:spacing w:line="265" w:lineRule="auto"/>
              <w:rPr>
                <w:color w:val="auto"/>
                <w:highlight w:val="none"/>
              </w:rPr>
            </w:pPr>
          </w:p>
          <w:p w14:paraId="204CC2FE">
            <w:pPr>
              <w:pStyle w:val="56"/>
              <w:spacing w:line="265" w:lineRule="auto"/>
              <w:rPr>
                <w:color w:val="auto"/>
                <w:highlight w:val="none"/>
              </w:rPr>
            </w:pPr>
          </w:p>
          <w:p w14:paraId="06D9BA6B">
            <w:pPr>
              <w:spacing w:before="78"/>
              <w:ind w:left="256" w:right="117" w:hanging="125"/>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有服务</w:t>
            </w:r>
            <w:r>
              <w:rPr>
                <w:rFonts w:ascii="FangSong_GB2312" w:hAnsi="FangSong_GB2312" w:eastAsia="FangSong_GB2312" w:cs="FangSong_GB2312"/>
                <w:color w:val="auto"/>
                <w:spacing w:val="-11"/>
                <w:sz w:val="24"/>
                <w:szCs w:val="24"/>
                <w:highlight w:val="none"/>
              </w:rPr>
              <w:t>系统</w:t>
            </w:r>
          </w:p>
        </w:tc>
        <w:tc>
          <w:tcPr>
            <w:tcW w:w="1831" w:type="dxa"/>
            <w:noWrap w:val="0"/>
            <w:vAlign w:val="top"/>
          </w:tcPr>
          <w:p w14:paraId="7A01108D">
            <w:pPr>
              <w:pStyle w:val="56"/>
              <w:spacing w:line="258" w:lineRule="auto"/>
              <w:rPr>
                <w:color w:val="auto"/>
                <w:highlight w:val="none"/>
              </w:rPr>
            </w:pPr>
          </w:p>
          <w:p w14:paraId="781949C9">
            <w:pPr>
              <w:pStyle w:val="56"/>
              <w:spacing w:line="258" w:lineRule="auto"/>
              <w:rPr>
                <w:color w:val="auto"/>
                <w:highlight w:val="none"/>
              </w:rPr>
            </w:pPr>
          </w:p>
          <w:p w14:paraId="13663627">
            <w:pPr>
              <w:pStyle w:val="56"/>
              <w:spacing w:line="259" w:lineRule="auto"/>
              <w:rPr>
                <w:color w:val="auto"/>
                <w:highlight w:val="none"/>
              </w:rPr>
            </w:pPr>
          </w:p>
          <w:p w14:paraId="0C72DC67">
            <w:pPr>
              <w:pStyle w:val="56"/>
              <w:spacing w:line="259" w:lineRule="auto"/>
              <w:rPr>
                <w:color w:val="auto"/>
                <w:highlight w:val="none"/>
              </w:rPr>
            </w:pPr>
          </w:p>
          <w:p w14:paraId="24A10B1F">
            <w:pPr>
              <w:spacing w:before="78"/>
              <w:ind w:left="116" w:right="105" w:firstLine="9"/>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25"/>
                <w:sz w:val="24"/>
                <w:szCs w:val="24"/>
                <w:highlight w:val="none"/>
              </w:rPr>
              <w:t>统一接入南宁</w:t>
            </w:r>
            <w:r>
              <w:rPr>
                <w:rFonts w:ascii="FangSong_GB2312" w:hAnsi="FangSong_GB2312" w:eastAsia="FangSong_GB2312" w:cs="FangSong_GB2312"/>
                <w:color w:val="auto"/>
                <w:spacing w:val="10"/>
                <w:sz w:val="24"/>
                <w:szCs w:val="24"/>
                <w:highlight w:val="none"/>
              </w:rPr>
              <w:t>市人力资</w:t>
            </w:r>
            <w:r>
              <w:rPr>
                <w:rFonts w:ascii="FangSong_GB2312" w:hAnsi="FangSong_GB2312" w:eastAsia="FangSong_GB2312" w:cs="FangSong_GB2312"/>
                <w:color w:val="auto"/>
                <w:spacing w:val="-66"/>
                <w:sz w:val="24"/>
                <w:szCs w:val="24"/>
                <w:highlight w:val="none"/>
              </w:rPr>
              <w:t xml:space="preserve"> </w:t>
            </w:r>
            <w:r>
              <w:rPr>
                <w:rFonts w:ascii="FangSong_GB2312" w:hAnsi="FangSong_GB2312" w:eastAsia="FangSong_GB2312" w:cs="FangSong_GB2312"/>
                <w:color w:val="auto"/>
                <w:spacing w:val="10"/>
                <w:sz w:val="24"/>
                <w:szCs w:val="24"/>
                <w:highlight w:val="none"/>
              </w:rPr>
              <w:t>源</w:t>
            </w:r>
            <w:r>
              <w:rPr>
                <w:rFonts w:ascii="FangSong_GB2312" w:hAnsi="FangSong_GB2312" w:eastAsia="FangSong_GB2312" w:cs="FangSong_GB2312"/>
                <w:color w:val="auto"/>
                <w:spacing w:val="-72"/>
                <w:sz w:val="24"/>
                <w:szCs w:val="24"/>
                <w:highlight w:val="none"/>
              </w:rPr>
              <w:t xml:space="preserve"> </w:t>
            </w:r>
            <w:r>
              <w:rPr>
                <w:rFonts w:ascii="FangSong_GB2312" w:hAnsi="FangSong_GB2312" w:eastAsia="FangSong_GB2312" w:cs="FangSong_GB2312"/>
                <w:color w:val="auto"/>
                <w:spacing w:val="10"/>
                <w:sz w:val="24"/>
                <w:szCs w:val="24"/>
                <w:highlight w:val="none"/>
              </w:rPr>
              <w:t>和</w:t>
            </w:r>
            <w:r>
              <w:rPr>
                <w:rFonts w:ascii="FangSong_GB2312" w:hAnsi="FangSong_GB2312" w:eastAsia="FangSong_GB2312" w:cs="FangSong_GB2312"/>
                <w:color w:val="auto"/>
                <w:spacing w:val="27"/>
                <w:sz w:val="24"/>
                <w:szCs w:val="24"/>
                <w:highlight w:val="none"/>
              </w:rPr>
              <w:t>社会保障局指</w:t>
            </w:r>
            <w:r>
              <w:rPr>
                <w:rFonts w:ascii="FangSong_GB2312" w:hAnsi="FangSong_GB2312" w:eastAsia="FangSong_GB2312" w:cs="FangSong_GB2312"/>
                <w:color w:val="auto"/>
                <w:spacing w:val="7"/>
                <w:sz w:val="24"/>
                <w:szCs w:val="24"/>
                <w:highlight w:val="none"/>
              </w:rPr>
              <w:t>定或认</w:t>
            </w:r>
            <w:r>
              <w:rPr>
                <w:rFonts w:ascii="FangSong_GB2312" w:hAnsi="FangSong_GB2312" w:eastAsia="FangSong_GB2312" w:cs="FangSong_GB2312"/>
                <w:color w:val="auto"/>
                <w:spacing w:val="-65"/>
                <w:sz w:val="24"/>
                <w:szCs w:val="24"/>
                <w:highlight w:val="none"/>
              </w:rPr>
              <w:t xml:space="preserve"> </w:t>
            </w:r>
            <w:r>
              <w:rPr>
                <w:rFonts w:ascii="FangSong_GB2312" w:hAnsi="FangSong_GB2312" w:eastAsia="FangSong_GB2312" w:cs="FangSong_GB2312"/>
                <w:color w:val="auto"/>
                <w:spacing w:val="7"/>
                <w:sz w:val="24"/>
                <w:szCs w:val="24"/>
                <w:highlight w:val="none"/>
              </w:rPr>
              <w:t>可</w:t>
            </w:r>
            <w:r>
              <w:rPr>
                <w:rFonts w:ascii="FangSong_GB2312" w:hAnsi="FangSong_GB2312" w:eastAsia="FangSong_GB2312" w:cs="FangSong_GB2312"/>
                <w:color w:val="auto"/>
                <w:spacing w:val="-54"/>
                <w:sz w:val="24"/>
                <w:szCs w:val="24"/>
                <w:highlight w:val="none"/>
              </w:rPr>
              <w:t xml:space="preserve"> </w:t>
            </w:r>
            <w:r>
              <w:rPr>
                <w:rFonts w:ascii="FangSong_GB2312" w:hAnsi="FangSong_GB2312" w:eastAsia="FangSong_GB2312" w:cs="FangSong_GB2312"/>
                <w:color w:val="auto"/>
                <w:spacing w:val="7"/>
                <w:sz w:val="24"/>
                <w:szCs w:val="24"/>
                <w:highlight w:val="none"/>
              </w:rPr>
              <w:t>的线</w:t>
            </w:r>
            <w:r>
              <w:rPr>
                <w:rFonts w:ascii="FangSong_GB2312" w:hAnsi="FangSong_GB2312" w:eastAsia="FangSong_GB2312" w:cs="FangSong_GB2312"/>
                <w:color w:val="auto"/>
                <w:spacing w:val="27"/>
                <w:sz w:val="24"/>
                <w:szCs w:val="24"/>
                <w:highlight w:val="none"/>
              </w:rPr>
              <w:t>上公共就业服</w:t>
            </w:r>
            <w:r>
              <w:rPr>
                <w:rFonts w:ascii="FangSong_GB2312" w:hAnsi="FangSong_GB2312" w:eastAsia="FangSong_GB2312" w:cs="FangSong_GB2312"/>
                <w:color w:val="auto"/>
                <w:spacing w:val="-11"/>
                <w:sz w:val="24"/>
                <w:szCs w:val="24"/>
                <w:highlight w:val="none"/>
              </w:rPr>
              <w:t>务</w:t>
            </w:r>
            <w:r>
              <w:rPr>
                <w:rFonts w:ascii="FangSong_GB2312" w:hAnsi="FangSong_GB2312" w:eastAsia="FangSong_GB2312" w:cs="FangSong_GB2312"/>
                <w:color w:val="auto"/>
                <w:spacing w:val="-71"/>
                <w:sz w:val="24"/>
                <w:szCs w:val="24"/>
                <w:highlight w:val="none"/>
              </w:rPr>
              <w:t xml:space="preserve"> </w:t>
            </w:r>
            <w:r>
              <w:rPr>
                <w:rFonts w:ascii="FangSong_GB2312" w:hAnsi="FangSong_GB2312" w:eastAsia="FangSong_GB2312" w:cs="FangSong_GB2312"/>
                <w:color w:val="auto"/>
                <w:spacing w:val="-11"/>
                <w:sz w:val="24"/>
                <w:szCs w:val="24"/>
                <w:highlight w:val="none"/>
              </w:rPr>
              <w:t>平</w:t>
            </w:r>
            <w:r>
              <w:rPr>
                <w:rFonts w:ascii="FangSong_GB2312" w:hAnsi="FangSong_GB2312" w:eastAsia="FangSong_GB2312" w:cs="FangSong_GB2312"/>
                <w:color w:val="auto"/>
                <w:spacing w:val="-49"/>
                <w:sz w:val="24"/>
                <w:szCs w:val="24"/>
                <w:highlight w:val="none"/>
              </w:rPr>
              <w:t xml:space="preserve"> </w:t>
            </w:r>
            <w:r>
              <w:rPr>
                <w:rFonts w:ascii="FangSong_GB2312" w:hAnsi="FangSong_GB2312" w:eastAsia="FangSong_GB2312" w:cs="FangSong_GB2312"/>
                <w:color w:val="auto"/>
                <w:spacing w:val="-11"/>
                <w:sz w:val="24"/>
                <w:szCs w:val="24"/>
                <w:highlight w:val="none"/>
              </w:rPr>
              <w:t>台并</w:t>
            </w:r>
            <w:r>
              <w:rPr>
                <w:rFonts w:ascii="FangSong_GB2312" w:hAnsi="FangSong_GB2312" w:eastAsia="FangSong_GB2312" w:cs="FangSong_GB2312"/>
                <w:color w:val="auto"/>
                <w:spacing w:val="-62"/>
                <w:sz w:val="24"/>
                <w:szCs w:val="24"/>
                <w:highlight w:val="none"/>
              </w:rPr>
              <w:t xml:space="preserve"> </w:t>
            </w:r>
            <w:r>
              <w:rPr>
                <w:rFonts w:ascii="FangSong_GB2312" w:hAnsi="FangSong_GB2312" w:eastAsia="FangSong_GB2312" w:cs="FangSong_GB2312"/>
                <w:color w:val="auto"/>
                <w:spacing w:val="-11"/>
                <w:sz w:val="24"/>
                <w:szCs w:val="24"/>
                <w:highlight w:val="none"/>
              </w:rPr>
              <w:t>实</w:t>
            </w:r>
            <w:r>
              <w:rPr>
                <w:rFonts w:ascii="FangSong_GB2312" w:hAnsi="FangSong_GB2312" w:eastAsia="FangSong_GB2312" w:cs="FangSong_GB2312"/>
                <w:color w:val="auto"/>
                <w:spacing w:val="-70"/>
                <w:sz w:val="24"/>
                <w:szCs w:val="24"/>
                <w:highlight w:val="none"/>
              </w:rPr>
              <w:t xml:space="preserve"> </w:t>
            </w:r>
            <w:r>
              <w:rPr>
                <w:rFonts w:ascii="FangSong_GB2312" w:hAnsi="FangSong_GB2312" w:eastAsia="FangSong_GB2312" w:cs="FangSong_GB2312"/>
                <w:color w:val="auto"/>
                <w:spacing w:val="-11"/>
                <w:sz w:val="24"/>
                <w:szCs w:val="24"/>
                <w:highlight w:val="none"/>
              </w:rPr>
              <w:t>现</w:t>
            </w:r>
            <w:r>
              <w:rPr>
                <w:rFonts w:ascii="FangSong_GB2312" w:hAnsi="FangSong_GB2312" w:eastAsia="FangSong_GB2312" w:cs="FangSong_GB2312"/>
                <w:color w:val="auto"/>
                <w:spacing w:val="3"/>
                <w:sz w:val="24"/>
                <w:szCs w:val="24"/>
                <w:highlight w:val="none"/>
              </w:rPr>
              <w:t>就业</w:t>
            </w:r>
            <w:r>
              <w:rPr>
                <w:rFonts w:ascii="Times New Roman" w:hAnsi="Times New Roman" w:eastAsia="Times New Roman" w:cs="Times New Roman"/>
                <w:color w:val="auto"/>
                <w:spacing w:val="3"/>
                <w:sz w:val="24"/>
                <w:szCs w:val="24"/>
                <w:highlight w:val="none"/>
              </w:rPr>
              <w:t>“</w:t>
            </w:r>
            <w:r>
              <w:rPr>
                <w:rFonts w:ascii="Times New Roman" w:hAnsi="Times New Roman" w:eastAsia="Times New Roman" w:cs="Times New Roman"/>
                <w:color w:val="auto"/>
                <w:spacing w:val="-25"/>
                <w:sz w:val="24"/>
                <w:szCs w:val="24"/>
                <w:highlight w:val="none"/>
              </w:rPr>
              <w:t xml:space="preserve"> </w:t>
            </w:r>
            <w:r>
              <w:rPr>
                <w:rFonts w:ascii="FangSong_GB2312" w:hAnsi="FangSong_GB2312" w:eastAsia="FangSong_GB2312" w:cs="FangSong_GB2312"/>
                <w:color w:val="auto"/>
                <w:spacing w:val="3"/>
                <w:sz w:val="24"/>
                <w:szCs w:val="24"/>
                <w:highlight w:val="none"/>
              </w:rPr>
              <w:t>一库一平</w:t>
            </w:r>
            <w:r>
              <w:rPr>
                <w:rFonts w:ascii="FangSong_GB2312" w:hAnsi="FangSong_GB2312" w:eastAsia="FangSong_GB2312" w:cs="FangSong_GB2312"/>
                <w:color w:val="auto"/>
                <w:spacing w:val="4"/>
                <w:sz w:val="24"/>
                <w:szCs w:val="24"/>
                <w:highlight w:val="none"/>
              </w:rPr>
              <w:t>台</w:t>
            </w:r>
            <w:r>
              <w:rPr>
                <w:rFonts w:ascii="Times New Roman" w:hAnsi="Times New Roman" w:eastAsia="Times New Roman" w:cs="Times New Roman"/>
                <w:color w:val="auto"/>
                <w:spacing w:val="4"/>
                <w:sz w:val="24"/>
                <w:szCs w:val="24"/>
                <w:highlight w:val="none"/>
              </w:rPr>
              <w:t>”</w:t>
            </w:r>
            <w:r>
              <w:rPr>
                <w:rFonts w:ascii="Times New Roman" w:hAnsi="Times New Roman" w:eastAsia="Times New Roman" w:cs="Times New Roman"/>
                <w:color w:val="auto"/>
                <w:spacing w:val="-35"/>
                <w:sz w:val="24"/>
                <w:szCs w:val="24"/>
                <w:highlight w:val="none"/>
              </w:rPr>
              <w:t xml:space="preserve"> </w:t>
            </w:r>
            <w:r>
              <w:rPr>
                <w:rFonts w:ascii="FangSong_GB2312" w:hAnsi="FangSong_GB2312" w:eastAsia="FangSong_GB2312" w:cs="FangSong_GB2312"/>
                <w:color w:val="auto"/>
                <w:spacing w:val="4"/>
                <w:sz w:val="24"/>
                <w:szCs w:val="24"/>
                <w:highlight w:val="none"/>
              </w:rPr>
              <w:t>数据互联互</w:t>
            </w:r>
            <w:r>
              <w:rPr>
                <w:rFonts w:ascii="FangSong_GB2312" w:hAnsi="FangSong_GB2312" w:eastAsia="FangSong_GB2312" w:cs="FangSong_GB2312"/>
                <w:color w:val="auto"/>
                <w:sz w:val="24"/>
                <w:szCs w:val="24"/>
                <w:highlight w:val="none"/>
              </w:rPr>
              <w:t>通</w:t>
            </w:r>
          </w:p>
        </w:tc>
        <w:tc>
          <w:tcPr>
            <w:tcW w:w="3898" w:type="dxa"/>
            <w:noWrap w:val="0"/>
            <w:vAlign w:val="top"/>
          </w:tcPr>
          <w:p w14:paraId="29AFEAA0">
            <w:pPr>
              <w:spacing w:before="143"/>
              <w:ind w:left="115" w:right="32" w:firstLine="18"/>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7"/>
                <w:sz w:val="24"/>
                <w:szCs w:val="24"/>
                <w:highlight w:val="none"/>
              </w:rPr>
              <w:t>1.</w:t>
            </w:r>
            <w:r>
              <w:rPr>
                <w:rFonts w:ascii="FangSong_GB2312" w:hAnsi="FangSong_GB2312" w:eastAsia="FangSong_GB2312" w:cs="FangSong_GB2312"/>
                <w:color w:val="auto"/>
                <w:spacing w:val="7"/>
                <w:sz w:val="24"/>
                <w:szCs w:val="24"/>
                <w:highlight w:val="none"/>
              </w:rPr>
              <w:t>服务站统一接入南宁市人力资源</w:t>
            </w:r>
            <w:r>
              <w:rPr>
                <w:rFonts w:ascii="FangSong_GB2312" w:hAnsi="FangSong_GB2312" w:eastAsia="FangSong_GB2312" w:cs="FangSong_GB2312"/>
                <w:color w:val="auto"/>
                <w:spacing w:val="4"/>
                <w:sz w:val="24"/>
                <w:szCs w:val="24"/>
                <w:highlight w:val="none"/>
              </w:rPr>
              <w:t>和社会保障局指定或认可的线上公</w:t>
            </w:r>
            <w:r>
              <w:rPr>
                <w:rFonts w:ascii="FangSong_GB2312" w:hAnsi="FangSong_GB2312" w:eastAsia="FangSong_GB2312" w:cs="FangSong_GB2312"/>
                <w:color w:val="auto"/>
                <w:spacing w:val="-6"/>
                <w:sz w:val="24"/>
                <w:szCs w:val="24"/>
                <w:highlight w:val="none"/>
              </w:rPr>
              <w:t>共就业服务平台，实时收集、更新、</w:t>
            </w:r>
            <w:r>
              <w:rPr>
                <w:rFonts w:ascii="FangSong_GB2312" w:hAnsi="FangSong_GB2312" w:eastAsia="FangSong_GB2312" w:cs="FangSong_GB2312"/>
                <w:color w:val="auto"/>
                <w:spacing w:val="22"/>
                <w:sz w:val="24"/>
                <w:szCs w:val="24"/>
                <w:highlight w:val="none"/>
              </w:rPr>
              <w:t>发布及跟踪招聘求职培训创业信</w:t>
            </w:r>
            <w:r>
              <w:rPr>
                <w:rFonts w:ascii="FangSong_GB2312" w:hAnsi="FangSong_GB2312" w:eastAsia="FangSong_GB2312" w:cs="FangSong_GB2312"/>
                <w:color w:val="auto"/>
                <w:spacing w:val="3"/>
                <w:sz w:val="24"/>
                <w:szCs w:val="24"/>
                <w:highlight w:val="none"/>
              </w:rPr>
              <w:t>息，并实现就业</w:t>
            </w:r>
            <w:r>
              <w:rPr>
                <w:rFonts w:ascii="Times New Roman" w:hAnsi="Times New Roman" w:eastAsia="Times New Roman" w:cs="Times New Roman"/>
                <w:color w:val="auto"/>
                <w:spacing w:val="3"/>
                <w:sz w:val="24"/>
                <w:szCs w:val="24"/>
                <w:highlight w:val="none"/>
              </w:rPr>
              <w:t>“</w:t>
            </w:r>
            <w:r>
              <w:rPr>
                <w:rFonts w:ascii="Times New Roman" w:hAnsi="Times New Roman" w:eastAsia="Times New Roman" w:cs="Times New Roman"/>
                <w:color w:val="auto"/>
                <w:spacing w:val="-30"/>
                <w:sz w:val="24"/>
                <w:szCs w:val="24"/>
                <w:highlight w:val="none"/>
              </w:rPr>
              <w:t xml:space="preserve"> </w:t>
            </w:r>
            <w:r>
              <w:rPr>
                <w:rFonts w:ascii="FangSong_GB2312" w:hAnsi="FangSong_GB2312" w:eastAsia="FangSong_GB2312" w:cs="FangSong_GB2312"/>
                <w:color w:val="auto"/>
                <w:spacing w:val="3"/>
                <w:sz w:val="24"/>
                <w:szCs w:val="24"/>
                <w:highlight w:val="none"/>
              </w:rPr>
              <w:t>一库一平台</w:t>
            </w:r>
            <w:r>
              <w:rPr>
                <w:rFonts w:ascii="Times New Roman" w:hAnsi="Times New Roman" w:eastAsia="Times New Roman" w:cs="Times New Roman"/>
                <w:color w:val="auto"/>
                <w:spacing w:val="3"/>
                <w:sz w:val="24"/>
                <w:szCs w:val="24"/>
                <w:highlight w:val="none"/>
              </w:rPr>
              <w:t>”</w:t>
            </w:r>
            <w:r>
              <w:rPr>
                <w:rFonts w:ascii="Times New Roman" w:hAnsi="Times New Roman" w:eastAsia="Times New Roman" w:cs="Times New Roman"/>
                <w:color w:val="auto"/>
                <w:spacing w:val="-38"/>
                <w:sz w:val="24"/>
                <w:szCs w:val="24"/>
                <w:highlight w:val="none"/>
              </w:rPr>
              <w:t xml:space="preserve"> </w:t>
            </w:r>
            <w:r>
              <w:rPr>
                <w:rFonts w:ascii="FangSong_GB2312" w:hAnsi="FangSong_GB2312" w:eastAsia="FangSong_GB2312" w:cs="FangSong_GB2312"/>
                <w:color w:val="auto"/>
                <w:spacing w:val="3"/>
                <w:sz w:val="24"/>
                <w:szCs w:val="24"/>
                <w:highlight w:val="none"/>
              </w:rPr>
              <w:t>数据</w:t>
            </w:r>
            <w:r>
              <w:rPr>
                <w:rFonts w:ascii="FangSong_GB2312" w:hAnsi="FangSong_GB2312" w:eastAsia="FangSong_GB2312" w:cs="FangSong_GB2312"/>
                <w:color w:val="auto"/>
                <w:spacing w:val="-2"/>
                <w:sz w:val="24"/>
                <w:szCs w:val="24"/>
                <w:highlight w:val="none"/>
              </w:rPr>
              <w:t>互联互通；</w:t>
            </w:r>
          </w:p>
          <w:p w14:paraId="1AA48C33">
            <w:pPr>
              <w:ind w:left="116" w:right="32" w:hanging="6"/>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6"/>
                <w:sz w:val="24"/>
                <w:szCs w:val="24"/>
                <w:highlight w:val="none"/>
              </w:rPr>
              <w:t>2.</w:t>
            </w:r>
            <w:r>
              <w:rPr>
                <w:rFonts w:ascii="FangSong_GB2312" w:hAnsi="FangSong_GB2312" w:eastAsia="FangSong_GB2312" w:cs="FangSong_GB2312"/>
                <w:color w:val="auto"/>
                <w:spacing w:val="-6"/>
                <w:sz w:val="24"/>
                <w:szCs w:val="24"/>
                <w:highlight w:val="none"/>
              </w:rPr>
              <w:t>建立多级调度监测机制，能远程监</w:t>
            </w:r>
            <w:r>
              <w:rPr>
                <w:rFonts w:ascii="FangSong_GB2312" w:hAnsi="FangSong_GB2312" w:eastAsia="FangSong_GB2312" w:cs="FangSong_GB2312"/>
                <w:color w:val="auto"/>
                <w:spacing w:val="4"/>
                <w:sz w:val="24"/>
                <w:szCs w:val="24"/>
                <w:highlight w:val="none"/>
              </w:rPr>
              <w:t>测和科学直观了解本辖区服务网点</w:t>
            </w:r>
            <w:r>
              <w:rPr>
                <w:rFonts w:ascii="FangSong_GB2312" w:hAnsi="FangSong_GB2312" w:eastAsia="FangSong_GB2312" w:cs="FangSong_GB2312"/>
                <w:color w:val="auto"/>
                <w:spacing w:val="-7"/>
                <w:sz w:val="24"/>
                <w:szCs w:val="24"/>
                <w:highlight w:val="none"/>
              </w:rPr>
              <w:t>的运营数据，实现分站点、分时段、</w:t>
            </w:r>
            <w:r>
              <w:rPr>
                <w:rFonts w:ascii="FangSong_GB2312" w:hAnsi="FangSong_GB2312" w:eastAsia="FangSong_GB2312" w:cs="FangSong_GB2312"/>
                <w:color w:val="auto"/>
                <w:spacing w:val="4"/>
                <w:sz w:val="24"/>
                <w:szCs w:val="24"/>
                <w:highlight w:val="none"/>
              </w:rPr>
              <w:t>分类型等服务数据监测、分析、统</w:t>
            </w:r>
            <w:r>
              <w:rPr>
                <w:rFonts w:ascii="FangSong_GB2312" w:hAnsi="FangSong_GB2312" w:eastAsia="FangSong_GB2312" w:cs="FangSong_GB2312"/>
                <w:color w:val="auto"/>
                <w:spacing w:val="-2"/>
                <w:sz w:val="24"/>
                <w:szCs w:val="24"/>
                <w:highlight w:val="none"/>
              </w:rPr>
              <w:t>计、调度、展示等；</w:t>
            </w:r>
          </w:p>
          <w:p w14:paraId="47E36A4D">
            <w:pPr>
              <w:spacing w:before="3" w:line="246" w:lineRule="auto"/>
              <w:ind w:left="119" w:right="103" w:hanging="4"/>
              <w:rPr>
                <w:rFonts w:ascii="FangSong_GB2312" w:hAnsi="FangSong_GB2312" w:eastAsia="FangSong_GB2312" w:cs="FangSong_GB2312"/>
                <w:color w:val="auto"/>
                <w:sz w:val="24"/>
                <w:szCs w:val="24"/>
                <w:highlight w:val="none"/>
              </w:rPr>
            </w:pPr>
            <w:r>
              <w:rPr>
                <w:rFonts w:ascii="Times New Roman" w:hAnsi="Times New Roman" w:eastAsia="Times New Roman" w:cs="Times New Roman"/>
                <w:color w:val="auto"/>
                <w:spacing w:val="5"/>
                <w:sz w:val="24"/>
                <w:szCs w:val="24"/>
                <w:highlight w:val="none"/>
              </w:rPr>
              <w:t>3.</w:t>
            </w:r>
            <w:r>
              <w:rPr>
                <w:rFonts w:ascii="Times New Roman" w:hAnsi="Times New Roman" w:eastAsia="Times New Roman" w:cs="Times New Roman"/>
                <w:color w:val="auto"/>
                <w:spacing w:val="-7"/>
                <w:sz w:val="24"/>
                <w:szCs w:val="24"/>
                <w:highlight w:val="none"/>
              </w:rPr>
              <w:t xml:space="preserve"> </w:t>
            </w:r>
            <w:r>
              <w:rPr>
                <w:rFonts w:ascii="FangSong_GB2312" w:hAnsi="FangSong_GB2312" w:eastAsia="FangSong_GB2312" w:cs="FangSong_GB2312"/>
                <w:color w:val="auto"/>
                <w:spacing w:val="5"/>
                <w:sz w:val="24"/>
                <w:szCs w:val="24"/>
                <w:highlight w:val="none"/>
              </w:rPr>
              <w:t>能远程实时监控和调度本辖区服</w:t>
            </w:r>
            <w:r>
              <w:rPr>
                <w:rFonts w:ascii="FangSong_GB2312" w:hAnsi="FangSong_GB2312" w:eastAsia="FangSong_GB2312" w:cs="FangSong_GB2312"/>
                <w:color w:val="auto"/>
                <w:spacing w:val="4"/>
                <w:sz w:val="24"/>
                <w:szCs w:val="24"/>
                <w:highlight w:val="none"/>
              </w:rPr>
              <w:t>务站点运营方工作人员的服务状况</w:t>
            </w:r>
            <w:r>
              <w:rPr>
                <w:rFonts w:ascii="FangSong_GB2312" w:hAnsi="FangSong_GB2312" w:eastAsia="FangSong_GB2312" w:cs="FangSong_GB2312"/>
                <w:color w:val="auto"/>
                <w:spacing w:val="-11"/>
                <w:sz w:val="24"/>
                <w:szCs w:val="24"/>
                <w:highlight w:val="none"/>
              </w:rPr>
              <w:t>和站点运行情况，并能接受上级（或</w:t>
            </w:r>
            <w:r>
              <w:rPr>
                <w:rFonts w:ascii="FangSong_GB2312" w:hAnsi="FangSong_GB2312" w:eastAsia="FangSong_GB2312" w:cs="FangSong_GB2312"/>
                <w:color w:val="auto"/>
                <w:spacing w:val="-2"/>
                <w:sz w:val="24"/>
                <w:szCs w:val="24"/>
                <w:highlight w:val="none"/>
              </w:rPr>
              <w:t>中枢性）网点监控和调度。</w:t>
            </w:r>
          </w:p>
        </w:tc>
        <w:tc>
          <w:tcPr>
            <w:tcW w:w="2352" w:type="dxa"/>
            <w:noWrap w:val="0"/>
            <w:vAlign w:val="top"/>
          </w:tcPr>
          <w:p w14:paraId="07A2140E">
            <w:pPr>
              <w:pStyle w:val="56"/>
              <w:rPr>
                <w:color w:val="auto"/>
                <w:highlight w:val="none"/>
              </w:rPr>
            </w:pPr>
          </w:p>
        </w:tc>
      </w:tr>
    </w:tbl>
    <w:p w14:paraId="3F13C919">
      <w:pPr>
        <w:rPr>
          <w:color w:val="auto"/>
          <w:highlight w:val="none"/>
          <w:u w:val="none"/>
        </w:rPr>
      </w:pPr>
    </w:p>
    <w:p w14:paraId="5BEEA824">
      <w:pPr>
        <w:rPr>
          <w:color w:val="auto"/>
          <w:highlight w:val="none"/>
          <w:u w:val="none"/>
        </w:rPr>
      </w:pPr>
    </w:p>
    <w:p w14:paraId="5DAA49A4">
      <w:pPr>
        <w:rPr>
          <w:color w:val="auto"/>
          <w:highlight w:val="none"/>
          <w:u w:val="none"/>
        </w:rPr>
      </w:pPr>
    </w:p>
    <w:p w14:paraId="2D112282">
      <w:pPr>
        <w:rPr>
          <w:color w:val="auto"/>
          <w:highlight w:val="none"/>
          <w:u w:val="none"/>
        </w:rPr>
      </w:pPr>
    </w:p>
    <w:p w14:paraId="3FF688DC">
      <w:pPr>
        <w:rPr>
          <w:color w:val="auto"/>
          <w:highlight w:val="none"/>
          <w:u w:val="none"/>
        </w:rPr>
      </w:pPr>
    </w:p>
    <w:p w14:paraId="24C0E5DD">
      <w:pPr>
        <w:rPr>
          <w:color w:val="auto"/>
          <w:highlight w:val="none"/>
          <w:u w:val="none"/>
        </w:rPr>
      </w:pPr>
    </w:p>
    <w:p w14:paraId="13FAA7CC">
      <w:pPr>
        <w:rPr>
          <w:color w:val="auto"/>
          <w:highlight w:val="none"/>
          <w:u w:val="none"/>
        </w:rPr>
      </w:pPr>
    </w:p>
    <w:p w14:paraId="72190149">
      <w:pPr>
        <w:rPr>
          <w:color w:val="auto"/>
          <w:highlight w:val="none"/>
          <w:u w:val="none"/>
        </w:rPr>
      </w:pPr>
    </w:p>
    <w:p w14:paraId="28726A41">
      <w:pPr>
        <w:rPr>
          <w:color w:val="auto"/>
          <w:highlight w:val="none"/>
          <w:u w:val="none"/>
        </w:rPr>
      </w:pPr>
    </w:p>
    <w:p w14:paraId="6EB8FDBB">
      <w:pPr>
        <w:rPr>
          <w:color w:val="auto"/>
          <w:highlight w:val="none"/>
          <w:u w:val="none"/>
        </w:rPr>
      </w:pPr>
    </w:p>
    <w:p w14:paraId="61D31929">
      <w:pPr>
        <w:rPr>
          <w:color w:val="auto"/>
          <w:highlight w:val="none"/>
          <w:u w:val="none"/>
        </w:rPr>
      </w:pPr>
    </w:p>
    <w:p w14:paraId="4DF7F9E7">
      <w:pPr>
        <w:rPr>
          <w:color w:val="auto"/>
          <w:highlight w:val="none"/>
          <w:u w:val="none"/>
        </w:rPr>
      </w:pPr>
    </w:p>
    <w:p w14:paraId="0892C5B3">
      <w:pPr>
        <w:rPr>
          <w:color w:val="auto"/>
          <w:highlight w:val="none"/>
          <w:u w:val="none"/>
        </w:rPr>
      </w:pPr>
    </w:p>
    <w:p w14:paraId="241CF6BF">
      <w:pPr>
        <w:rPr>
          <w:color w:val="auto"/>
          <w:highlight w:val="none"/>
          <w:u w:val="none"/>
        </w:rPr>
      </w:pPr>
    </w:p>
    <w:p w14:paraId="63CE67F0">
      <w:pPr>
        <w:rPr>
          <w:color w:val="auto"/>
          <w:highlight w:val="none"/>
          <w:u w:val="none"/>
        </w:rPr>
      </w:pPr>
    </w:p>
    <w:p w14:paraId="0871808D">
      <w:pPr>
        <w:rPr>
          <w:color w:val="auto"/>
          <w:highlight w:val="none"/>
          <w:u w:val="none"/>
        </w:rPr>
      </w:pPr>
    </w:p>
    <w:p w14:paraId="41DC22F1">
      <w:pPr>
        <w:keepNext w:val="0"/>
        <w:keepLines w:val="0"/>
        <w:pageBreakBefore w:val="0"/>
        <w:widowControl w:val="0"/>
        <w:kinsoku/>
        <w:wordWrap/>
        <w:overflowPunct/>
        <w:topLinePunct w:val="0"/>
        <w:autoSpaceDE/>
        <w:autoSpaceDN/>
        <w:bidi w:val="0"/>
        <w:adjustRightInd/>
        <w:snapToGrid/>
        <w:spacing w:line="428" w:lineRule="exact"/>
        <w:textAlignment w:val="auto"/>
        <w:outlineLvl w:val="1"/>
        <w:rPr>
          <w:rFonts w:hint="eastAsia" w:ascii="仿宋_GB2312" w:hAnsi="仿宋_GB2312" w:eastAsia="仿宋_GB2312" w:cs="仿宋_GB2312"/>
          <w:color w:val="auto"/>
          <w:kern w:val="0"/>
          <w:sz w:val="32"/>
          <w:szCs w:val="32"/>
          <w:highlight w:val="none"/>
          <w:u w:val="none"/>
          <w:lang w:val="en-US" w:eastAsia="zh-CN"/>
        </w:rPr>
      </w:pPr>
      <w:bookmarkStart w:id="38" w:name="_Toc540"/>
      <w:r>
        <w:rPr>
          <w:rFonts w:hint="eastAsia" w:ascii="仿宋_GB2312" w:hAnsi="仿宋_GB2312" w:eastAsia="仿宋_GB2312" w:cs="仿宋_GB2312"/>
          <w:color w:val="auto"/>
          <w:kern w:val="0"/>
          <w:sz w:val="32"/>
          <w:szCs w:val="32"/>
          <w:highlight w:val="none"/>
          <w:u w:val="none"/>
          <w:lang w:val="en-US" w:eastAsia="zh-CN"/>
        </w:rPr>
        <w:t>附件3</w:t>
      </w:r>
      <w:bookmarkEnd w:id="38"/>
    </w:p>
    <w:p w14:paraId="10783DE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微软雅黑" w:hAnsi="微软雅黑" w:eastAsia="微软雅黑" w:cs="微软雅黑"/>
          <w:color w:val="auto"/>
          <w:sz w:val="32"/>
          <w:szCs w:val="32"/>
          <w:highlight w:val="none"/>
          <w:u w:val="none"/>
          <w:vertAlign w:val="baseline"/>
          <w:lang w:val="en-US" w:eastAsia="zh-CN"/>
        </w:rPr>
      </w:pPr>
      <w:r>
        <w:rPr>
          <w:rFonts w:hint="eastAsia" w:ascii="微软雅黑" w:hAnsi="微软雅黑" w:eastAsia="微软雅黑" w:cs="微软雅黑"/>
          <w:color w:val="auto"/>
          <w:sz w:val="32"/>
          <w:szCs w:val="32"/>
          <w:highlight w:val="none"/>
          <w:u w:val="none"/>
          <w:vertAlign w:val="baseline"/>
          <w:lang w:val="en-US" w:eastAsia="zh-CN"/>
        </w:rPr>
        <w:t>南宁市一级就业服务站服务事项清单</w:t>
      </w:r>
    </w:p>
    <w:tbl>
      <w:tblPr>
        <w:tblStyle w:val="117"/>
        <w:tblW w:w="9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2"/>
        <w:gridCol w:w="882"/>
        <w:gridCol w:w="1379"/>
        <w:gridCol w:w="5399"/>
      </w:tblGrid>
      <w:tr w14:paraId="3A55C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19" w:hRule="atLeast"/>
        </w:trPr>
        <w:tc>
          <w:tcPr>
            <w:tcW w:w="1562" w:type="dxa"/>
            <w:noWrap w:val="0"/>
            <w:vAlign w:val="top"/>
          </w:tcPr>
          <w:p w14:paraId="761CCA55">
            <w:pPr>
              <w:pStyle w:val="56"/>
              <w:spacing w:line="310" w:lineRule="auto"/>
              <w:rPr>
                <w:color w:val="auto"/>
                <w:highlight w:val="none"/>
              </w:rPr>
            </w:pPr>
          </w:p>
          <w:p w14:paraId="42EC8D42">
            <w:pPr>
              <w:spacing w:before="78" w:line="221" w:lineRule="auto"/>
              <w:ind w:left="30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服务类别</w:t>
            </w:r>
          </w:p>
        </w:tc>
        <w:tc>
          <w:tcPr>
            <w:tcW w:w="882" w:type="dxa"/>
            <w:noWrap w:val="0"/>
            <w:vAlign w:val="top"/>
          </w:tcPr>
          <w:p w14:paraId="426A4EFF">
            <w:pPr>
              <w:pStyle w:val="56"/>
              <w:spacing w:line="311" w:lineRule="auto"/>
              <w:rPr>
                <w:color w:val="auto"/>
                <w:highlight w:val="none"/>
              </w:rPr>
            </w:pPr>
          </w:p>
          <w:p w14:paraId="2D0CDE1D">
            <w:pPr>
              <w:spacing w:before="78" w:line="223" w:lineRule="auto"/>
              <w:ind w:left="207"/>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序号</w:t>
            </w:r>
          </w:p>
        </w:tc>
        <w:tc>
          <w:tcPr>
            <w:tcW w:w="1379" w:type="dxa"/>
            <w:noWrap w:val="0"/>
            <w:vAlign w:val="top"/>
          </w:tcPr>
          <w:p w14:paraId="68169F33">
            <w:pPr>
              <w:pStyle w:val="56"/>
              <w:spacing w:line="310" w:lineRule="auto"/>
              <w:rPr>
                <w:color w:val="auto"/>
                <w:highlight w:val="none"/>
              </w:rPr>
            </w:pPr>
          </w:p>
          <w:p w14:paraId="6B166DB0">
            <w:pPr>
              <w:spacing w:before="78" w:line="221" w:lineRule="auto"/>
              <w:ind w:left="214"/>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服务事项</w:t>
            </w:r>
          </w:p>
        </w:tc>
        <w:tc>
          <w:tcPr>
            <w:tcW w:w="5399" w:type="dxa"/>
            <w:noWrap w:val="0"/>
            <w:vAlign w:val="top"/>
          </w:tcPr>
          <w:p w14:paraId="7577562C">
            <w:pPr>
              <w:pStyle w:val="56"/>
              <w:spacing w:line="310" w:lineRule="auto"/>
              <w:rPr>
                <w:color w:val="auto"/>
                <w:highlight w:val="none"/>
              </w:rPr>
            </w:pPr>
          </w:p>
          <w:p w14:paraId="1107F1B2">
            <w:pPr>
              <w:spacing w:before="78" w:line="221" w:lineRule="auto"/>
              <w:ind w:left="2224"/>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服务内容</w:t>
            </w:r>
          </w:p>
        </w:tc>
      </w:tr>
      <w:tr w14:paraId="56251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3" w:hRule="atLeast"/>
        </w:trPr>
        <w:tc>
          <w:tcPr>
            <w:tcW w:w="1562" w:type="dxa"/>
            <w:vMerge w:val="restart"/>
            <w:tcBorders>
              <w:bottom w:val="nil"/>
            </w:tcBorders>
            <w:noWrap w:val="0"/>
            <w:vAlign w:val="top"/>
          </w:tcPr>
          <w:p w14:paraId="1EF3E773">
            <w:pPr>
              <w:pStyle w:val="56"/>
              <w:spacing w:line="250" w:lineRule="auto"/>
              <w:rPr>
                <w:color w:val="auto"/>
                <w:highlight w:val="none"/>
              </w:rPr>
            </w:pPr>
          </w:p>
          <w:p w14:paraId="0D3EC2DE">
            <w:pPr>
              <w:pStyle w:val="56"/>
              <w:spacing w:line="250" w:lineRule="auto"/>
              <w:rPr>
                <w:color w:val="auto"/>
                <w:highlight w:val="none"/>
              </w:rPr>
            </w:pPr>
          </w:p>
          <w:p w14:paraId="35F5AADE">
            <w:pPr>
              <w:pStyle w:val="56"/>
              <w:spacing w:line="250" w:lineRule="auto"/>
              <w:rPr>
                <w:color w:val="auto"/>
                <w:highlight w:val="none"/>
              </w:rPr>
            </w:pPr>
          </w:p>
          <w:p w14:paraId="04B7F6B4">
            <w:pPr>
              <w:pStyle w:val="56"/>
              <w:spacing w:line="250" w:lineRule="auto"/>
              <w:rPr>
                <w:color w:val="auto"/>
                <w:highlight w:val="none"/>
              </w:rPr>
            </w:pPr>
          </w:p>
          <w:p w14:paraId="0AADD0E4">
            <w:pPr>
              <w:pStyle w:val="56"/>
              <w:spacing w:line="251" w:lineRule="auto"/>
              <w:rPr>
                <w:color w:val="auto"/>
                <w:highlight w:val="none"/>
              </w:rPr>
            </w:pPr>
          </w:p>
          <w:p w14:paraId="2D12103A">
            <w:pPr>
              <w:pStyle w:val="56"/>
              <w:spacing w:line="251" w:lineRule="auto"/>
              <w:rPr>
                <w:color w:val="auto"/>
                <w:highlight w:val="none"/>
              </w:rPr>
            </w:pPr>
          </w:p>
          <w:p w14:paraId="08BB1939">
            <w:pPr>
              <w:pStyle w:val="56"/>
              <w:spacing w:line="251" w:lineRule="auto"/>
              <w:rPr>
                <w:color w:val="auto"/>
                <w:highlight w:val="none"/>
              </w:rPr>
            </w:pPr>
          </w:p>
          <w:p w14:paraId="21E1DAFD">
            <w:pPr>
              <w:pStyle w:val="56"/>
              <w:spacing w:line="251" w:lineRule="auto"/>
              <w:rPr>
                <w:color w:val="auto"/>
                <w:highlight w:val="none"/>
              </w:rPr>
            </w:pPr>
          </w:p>
          <w:p w14:paraId="41CE96EE">
            <w:pPr>
              <w:pStyle w:val="56"/>
              <w:spacing w:line="251" w:lineRule="auto"/>
              <w:rPr>
                <w:color w:val="auto"/>
                <w:highlight w:val="none"/>
              </w:rPr>
            </w:pPr>
          </w:p>
          <w:p w14:paraId="6B61D029">
            <w:pPr>
              <w:pStyle w:val="56"/>
              <w:spacing w:line="251" w:lineRule="auto"/>
              <w:rPr>
                <w:color w:val="auto"/>
                <w:highlight w:val="none"/>
              </w:rPr>
            </w:pPr>
          </w:p>
          <w:p w14:paraId="6E81A50C">
            <w:pPr>
              <w:pStyle w:val="56"/>
              <w:spacing w:line="251" w:lineRule="auto"/>
              <w:rPr>
                <w:color w:val="auto"/>
                <w:highlight w:val="none"/>
              </w:rPr>
            </w:pPr>
          </w:p>
          <w:p w14:paraId="409C2D12">
            <w:pPr>
              <w:pStyle w:val="56"/>
              <w:spacing w:line="251" w:lineRule="auto"/>
              <w:rPr>
                <w:color w:val="auto"/>
                <w:highlight w:val="none"/>
              </w:rPr>
            </w:pPr>
          </w:p>
          <w:p w14:paraId="0FCC428A">
            <w:pPr>
              <w:spacing w:before="78" w:line="231" w:lineRule="auto"/>
              <w:ind w:left="130" w:right="102" w:firstLine="305"/>
              <w:rPr>
                <w:rFonts w:ascii="KaiTi_GB2312" w:hAnsi="KaiTi_GB2312" w:eastAsia="KaiTi_GB2312" w:cs="KaiTi_GB2312"/>
                <w:color w:val="auto"/>
                <w:sz w:val="24"/>
                <w:szCs w:val="24"/>
                <w:highlight w:val="none"/>
              </w:rPr>
            </w:pPr>
            <w:r>
              <w:rPr>
                <w:rFonts w:ascii="KaiTi_GB2312" w:hAnsi="KaiTi_GB2312" w:eastAsia="KaiTi_GB2312" w:cs="KaiTi_GB2312"/>
                <w:b/>
                <w:bCs/>
                <w:color w:val="auto"/>
                <w:spacing w:val="-8"/>
                <w:sz w:val="24"/>
                <w:szCs w:val="24"/>
                <w:highlight w:val="none"/>
              </w:rPr>
              <w:t>劳动者</w:t>
            </w:r>
            <w:r>
              <w:rPr>
                <w:rFonts w:ascii="KaiTi_GB2312" w:hAnsi="KaiTi_GB2312" w:eastAsia="KaiTi_GB2312" w:cs="KaiTi_GB2312"/>
                <w:color w:val="auto"/>
                <w:sz w:val="24"/>
                <w:szCs w:val="24"/>
                <w:highlight w:val="none"/>
              </w:rPr>
              <w:t xml:space="preserve"> </w:t>
            </w:r>
            <w:r>
              <w:rPr>
                <w:rFonts w:ascii="KaiTi_GB2312" w:hAnsi="KaiTi_GB2312" w:eastAsia="KaiTi_GB2312" w:cs="KaiTi_GB2312"/>
                <w:b/>
                <w:bCs/>
                <w:color w:val="auto"/>
                <w:spacing w:val="-22"/>
                <w:sz w:val="24"/>
                <w:szCs w:val="24"/>
                <w:highlight w:val="none"/>
              </w:rPr>
              <w:t>（对外公开）</w:t>
            </w:r>
          </w:p>
        </w:tc>
        <w:tc>
          <w:tcPr>
            <w:tcW w:w="882" w:type="dxa"/>
            <w:noWrap w:val="0"/>
            <w:vAlign w:val="top"/>
          </w:tcPr>
          <w:p w14:paraId="0E5C4A7C">
            <w:pPr>
              <w:pStyle w:val="56"/>
              <w:spacing w:line="364" w:lineRule="auto"/>
              <w:rPr>
                <w:color w:val="auto"/>
                <w:highlight w:val="none"/>
              </w:rPr>
            </w:pPr>
          </w:p>
          <w:p w14:paraId="7D9B44A5">
            <w:pPr>
              <w:spacing w:before="69" w:line="315" w:lineRule="exact"/>
              <w:ind w:left="40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1</w:t>
            </w:r>
          </w:p>
        </w:tc>
        <w:tc>
          <w:tcPr>
            <w:tcW w:w="1379" w:type="dxa"/>
            <w:noWrap w:val="0"/>
            <w:vAlign w:val="top"/>
          </w:tcPr>
          <w:p w14:paraId="7A3DB5DA">
            <w:pPr>
              <w:pStyle w:val="56"/>
              <w:spacing w:line="390" w:lineRule="auto"/>
              <w:rPr>
                <w:color w:val="auto"/>
                <w:highlight w:val="none"/>
              </w:rPr>
            </w:pPr>
          </w:p>
          <w:p w14:paraId="2FA99ECE">
            <w:pPr>
              <w:spacing w:before="78" w:line="214" w:lineRule="auto"/>
              <w:ind w:left="231"/>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7"/>
                <w:sz w:val="24"/>
                <w:szCs w:val="24"/>
                <w:highlight w:val="none"/>
              </w:rPr>
              <w:t>咨询服务</w:t>
            </w:r>
          </w:p>
        </w:tc>
        <w:tc>
          <w:tcPr>
            <w:tcW w:w="5399" w:type="dxa"/>
            <w:noWrap w:val="0"/>
            <w:vAlign w:val="top"/>
          </w:tcPr>
          <w:p w14:paraId="22F122B2">
            <w:pPr>
              <w:spacing w:before="171" w:line="214" w:lineRule="auto"/>
              <w:ind w:left="12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政策宣传、服务咨询、信息查询；</w:t>
            </w:r>
          </w:p>
          <w:p w14:paraId="7C33D5A0">
            <w:pPr>
              <w:spacing w:before="20" w:line="231" w:lineRule="auto"/>
              <w:ind w:left="150" w:right="108" w:hanging="33"/>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就业失业登记、就业困难人员认定、就业创业补贴申领等业务办理指引</w:t>
            </w:r>
          </w:p>
        </w:tc>
      </w:tr>
      <w:tr w14:paraId="38890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562" w:type="dxa"/>
            <w:vMerge w:val="continue"/>
            <w:tcBorders>
              <w:top w:val="nil"/>
              <w:bottom w:val="nil"/>
            </w:tcBorders>
            <w:noWrap w:val="0"/>
            <w:vAlign w:val="top"/>
          </w:tcPr>
          <w:p w14:paraId="6F7B6D4C">
            <w:pPr>
              <w:pStyle w:val="56"/>
              <w:rPr>
                <w:color w:val="auto"/>
                <w:highlight w:val="none"/>
              </w:rPr>
            </w:pPr>
          </w:p>
        </w:tc>
        <w:tc>
          <w:tcPr>
            <w:tcW w:w="882" w:type="dxa"/>
            <w:noWrap w:val="0"/>
            <w:vAlign w:val="top"/>
          </w:tcPr>
          <w:p w14:paraId="47D235AA">
            <w:pPr>
              <w:pStyle w:val="56"/>
              <w:spacing w:line="316" w:lineRule="auto"/>
              <w:rPr>
                <w:color w:val="auto"/>
                <w:highlight w:val="none"/>
              </w:rPr>
            </w:pPr>
          </w:p>
          <w:p w14:paraId="2E0B552A">
            <w:pPr>
              <w:spacing w:before="69" w:line="315" w:lineRule="exact"/>
              <w:ind w:left="382"/>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2</w:t>
            </w:r>
          </w:p>
        </w:tc>
        <w:tc>
          <w:tcPr>
            <w:tcW w:w="1379" w:type="dxa"/>
            <w:noWrap w:val="0"/>
            <w:vAlign w:val="top"/>
          </w:tcPr>
          <w:p w14:paraId="4726E560">
            <w:pPr>
              <w:pStyle w:val="56"/>
              <w:spacing w:line="343" w:lineRule="auto"/>
              <w:rPr>
                <w:color w:val="auto"/>
                <w:highlight w:val="none"/>
              </w:rPr>
            </w:pPr>
          </w:p>
          <w:p w14:paraId="1365315F">
            <w:pPr>
              <w:spacing w:before="78" w:line="214" w:lineRule="auto"/>
              <w:ind w:left="225"/>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5"/>
                <w:sz w:val="24"/>
                <w:szCs w:val="24"/>
                <w:highlight w:val="none"/>
              </w:rPr>
              <w:t>求职服务</w:t>
            </w:r>
          </w:p>
        </w:tc>
        <w:tc>
          <w:tcPr>
            <w:tcW w:w="5399" w:type="dxa"/>
            <w:noWrap w:val="0"/>
            <w:vAlign w:val="top"/>
          </w:tcPr>
          <w:p w14:paraId="0E1537A5">
            <w:pPr>
              <w:spacing w:before="273" w:line="230" w:lineRule="auto"/>
              <w:ind w:left="116" w:right="108" w:firstLine="9"/>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4"/>
                <w:sz w:val="24"/>
                <w:szCs w:val="24"/>
                <w:highlight w:val="none"/>
              </w:rPr>
              <w:t>求职登记（含</w:t>
            </w:r>
            <w:r>
              <w:rPr>
                <w:rFonts w:ascii="Times New Roman" w:hAnsi="Times New Roman" w:eastAsia="Times New Roman" w:cs="Times New Roman"/>
                <w:color w:val="auto"/>
                <w:spacing w:val="-4"/>
                <w:sz w:val="24"/>
                <w:szCs w:val="24"/>
                <w:highlight w:val="none"/>
              </w:rPr>
              <w:t>“</w:t>
            </w:r>
            <w:r>
              <w:rPr>
                <w:rFonts w:ascii="FangSong_GB2312" w:hAnsi="FangSong_GB2312" w:eastAsia="FangSong_GB2312" w:cs="FangSong_GB2312"/>
                <w:color w:val="auto"/>
                <w:spacing w:val="-4"/>
                <w:sz w:val="24"/>
                <w:szCs w:val="24"/>
                <w:highlight w:val="none"/>
              </w:rPr>
              <w:t>找零工</w:t>
            </w:r>
            <w:r>
              <w:rPr>
                <w:rFonts w:ascii="Times New Roman" w:hAnsi="Times New Roman" w:eastAsia="Times New Roman" w:cs="Times New Roman"/>
                <w:color w:val="auto"/>
                <w:spacing w:val="-4"/>
                <w:sz w:val="24"/>
                <w:szCs w:val="24"/>
                <w:highlight w:val="none"/>
              </w:rPr>
              <w:t>”</w:t>
            </w:r>
            <w:r>
              <w:rPr>
                <w:rFonts w:ascii="FangSong_GB2312" w:hAnsi="FangSong_GB2312" w:eastAsia="FangSong_GB2312" w:cs="FangSong_GB2312"/>
                <w:color w:val="auto"/>
                <w:spacing w:val="-4"/>
                <w:sz w:val="24"/>
                <w:szCs w:val="24"/>
                <w:highlight w:val="none"/>
              </w:rPr>
              <w:t>登记）、职业指导、</w:t>
            </w:r>
            <w:r>
              <w:rPr>
                <w:rFonts w:ascii="FangSong_GB2312" w:hAnsi="FangSong_GB2312" w:eastAsia="FangSong_GB2312" w:cs="FangSong_GB2312"/>
                <w:color w:val="auto"/>
                <w:spacing w:val="-5"/>
                <w:sz w:val="24"/>
                <w:szCs w:val="24"/>
                <w:highlight w:val="none"/>
              </w:rPr>
              <w:t>岗位推</w:t>
            </w:r>
            <w:r>
              <w:rPr>
                <w:rFonts w:ascii="FangSong_GB2312" w:hAnsi="FangSong_GB2312" w:eastAsia="FangSong_GB2312" w:cs="FangSong_GB2312"/>
                <w:color w:val="auto"/>
                <w:spacing w:val="-2"/>
                <w:sz w:val="24"/>
                <w:szCs w:val="24"/>
                <w:highlight w:val="none"/>
              </w:rPr>
              <w:t>荐、招聘会信息推送</w:t>
            </w:r>
          </w:p>
        </w:tc>
      </w:tr>
      <w:tr w14:paraId="338AC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562" w:type="dxa"/>
            <w:vMerge w:val="continue"/>
            <w:tcBorders>
              <w:top w:val="nil"/>
              <w:bottom w:val="nil"/>
            </w:tcBorders>
            <w:noWrap w:val="0"/>
            <w:vAlign w:val="top"/>
          </w:tcPr>
          <w:p w14:paraId="72D8BFF3">
            <w:pPr>
              <w:pStyle w:val="56"/>
              <w:rPr>
                <w:color w:val="auto"/>
                <w:highlight w:val="none"/>
              </w:rPr>
            </w:pPr>
          </w:p>
        </w:tc>
        <w:tc>
          <w:tcPr>
            <w:tcW w:w="882" w:type="dxa"/>
            <w:noWrap w:val="0"/>
            <w:vAlign w:val="top"/>
          </w:tcPr>
          <w:p w14:paraId="2A758AA2">
            <w:pPr>
              <w:pStyle w:val="56"/>
              <w:spacing w:line="479" w:lineRule="auto"/>
              <w:rPr>
                <w:color w:val="auto"/>
                <w:highlight w:val="none"/>
              </w:rPr>
            </w:pPr>
          </w:p>
          <w:p w14:paraId="1691ED68">
            <w:pPr>
              <w:spacing w:before="69" w:line="315" w:lineRule="exact"/>
              <w:ind w:left="387"/>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3</w:t>
            </w:r>
          </w:p>
        </w:tc>
        <w:tc>
          <w:tcPr>
            <w:tcW w:w="1379" w:type="dxa"/>
            <w:noWrap w:val="0"/>
            <w:vAlign w:val="top"/>
          </w:tcPr>
          <w:p w14:paraId="760EE0BB">
            <w:pPr>
              <w:pStyle w:val="56"/>
              <w:spacing w:line="253" w:lineRule="auto"/>
              <w:rPr>
                <w:color w:val="auto"/>
                <w:highlight w:val="none"/>
              </w:rPr>
            </w:pPr>
          </w:p>
          <w:p w14:paraId="4B76F9FA">
            <w:pPr>
              <w:pStyle w:val="56"/>
              <w:spacing w:line="253" w:lineRule="auto"/>
              <w:rPr>
                <w:color w:val="auto"/>
                <w:highlight w:val="none"/>
              </w:rPr>
            </w:pPr>
          </w:p>
          <w:p w14:paraId="73A16D1A">
            <w:pPr>
              <w:spacing w:before="78" w:line="214" w:lineRule="auto"/>
              <w:ind w:left="218"/>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4"/>
                <w:sz w:val="24"/>
                <w:szCs w:val="24"/>
                <w:highlight w:val="none"/>
              </w:rPr>
              <w:t>技能培训</w:t>
            </w:r>
          </w:p>
        </w:tc>
        <w:tc>
          <w:tcPr>
            <w:tcW w:w="5399" w:type="dxa"/>
            <w:noWrap w:val="0"/>
            <w:vAlign w:val="top"/>
          </w:tcPr>
          <w:p w14:paraId="74D7CB90">
            <w:pPr>
              <w:spacing w:before="285" w:line="231" w:lineRule="auto"/>
              <w:ind w:left="118" w:right="37"/>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3"/>
                <w:sz w:val="24"/>
                <w:szCs w:val="24"/>
                <w:highlight w:val="none"/>
              </w:rPr>
              <w:t>培训需求登记、培训机构信息查询、培训项目推荐、</w:t>
            </w:r>
            <w:r>
              <w:rPr>
                <w:rFonts w:ascii="FangSong_GB2312" w:hAnsi="FangSong_GB2312" w:eastAsia="FangSong_GB2312" w:cs="FangSong_GB2312"/>
                <w:color w:val="auto"/>
                <w:spacing w:val="-6"/>
                <w:sz w:val="24"/>
                <w:szCs w:val="24"/>
                <w:highlight w:val="none"/>
              </w:rPr>
              <w:t>培训开班计划查询、组织参加补贴性技能培训、培</w:t>
            </w:r>
            <w:r>
              <w:rPr>
                <w:rFonts w:ascii="FangSong_GB2312" w:hAnsi="FangSong_GB2312" w:eastAsia="FangSong_GB2312" w:cs="FangSong_GB2312"/>
                <w:color w:val="auto"/>
                <w:spacing w:val="-2"/>
                <w:sz w:val="24"/>
                <w:szCs w:val="24"/>
                <w:highlight w:val="none"/>
              </w:rPr>
              <w:t>训补贴申领指引</w:t>
            </w:r>
          </w:p>
        </w:tc>
      </w:tr>
      <w:tr w14:paraId="41C38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43731D07">
            <w:pPr>
              <w:pStyle w:val="56"/>
              <w:rPr>
                <w:color w:val="auto"/>
                <w:highlight w:val="none"/>
              </w:rPr>
            </w:pPr>
          </w:p>
        </w:tc>
        <w:tc>
          <w:tcPr>
            <w:tcW w:w="882" w:type="dxa"/>
            <w:noWrap w:val="0"/>
            <w:vAlign w:val="top"/>
          </w:tcPr>
          <w:p w14:paraId="0BC8B89E">
            <w:pPr>
              <w:pStyle w:val="56"/>
              <w:spacing w:line="283" w:lineRule="auto"/>
              <w:rPr>
                <w:color w:val="auto"/>
                <w:highlight w:val="none"/>
              </w:rPr>
            </w:pPr>
          </w:p>
          <w:p w14:paraId="33380585">
            <w:pPr>
              <w:spacing w:before="69" w:line="315" w:lineRule="exact"/>
              <w:ind w:left="381"/>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4</w:t>
            </w:r>
          </w:p>
        </w:tc>
        <w:tc>
          <w:tcPr>
            <w:tcW w:w="1379" w:type="dxa"/>
            <w:noWrap w:val="0"/>
            <w:vAlign w:val="top"/>
          </w:tcPr>
          <w:p w14:paraId="497FC283">
            <w:pPr>
              <w:pStyle w:val="56"/>
              <w:spacing w:line="307" w:lineRule="auto"/>
              <w:rPr>
                <w:color w:val="auto"/>
                <w:highlight w:val="none"/>
              </w:rPr>
            </w:pPr>
          </w:p>
          <w:p w14:paraId="7EC59C30">
            <w:pPr>
              <w:spacing w:before="78" w:line="215" w:lineRule="auto"/>
              <w:ind w:left="21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创业指导</w:t>
            </w:r>
          </w:p>
        </w:tc>
        <w:tc>
          <w:tcPr>
            <w:tcW w:w="5399" w:type="dxa"/>
            <w:noWrap w:val="0"/>
            <w:vAlign w:val="top"/>
          </w:tcPr>
          <w:p w14:paraId="174C23A1">
            <w:pPr>
              <w:spacing w:before="239" w:line="230" w:lineRule="auto"/>
              <w:ind w:left="111" w:right="108" w:hanging="1"/>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5"/>
                <w:sz w:val="24"/>
                <w:szCs w:val="24"/>
                <w:highlight w:val="none"/>
              </w:rPr>
              <w:t>创业担保贷款申请指导、创业项目推介、创业孵化</w:t>
            </w:r>
            <w:r>
              <w:rPr>
                <w:rFonts w:ascii="FangSong_GB2312" w:hAnsi="FangSong_GB2312" w:eastAsia="FangSong_GB2312" w:cs="FangSong_GB2312"/>
                <w:color w:val="auto"/>
                <w:spacing w:val="-1"/>
                <w:sz w:val="24"/>
                <w:szCs w:val="24"/>
                <w:highlight w:val="none"/>
              </w:rPr>
              <w:t>基地入驻指导、创业扶持补贴申领指引</w:t>
            </w:r>
          </w:p>
        </w:tc>
      </w:tr>
      <w:tr w14:paraId="0B228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60CF0DEE">
            <w:pPr>
              <w:pStyle w:val="56"/>
              <w:rPr>
                <w:color w:val="auto"/>
                <w:highlight w:val="none"/>
              </w:rPr>
            </w:pPr>
          </w:p>
        </w:tc>
        <w:tc>
          <w:tcPr>
            <w:tcW w:w="882" w:type="dxa"/>
            <w:noWrap w:val="0"/>
            <w:vAlign w:val="top"/>
          </w:tcPr>
          <w:p w14:paraId="1AF37BC6">
            <w:pPr>
              <w:pStyle w:val="56"/>
              <w:spacing w:line="363" w:lineRule="auto"/>
              <w:rPr>
                <w:color w:val="auto"/>
                <w:highlight w:val="none"/>
              </w:rPr>
            </w:pPr>
          </w:p>
          <w:p w14:paraId="23EA5C88">
            <w:pPr>
              <w:spacing w:before="69" w:line="185" w:lineRule="auto"/>
              <w:ind w:left="389"/>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Pr>
              <w:t>5</w:t>
            </w:r>
          </w:p>
        </w:tc>
        <w:tc>
          <w:tcPr>
            <w:tcW w:w="1379" w:type="dxa"/>
            <w:noWrap w:val="0"/>
            <w:vAlign w:val="top"/>
          </w:tcPr>
          <w:p w14:paraId="49554222">
            <w:pPr>
              <w:pStyle w:val="56"/>
              <w:spacing w:line="310" w:lineRule="auto"/>
              <w:rPr>
                <w:color w:val="auto"/>
                <w:highlight w:val="none"/>
              </w:rPr>
            </w:pPr>
          </w:p>
          <w:p w14:paraId="2F54545B">
            <w:pPr>
              <w:spacing w:before="78" w:line="215" w:lineRule="auto"/>
              <w:ind w:left="217"/>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就业援助</w:t>
            </w:r>
          </w:p>
        </w:tc>
        <w:tc>
          <w:tcPr>
            <w:tcW w:w="5399" w:type="dxa"/>
            <w:noWrap w:val="0"/>
            <w:vAlign w:val="top"/>
          </w:tcPr>
          <w:p w14:paraId="0D866CB1">
            <w:pPr>
              <w:spacing w:before="241" w:line="230" w:lineRule="auto"/>
              <w:ind w:left="127" w:right="108" w:hanging="7"/>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对城镇零就业家庭劳动者、防止返贫监测对象家庭</w:t>
            </w:r>
            <w:r>
              <w:rPr>
                <w:rFonts w:ascii="FangSong_GB2312" w:hAnsi="FangSong_GB2312" w:eastAsia="FangSong_GB2312" w:cs="FangSong_GB2312"/>
                <w:color w:val="auto"/>
                <w:spacing w:val="-2"/>
                <w:sz w:val="24"/>
                <w:szCs w:val="24"/>
                <w:highlight w:val="none"/>
              </w:rPr>
              <w:t>劳动者等特殊困难人群提供就业跟踪帮扶</w:t>
            </w:r>
          </w:p>
        </w:tc>
      </w:tr>
      <w:tr w14:paraId="5AAD2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tcBorders>
            <w:noWrap w:val="0"/>
            <w:vAlign w:val="top"/>
          </w:tcPr>
          <w:p w14:paraId="6C6DDA5F">
            <w:pPr>
              <w:pStyle w:val="56"/>
              <w:rPr>
                <w:color w:val="auto"/>
                <w:highlight w:val="none"/>
              </w:rPr>
            </w:pPr>
          </w:p>
        </w:tc>
        <w:tc>
          <w:tcPr>
            <w:tcW w:w="882" w:type="dxa"/>
            <w:noWrap w:val="0"/>
            <w:vAlign w:val="top"/>
          </w:tcPr>
          <w:p w14:paraId="50A1E3AE">
            <w:pPr>
              <w:pStyle w:val="56"/>
              <w:spacing w:line="283" w:lineRule="auto"/>
              <w:rPr>
                <w:color w:val="auto"/>
                <w:highlight w:val="none"/>
              </w:rPr>
            </w:pPr>
          </w:p>
          <w:p w14:paraId="652DCA86">
            <w:pPr>
              <w:spacing w:before="69" w:line="315" w:lineRule="exact"/>
              <w:ind w:left="388"/>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6</w:t>
            </w:r>
          </w:p>
        </w:tc>
        <w:tc>
          <w:tcPr>
            <w:tcW w:w="1379" w:type="dxa"/>
            <w:noWrap w:val="0"/>
            <w:vAlign w:val="top"/>
          </w:tcPr>
          <w:p w14:paraId="2F4D1EB7">
            <w:pPr>
              <w:pStyle w:val="56"/>
              <w:spacing w:line="310" w:lineRule="auto"/>
              <w:rPr>
                <w:color w:val="auto"/>
                <w:highlight w:val="none"/>
              </w:rPr>
            </w:pPr>
          </w:p>
          <w:p w14:paraId="22599557">
            <w:pPr>
              <w:spacing w:before="78" w:line="215" w:lineRule="auto"/>
              <w:ind w:left="227"/>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劳动维权</w:t>
            </w:r>
          </w:p>
        </w:tc>
        <w:tc>
          <w:tcPr>
            <w:tcW w:w="5399" w:type="dxa"/>
            <w:noWrap w:val="0"/>
            <w:vAlign w:val="top"/>
          </w:tcPr>
          <w:p w14:paraId="7D334E47">
            <w:pPr>
              <w:pStyle w:val="56"/>
              <w:spacing w:line="310" w:lineRule="auto"/>
              <w:rPr>
                <w:color w:val="auto"/>
                <w:highlight w:val="none"/>
              </w:rPr>
            </w:pPr>
          </w:p>
          <w:p w14:paraId="16260018">
            <w:pPr>
              <w:spacing w:before="78" w:line="214" w:lineRule="auto"/>
              <w:ind w:left="128"/>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2"/>
                <w:sz w:val="24"/>
                <w:szCs w:val="24"/>
                <w:highlight w:val="none"/>
              </w:rPr>
              <w:t>劳动者工资、社保等合法权益维权指引</w:t>
            </w:r>
          </w:p>
        </w:tc>
      </w:tr>
      <w:tr w14:paraId="3D90F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restart"/>
            <w:tcBorders>
              <w:bottom w:val="nil"/>
            </w:tcBorders>
            <w:noWrap w:val="0"/>
            <w:vAlign w:val="top"/>
          </w:tcPr>
          <w:p w14:paraId="2EFD87B5">
            <w:pPr>
              <w:pStyle w:val="56"/>
              <w:spacing w:line="245" w:lineRule="auto"/>
              <w:rPr>
                <w:color w:val="auto"/>
                <w:highlight w:val="none"/>
              </w:rPr>
            </w:pPr>
          </w:p>
          <w:p w14:paraId="4422F549">
            <w:pPr>
              <w:pStyle w:val="56"/>
              <w:spacing w:line="245" w:lineRule="auto"/>
              <w:rPr>
                <w:color w:val="auto"/>
                <w:highlight w:val="none"/>
              </w:rPr>
            </w:pPr>
          </w:p>
          <w:p w14:paraId="6AB07DF0">
            <w:pPr>
              <w:pStyle w:val="56"/>
              <w:spacing w:line="245" w:lineRule="auto"/>
              <w:rPr>
                <w:color w:val="auto"/>
                <w:highlight w:val="none"/>
              </w:rPr>
            </w:pPr>
          </w:p>
          <w:p w14:paraId="268F2292">
            <w:pPr>
              <w:pStyle w:val="56"/>
              <w:spacing w:line="245" w:lineRule="auto"/>
              <w:rPr>
                <w:color w:val="auto"/>
                <w:highlight w:val="none"/>
              </w:rPr>
            </w:pPr>
          </w:p>
          <w:p w14:paraId="3243D4CB">
            <w:pPr>
              <w:pStyle w:val="56"/>
              <w:spacing w:line="245" w:lineRule="auto"/>
              <w:rPr>
                <w:color w:val="auto"/>
                <w:highlight w:val="none"/>
              </w:rPr>
            </w:pPr>
          </w:p>
          <w:p w14:paraId="1F587FC2">
            <w:pPr>
              <w:pStyle w:val="56"/>
              <w:spacing w:line="245" w:lineRule="auto"/>
              <w:rPr>
                <w:color w:val="auto"/>
                <w:highlight w:val="none"/>
              </w:rPr>
            </w:pPr>
          </w:p>
          <w:p w14:paraId="4F61125B">
            <w:pPr>
              <w:pStyle w:val="56"/>
              <w:spacing w:line="245" w:lineRule="auto"/>
              <w:rPr>
                <w:color w:val="auto"/>
                <w:highlight w:val="none"/>
              </w:rPr>
            </w:pPr>
          </w:p>
          <w:p w14:paraId="6D1D6FC7">
            <w:pPr>
              <w:pStyle w:val="56"/>
              <w:spacing w:line="246" w:lineRule="auto"/>
              <w:rPr>
                <w:color w:val="auto"/>
                <w:highlight w:val="none"/>
              </w:rPr>
            </w:pPr>
          </w:p>
          <w:p w14:paraId="7F6041A3">
            <w:pPr>
              <w:spacing w:before="78" w:line="231" w:lineRule="auto"/>
              <w:ind w:left="113" w:right="121" w:firstLine="196"/>
              <w:rPr>
                <w:rFonts w:ascii="KaiTi_GB2312" w:hAnsi="KaiTi_GB2312" w:eastAsia="KaiTi_GB2312" w:cs="KaiTi_GB2312"/>
                <w:color w:val="auto"/>
                <w:sz w:val="24"/>
                <w:szCs w:val="24"/>
                <w:highlight w:val="none"/>
              </w:rPr>
            </w:pPr>
            <w:r>
              <w:rPr>
                <w:rFonts w:ascii="KaiTi_GB2312" w:hAnsi="KaiTi_GB2312" w:eastAsia="KaiTi_GB2312" w:cs="KaiTi_GB2312"/>
                <w:b/>
                <w:bCs/>
                <w:color w:val="auto"/>
                <w:spacing w:val="-5"/>
                <w:sz w:val="24"/>
                <w:szCs w:val="24"/>
                <w:highlight w:val="none"/>
              </w:rPr>
              <w:t>用人单位</w:t>
            </w:r>
            <w:r>
              <w:rPr>
                <w:rFonts w:ascii="KaiTi_GB2312" w:hAnsi="KaiTi_GB2312" w:eastAsia="KaiTi_GB2312" w:cs="KaiTi_GB2312"/>
                <w:b/>
                <w:bCs/>
                <w:color w:val="auto"/>
                <w:spacing w:val="-23"/>
                <w:sz w:val="24"/>
                <w:szCs w:val="24"/>
                <w:highlight w:val="none"/>
              </w:rPr>
              <w:t>（对外公开）</w:t>
            </w:r>
          </w:p>
        </w:tc>
        <w:tc>
          <w:tcPr>
            <w:tcW w:w="882" w:type="dxa"/>
            <w:noWrap w:val="0"/>
            <w:vAlign w:val="top"/>
          </w:tcPr>
          <w:p w14:paraId="2B97AE7A">
            <w:pPr>
              <w:pStyle w:val="56"/>
              <w:spacing w:line="363" w:lineRule="auto"/>
              <w:rPr>
                <w:color w:val="auto"/>
                <w:highlight w:val="none"/>
              </w:rPr>
            </w:pPr>
          </w:p>
          <w:p w14:paraId="1419F42B">
            <w:pPr>
              <w:spacing w:before="69" w:line="185" w:lineRule="auto"/>
              <w:ind w:left="386"/>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Pr>
              <w:t>7</w:t>
            </w:r>
          </w:p>
        </w:tc>
        <w:tc>
          <w:tcPr>
            <w:tcW w:w="1379" w:type="dxa"/>
            <w:noWrap w:val="0"/>
            <w:vAlign w:val="top"/>
          </w:tcPr>
          <w:p w14:paraId="7936DBEB">
            <w:pPr>
              <w:pStyle w:val="56"/>
              <w:spacing w:line="310" w:lineRule="auto"/>
              <w:rPr>
                <w:color w:val="auto"/>
                <w:highlight w:val="none"/>
              </w:rPr>
            </w:pPr>
          </w:p>
          <w:p w14:paraId="417E604A">
            <w:pPr>
              <w:spacing w:before="78" w:line="214" w:lineRule="auto"/>
              <w:ind w:left="231"/>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7"/>
                <w:sz w:val="24"/>
                <w:szCs w:val="24"/>
                <w:highlight w:val="none"/>
              </w:rPr>
              <w:t>咨询服务</w:t>
            </w:r>
          </w:p>
        </w:tc>
        <w:tc>
          <w:tcPr>
            <w:tcW w:w="5399" w:type="dxa"/>
            <w:noWrap w:val="0"/>
            <w:vAlign w:val="top"/>
          </w:tcPr>
          <w:p w14:paraId="4AFE7C3F">
            <w:pPr>
              <w:spacing w:before="90" w:line="214" w:lineRule="auto"/>
              <w:ind w:left="12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政策宣传、服务咨询、信息查询；</w:t>
            </w:r>
          </w:p>
          <w:p w14:paraId="70A3723B">
            <w:pPr>
              <w:spacing w:before="23" w:line="230" w:lineRule="auto"/>
              <w:ind w:left="108" w:right="108" w:firstLine="2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吸纳重点人群就业有关稳岗、培训、社保等补贴申</w:t>
            </w:r>
            <w:r>
              <w:rPr>
                <w:rFonts w:ascii="FangSong_GB2312" w:hAnsi="FangSong_GB2312" w:eastAsia="FangSong_GB2312" w:cs="FangSong_GB2312"/>
                <w:color w:val="auto"/>
                <w:spacing w:val="-1"/>
                <w:sz w:val="24"/>
                <w:szCs w:val="24"/>
                <w:highlight w:val="none"/>
              </w:rPr>
              <w:t>领指引</w:t>
            </w:r>
          </w:p>
        </w:tc>
      </w:tr>
      <w:tr w14:paraId="2AAEE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562" w:type="dxa"/>
            <w:vMerge w:val="continue"/>
            <w:tcBorders>
              <w:top w:val="nil"/>
              <w:bottom w:val="nil"/>
            </w:tcBorders>
            <w:noWrap w:val="0"/>
            <w:vAlign w:val="top"/>
          </w:tcPr>
          <w:p w14:paraId="18FBCF66">
            <w:pPr>
              <w:pStyle w:val="56"/>
              <w:rPr>
                <w:color w:val="auto"/>
                <w:highlight w:val="none"/>
              </w:rPr>
            </w:pPr>
          </w:p>
        </w:tc>
        <w:tc>
          <w:tcPr>
            <w:tcW w:w="882" w:type="dxa"/>
            <w:noWrap w:val="0"/>
            <w:vAlign w:val="top"/>
          </w:tcPr>
          <w:p w14:paraId="71D65DC3">
            <w:pPr>
              <w:pStyle w:val="56"/>
              <w:spacing w:line="393" w:lineRule="auto"/>
              <w:rPr>
                <w:color w:val="auto"/>
                <w:highlight w:val="none"/>
              </w:rPr>
            </w:pPr>
          </w:p>
          <w:p w14:paraId="3DFA42CF">
            <w:pPr>
              <w:spacing w:before="69" w:line="315" w:lineRule="exact"/>
              <w:ind w:left="392"/>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8</w:t>
            </w:r>
          </w:p>
        </w:tc>
        <w:tc>
          <w:tcPr>
            <w:tcW w:w="1379" w:type="dxa"/>
            <w:noWrap w:val="0"/>
            <w:vAlign w:val="top"/>
          </w:tcPr>
          <w:p w14:paraId="777F336A">
            <w:pPr>
              <w:pStyle w:val="56"/>
              <w:spacing w:line="419" w:lineRule="auto"/>
              <w:rPr>
                <w:color w:val="auto"/>
                <w:highlight w:val="none"/>
              </w:rPr>
            </w:pPr>
          </w:p>
          <w:p w14:paraId="3913E76E">
            <w:pPr>
              <w:spacing w:before="78" w:line="214" w:lineRule="auto"/>
              <w:ind w:left="219"/>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4"/>
                <w:sz w:val="24"/>
                <w:szCs w:val="24"/>
                <w:highlight w:val="none"/>
              </w:rPr>
              <w:t>招工服务</w:t>
            </w:r>
          </w:p>
        </w:tc>
        <w:tc>
          <w:tcPr>
            <w:tcW w:w="5399" w:type="dxa"/>
            <w:noWrap w:val="0"/>
            <w:vAlign w:val="top"/>
          </w:tcPr>
          <w:p w14:paraId="1EAF229E">
            <w:pPr>
              <w:spacing w:before="199" w:line="231" w:lineRule="auto"/>
              <w:ind w:left="120" w:right="37" w:hanging="5"/>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1"/>
                <w:sz w:val="24"/>
                <w:szCs w:val="24"/>
                <w:highlight w:val="none"/>
              </w:rPr>
              <w:t>用工信息登记（含</w:t>
            </w:r>
            <w:r>
              <w:rPr>
                <w:rFonts w:ascii="Times New Roman" w:hAnsi="Times New Roman" w:eastAsia="Times New Roman" w:cs="Times New Roman"/>
                <w:color w:val="auto"/>
                <w:spacing w:val="-11"/>
                <w:sz w:val="24"/>
                <w:szCs w:val="24"/>
                <w:highlight w:val="none"/>
              </w:rPr>
              <w:t>“</w:t>
            </w:r>
            <w:r>
              <w:rPr>
                <w:rFonts w:ascii="FangSong_GB2312" w:hAnsi="FangSong_GB2312" w:eastAsia="FangSong_GB2312" w:cs="FangSong_GB2312"/>
                <w:color w:val="auto"/>
                <w:spacing w:val="-11"/>
                <w:sz w:val="24"/>
                <w:szCs w:val="24"/>
                <w:highlight w:val="none"/>
              </w:rPr>
              <w:t>招零工</w:t>
            </w:r>
            <w:r>
              <w:rPr>
                <w:rFonts w:ascii="Times New Roman" w:hAnsi="Times New Roman" w:eastAsia="Times New Roman" w:cs="Times New Roman"/>
                <w:color w:val="auto"/>
                <w:spacing w:val="-11"/>
                <w:sz w:val="24"/>
                <w:szCs w:val="24"/>
                <w:highlight w:val="none"/>
              </w:rPr>
              <w:t>”</w:t>
            </w:r>
            <w:r>
              <w:rPr>
                <w:rFonts w:ascii="FangSong_GB2312" w:hAnsi="FangSong_GB2312" w:eastAsia="FangSong_GB2312" w:cs="FangSong_GB2312"/>
                <w:color w:val="auto"/>
                <w:spacing w:val="-11"/>
                <w:sz w:val="24"/>
                <w:szCs w:val="24"/>
                <w:highlight w:val="none"/>
              </w:rPr>
              <w:t>登记）、用工信息发布、</w:t>
            </w:r>
            <w:r>
              <w:rPr>
                <w:rFonts w:ascii="FangSong_GB2312" w:hAnsi="FangSong_GB2312" w:eastAsia="FangSong_GB2312" w:cs="FangSong_GB2312"/>
                <w:color w:val="auto"/>
                <w:spacing w:val="-6"/>
                <w:sz w:val="24"/>
                <w:szCs w:val="24"/>
                <w:highlight w:val="none"/>
              </w:rPr>
              <w:t>求职人员推荐、求职简历代收、面试洽谈辅助、招</w:t>
            </w:r>
            <w:r>
              <w:rPr>
                <w:rFonts w:ascii="FangSong_GB2312" w:hAnsi="FangSong_GB2312" w:eastAsia="FangSong_GB2312" w:cs="FangSong_GB2312"/>
                <w:color w:val="auto"/>
                <w:spacing w:val="-2"/>
                <w:sz w:val="24"/>
                <w:szCs w:val="24"/>
                <w:highlight w:val="none"/>
              </w:rPr>
              <w:t>聘会等公共就业服务活动推荐</w:t>
            </w:r>
          </w:p>
        </w:tc>
      </w:tr>
      <w:tr w14:paraId="20AA0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06F02CED">
            <w:pPr>
              <w:pStyle w:val="56"/>
              <w:rPr>
                <w:color w:val="auto"/>
                <w:highlight w:val="none"/>
              </w:rPr>
            </w:pPr>
          </w:p>
        </w:tc>
        <w:tc>
          <w:tcPr>
            <w:tcW w:w="882" w:type="dxa"/>
            <w:noWrap w:val="0"/>
            <w:vAlign w:val="top"/>
          </w:tcPr>
          <w:p w14:paraId="31EC5EA7">
            <w:pPr>
              <w:pStyle w:val="56"/>
              <w:spacing w:line="285" w:lineRule="auto"/>
              <w:rPr>
                <w:color w:val="auto"/>
                <w:highlight w:val="none"/>
              </w:rPr>
            </w:pPr>
          </w:p>
          <w:p w14:paraId="53ECB826">
            <w:pPr>
              <w:spacing w:before="69" w:line="315" w:lineRule="exact"/>
              <w:ind w:left="387"/>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2"/>
                <w:sz w:val="24"/>
                <w:szCs w:val="24"/>
                <w:highlight w:val="none"/>
              </w:rPr>
              <w:t>9</w:t>
            </w:r>
          </w:p>
        </w:tc>
        <w:tc>
          <w:tcPr>
            <w:tcW w:w="1379" w:type="dxa"/>
            <w:noWrap w:val="0"/>
            <w:vAlign w:val="top"/>
          </w:tcPr>
          <w:p w14:paraId="7E3B9FF4">
            <w:pPr>
              <w:pStyle w:val="56"/>
              <w:spacing w:line="309" w:lineRule="auto"/>
              <w:rPr>
                <w:color w:val="auto"/>
                <w:highlight w:val="none"/>
              </w:rPr>
            </w:pPr>
          </w:p>
          <w:p w14:paraId="2CF47C98">
            <w:pPr>
              <w:spacing w:before="78" w:line="215" w:lineRule="auto"/>
              <w:ind w:left="21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创业服务</w:t>
            </w:r>
          </w:p>
        </w:tc>
        <w:tc>
          <w:tcPr>
            <w:tcW w:w="5399" w:type="dxa"/>
            <w:noWrap w:val="0"/>
            <w:vAlign w:val="top"/>
          </w:tcPr>
          <w:p w14:paraId="75C2EA73">
            <w:pPr>
              <w:spacing w:before="238" w:line="230" w:lineRule="auto"/>
              <w:ind w:left="110" w:right="56"/>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创业担保贷款办理指引、创业孵化基地入驻指导、</w:t>
            </w:r>
            <w:r>
              <w:rPr>
                <w:rFonts w:ascii="FangSong_GB2312" w:hAnsi="FangSong_GB2312" w:eastAsia="FangSong_GB2312" w:cs="FangSong_GB2312"/>
                <w:color w:val="auto"/>
                <w:spacing w:val="-1"/>
                <w:sz w:val="24"/>
                <w:szCs w:val="24"/>
                <w:highlight w:val="none"/>
              </w:rPr>
              <w:t>创业扶持补贴申领指引</w:t>
            </w:r>
          </w:p>
        </w:tc>
      </w:tr>
      <w:tr w14:paraId="05A7E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 w:hRule="atLeast"/>
        </w:trPr>
        <w:tc>
          <w:tcPr>
            <w:tcW w:w="1562" w:type="dxa"/>
            <w:vMerge w:val="continue"/>
            <w:tcBorders>
              <w:top w:val="nil"/>
            </w:tcBorders>
            <w:noWrap w:val="0"/>
            <w:vAlign w:val="top"/>
          </w:tcPr>
          <w:p w14:paraId="2E381381">
            <w:pPr>
              <w:pStyle w:val="56"/>
              <w:rPr>
                <w:color w:val="auto"/>
                <w:highlight w:val="none"/>
              </w:rPr>
            </w:pPr>
          </w:p>
        </w:tc>
        <w:tc>
          <w:tcPr>
            <w:tcW w:w="882" w:type="dxa"/>
            <w:noWrap w:val="0"/>
            <w:vAlign w:val="top"/>
          </w:tcPr>
          <w:p w14:paraId="51AC0B7D">
            <w:pPr>
              <w:pStyle w:val="56"/>
              <w:spacing w:line="454" w:lineRule="auto"/>
              <w:rPr>
                <w:color w:val="auto"/>
                <w:highlight w:val="none"/>
              </w:rPr>
            </w:pPr>
          </w:p>
          <w:p w14:paraId="391E02F0">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10</w:t>
            </w:r>
          </w:p>
        </w:tc>
        <w:tc>
          <w:tcPr>
            <w:tcW w:w="1379" w:type="dxa"/>
            <w:noWrap w:val="0"/>
            <w:vAlign w:val="top"/>
          </w:tcPr>
          <w:p w14:paraId="38DBB458">
            <w:pPr>
              <w:pStyle w:val="56"/>
              <w:rPr>
                <w:color w:val="auto"/>
                <w:highlight w:val="none"/>
              </w:rPr>
            </w:pPr>
          </w:p>
          <w:p w14:paraId="5FE9505F">
            <w:pPr>
              <w:pStyle w:val="56"/>
              <w:spacing w:line="241" w:lineRule="auto"/>
              <w:rPr>
                <w:color w:val="auto"/>
                <w:highlight w:val="none"/>
              </w:rPr>
            </w:pPr>
          </w:p>
          <w:p w14:paraId="7D794132">
            <w:pPr>
              <w:spacing w:before="78" w:line="214" w:lineRule="auto"/>
              <w:ind w:left="218"/>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4"/>
                <w:sz w:val="24"/>
                <w:szCs w:val="24"/>
                <w:highlight w:val="none"/>
              </w:rPr>
              <w:t>技能培训</w:t>
            </w:r>
          </w:p>
        </w:tc>
        <w:tc>
          <w:tcPr>
            <w:tcW w:w="5399" w:type="dxa"/>
            <w:noWrap w:val="0"/>
            <w:vAlign w:val="top"/>
          </w:tcPr>
          <w:p w14:paraId="18BD3045">
            <w:pPr>
              <w:spacing w:before="260" w:line="231" w:lineRule="auto"/>
              <w:ind w:left="118" w:right="37"/>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3"/>
                <w:sz w:val="24"/>
                <w:szCs w:val="24"/>
                <w:highlight w:val="none"/>
              </w:rPr>
              <w:t>培训需求登记、培训机构信息查询、培训项目推荐、</w:t>
            </w:r>
            <w:r>
              <w:rPr>
                <w:rFonts w:ascii="FangSong_GB2312" w:hAnsi="FangSong_GB2312" w:eastAsia="FangSong_GB2312" w:cs="FangSong_GB2312"/>
                <w:color w:val="auto"/>
                <w:spacing w:val="-6"/>
                <w:sz w:val="24"/>
                <w:szCs w:val="24"/>
                <w:highlight w:val="none"/>
              </w:rPr>
              <w:t>培训开班计划查询、组织参加补贴性技能培训、培</w:t>
            </w:r>
            <w:r>
              <w:rPr>
                <w:rFonts w:ascii="FangSong_GB2312" w:hAnsi="FangSong_GB2312" w:eastAsia="FangSong_GB2312" w:cs="FangSong_GB2312"/>
                <w:color w:val="auto"/>
                <w:spacing w:val="-2"/>
                <w:sz w:val="24"/>
                <w:szCs w:val="24"/>
                <w:highlight w:val="none"/>
              </w:rPr>
              <w:t>训补贴申领指引</w:t>
            </w:r>
          </w:p>
        </w:tc>
      </w:tr>
    </w:tbl>
    <w:p w14:paraId="69C7765C">
      <w:pPr>
        <w:pStyle w:val="2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leftChars="0"/>
        <w:textAlignment w:val="auto"/>
        <w:rPr>
          <w:rFonts w:hint="eastAsia"/>
          <w:color w:val="auto"/>
          <w:highlight w:val="none"/>
          <w:u w:val="none"/>
          <w:lang w:val="en-US" w:eastAsia="zh-CN"/>
        </w:rPr>
      </w:pPr>
    </w:p>
    <w:p w14:paraId="164E9AC2">
      <w:pPr>
        <w:rPr>
          <w:rFonts w:hint="eastAsia"/>
          <w:color w:val="auto"/>
          <w:highlight w:val="none"/>
          <w:lang w:val="en-US" w:eastAsia="zh-CN"/>
        </w:rPr>
      </w:pPr>
    </w:p>
    <w:tbl>
      <w:tblPr>
        <w:tblStyle w:val="117"/>
        <w:tblW w:w="9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2"/>
        <w:gridCol w:w="882"/>
        <w:gridCol w:w="1379"/>
        <w:gridCol w:w="5399"/>
      </w:tblGrid>
      <w:tr w14:paraId="76686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1562" w:type="dxa"/>
            <w:noWrap w:val="0"/>
            <w:vAlign w:val="top"/>
          </w:tcPr>
          <w:p w14:paraId="2C3603D3">
            <w:pPr>
              <w:pStyle w:val="56"/>
              <w:spacing w:line="309" w:lineRule="auto"/>
              <w:rPr>
                <w:color w:val="auto"/>
                <w:highlight w:val="none"/>
              </w:rPr>
            </w:pPr>
          </w:p>
          <w:p w14:paraId="3866CC65">
            <w:pPr>
              <w:spacing w:before="78" w:line="221" w:lineRule="auto"/>
              <w:ind w:left="30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服务类别</w:t>
            </w:r>
          </w:p>
        </w:tc>
        <w:tc>
          <w:tcPr>
            <w:tcW w:w="882" w:type="dxa"/>
            <w:noWrap w:val="0"/>
            <w:vAlign w:val="top"/>
          </w:tcPr>
          <w:p w14:paraId="265C3AC5">
            <w:pPr>
              <w:pStyle w:val="56"/>
              <w:spacing w:line="309" w:lineRule="auto"/>
              <w:rPr>
                <w:color w:val="auto"/>
                <w:highlight w:val="none"/>
              </w:rPr>
            </w:pPr>
          </w:p>
          <w:p w14:paraId="34CA2E4D">
            <w:pPr>
              <w:spacing w:before="78" w:line="223" w:lineRule="auto"/>
              <w:ind w:left="207"/>
              <w:rPr>
                <w:rFonts w:ascii="黑体" w:hAnsi="黑体" w:eastAsia="黑体" w:cs="黑体"/>
                <w:color w:val="auto"/>
                <w:sz w:val="24"/>
                <w:szCs w:val="24"/>
                <w:highlight w:val="none"/>
              </w:rPr>
            </w:pPr>
            <w:r>
              <w:rPr>
                <w:rFonts w:ascii="黑体" w:hAnsi="黑体" w:eastAsia="黑体" w:cs="黑体"/>
                <w:color w:val="auto"/>
                <w:spacing w:val="-5"/>
                <w:sz w:val="24"/>
                <w:szCs w:val="24"/>
                <w:highlight w:val="none"/>
              </w:rPr>
              <w:t>序号</w:t>
            </w:r>
          </w:p>
        </w:tc>
        <w:tc>
          <w:tcPr>
            <w:tcW w:w="1379" w:type="dxa"/>
            <w:noWrap w:val="0"/>
            <w:vAlign w:val="top"/>
          </w:tcPr>
          <w:p w14:paraId="3DEAE202">
            <w:pPr>
              <w:pStyle w:val="56"/>
              <w:spacing w:line="309" w:lineRule="auto"/>
              <w:rPr>
                <w:color w:val="auto"/>
                <w:highlight w:val="none"/>
              </w:rPr>
            </w:pPr>
          </w:p>
          <w:p w14:paraId="6E5661B2">
            <w:pPr>
              <w:spacing w:before="78" w:line="221" w:lineRule="auto"/>
              <w:ind w:left="214"/>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服务事项</w:t>
            </w:r>
          </w:p>
        </w:tc>
        <w:tc>
          <w:tcPr>
            <w:tcW w:w="5399" w:type="dxa"/>
            <w:noWrap w:val="0"/>
            <w:vAlign w:val="top"/>
          </w:tcPr>
          <w:p w14:paraId="689855E6">
            <w:pPr>
              <w:pStyle w:val="56"/>
              <w:spacing w:line="309" w:lineRule="auto"/>
              <w:rPr>
                <w:color w:val="auto"/>
                <w:highlight w:val="none"/>
              </w:rPr>
            </w:pPr>
          </w:p>
          <w:p w14:paraId="5439C936">
            <w:pPr>
              <w:spacing w:before="78" w:line="221" w:lineRule="auto"/>
              <w:ind w:left="2224"/>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服务内容</w:t>
            </w:r>
          </w:p>
        </w:tc>
      </w:tr>
      <w:tr w14:paraId="32012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4" w:hRule="atLeast"/>
        </w:trPr>
        <w:tc>
          <w:tcPr>
            <w:tcW w:w="1562" w:type="dxa"/>
            <w:vMerge w:val="restart"/>
            <w:tcBorders>
              <w:bottom w:val="nil"/>
            </w:tcBorders>
            <w:noWrap w:val="0"/>
            <w:vAlign w:val="top"/>
          </w:tcPr>
          <w:p w14:paraId="781F6922">
            <w:pPr>
              <w:pStyle w:val="56"/>
              <w:rPr>
                <w:color w:val="auto"/>
                <w:highlight w:val="none"/>
              </w:rPr>
            </w:pPr>
          </w:p>
          <w:p w14:paraId="0F9D2B76">
            <w:pPr>
              <w:pStyle w:val="56"/>
              <w:rPr>
                <w:color w:val="auto"/>
                <w:highlight w:val="none"/>
              </w:rPr>
            </w:pPr>
          </w:p>
          <w:p w14:paraId="16BB4F67">
            <w:pPr>
              <w:pStyle w:val="56"/>
              <w:rPr>
                <w:color w:val="auto"/>
                <w:highlight w:val="none"/>
              </w:rPr>
            </w:pPr>
          </w:p>
          <w:p w14:paraId="39F7B6A5">
            <w:pPr>
              <w:pStyle w:val="56"/>
              <w:rPr>
                <w:color w:val="auto"/>
                <w:highlight w:val="none"/>
              </w:rPr>
            </w:pPr>
          </w:p>
          <w:p w14:paraId="24C083F4">
            <w:pPr>
              <w:pStyle w:val="56"/>
              <w:rPr>
                <w:color w:val="auto"/>
                <w:highlight w:val="none"/>
              </w:rPr>
            </w:pPr>
          </w:p>
          <w:p w14:paraId="2971B158">
            <w:pPr>
              <w:pStyle w:val="56"/>
              <w:rPr>
                <w:color w:val="auto"/>
                <w:highlight w:val="none"/>
              </w:rPr>
            </w:pPr>
          </w:p>
          <w:p w14:paraId="3FC4F152">
            <w:pPr>
              <w:pStyle w:val="56"/>
              <w:rPr>
                <w:color w:val="auto"/>
                <w:highlight w:val="none"/>
              </w:rPr>
            </w:pPr>
          </w:p>
          <w:p w14:paraId="7C0484F0">
            <w:pPr>
              <w:pStyle w:val="56"/>
              <w:rPr>
                <w:color w:val="auto"/>
                <w:highlight w:val="none"/>
              </w:rPr>
            </w:pPr>
          </w:p>
          <w:p w14:paraId="2123EB6F">
            <w:pPr>
              <w:pStyle w:val="56"/>
              <w:rPr>
                <w:color w:val="auto"/>
                <w:highlight w:val="none"/>
              </w:rPr>
            </w:pPr>
          </w:p>
          <w:p w14:paraId="08F32796">
            <w:pPr>
              <w:pStyle w:val="56"/>
              <w:rPr>
                <w:color w:val="auto"/>
                <w:highlight w:val="none"/>
              </w:rPr>
            </w:pPr>
          </w:p>
          <w:p w14:paraId="433357BB">
            <w:pPr>
              <w:pStyle w:val="56"/>
              <w:rPr>
                <w:color w:val="auto"/>
                <w:highlight w:val="none"/>
              </w:rPr>
            </w:pPr>
          </w:p>
          <w:p w14:paraId="02A16553">
            <w:pPr>
              <w:pStyle w:val="56"/>
              <w:rPr>
                <w:color w:val="auto"/>
                <w:highlight w:val="none"/>
              </w:rPr>
            </w:pPr>
          </w:p>
          <w:p w14:paraId="753B7383">
            <w:pPr>
              <w:pStyle w:val="56"/>
              <w:spacing w:line="241" w:lineRule="auto"/>
              <w:rPr>
                <w:color w:val="auto"/>
                <w:highlight w:val="none"/>
              </w:rPr>
            </w:pPr>
          </w:p>
          <w:p w14:paraId="71E7B9FB">
            <w:pPr>
              <w:pStyle w:val="56"/>
              <w:spacing w:line="241" w:lineRule="auto"/>
              <w:rPr>
                <w:color w:val="auto"/>
                <w:highlight w:val="none"/>
              </w:rPr>
            </w:pPr>
          </w:p>
          <w:p w14:paraId="6BF91507">
            <w:pPr>
              <w:pStyle w:val="56"/>
              <w:spacing w:line="241" w:lineRule="auto"/>
              <w:rPr>
                <w:color w:val="auto"/>
                <w:highlight w:val="none"/>
              </w:rPr>
            </w:pPr>
          </w:p>
          <w:p w14:paraId="38E8C047">
            <w:pPr>
              <w:pStyle w:val="56"/>
              <w:spacing w:line="241" w:lineRule="auto"/>
              <w:rPr>
                <w:color w:val="auto"/>
                <w:highlight w:val="none"/>
              </w:rPr>
            </w:pPr>
          </w:p>
          <w:p w14:paraId="49E41C3B">
            <w:pPr>
              <w:pStyle w:val="56"/>
              <w:spacing w:line="241" w:lineRule="auto"/>
              <w:rPr>
                <w:color w:val="auto"/>
                <w:highlight w:val="none"/>
              </w:rPr>
            </w:pPr>
          </w:p>
          <w:p w14:paraId="354DFD40">
            <w:pPr>
              <w:pStyle w:val="56"/>
              <w:spacing w:line="241" w:lineRule="auto"/>
              <w:rPr>
                <w:color w:val="auto"/>
                <w:highlight w:val="none"/>
              </w:rPr>
            </w:pPr>
          </w:p>
          <w:p w14:paraId="799A1FCF">
            <w:pPr>
              <w:pStyle w:val="56"/>
              <w:spacing w:line="241" w:lineRule="auto"/>
              <w:rPr>
                <w:color w:val="auto"/>
                <w:highlight w:val="none"/>
              </w:rPr>
            </w:pPr>
          </w:p>
          <w:p w14:paraId="72D5A1F0">
            <w:pPr>
              <w:pStyle w:val="56"/>
              <w:spacing w:line="241" w:lineRule="auto"/>
              <w:rPr>
                <w:color w:val="auto"/>
                <w:highlight w:val="none"/>
              </w:rPr>
            </w:pPr>
          </w:p>
          <w:p w14:paraId="30D24E4C">
            <w:pPr>
              <w:pStyle w:val="56"/>
              <w:spacing w:line="241" w:lineRule="auto"/>
              <w:rPr>
                <w:color w:val="auto"/>
                <w:highlight w:val="none"/>
              </w:rPr>
            </w:pPr>
          </w:p>
          <w:p w14:paraId="41D70C41">
            <w:pPr>
              <w:spacing w:before="78" w:line="231" w:lineRule="auto"/>
              <w:ind w:left="170" w:right="6" w:firstLine="129"/>
              <w:rPr>
                <w:rFonts w:ascii="KaiTi_GB2312" w:hAnsi="KaiTi_GB2312" w:eastAsia="KaiTi_GB2312" w:cs="KaiTi_GB2312"/>
                <w:color w:val="auto"/>
                <w:sz w:val="24"/>
                <w:szCs w:val="24"/>
                <w:highlight w:val="none"/>
              </w:rPr>
            </w:pPr>
            <w:r>
              <w:rPr>
                <w:rFonts w:ascii="KaiTi_GB2312" w:hAnsi="KaiTi_GB2312" w:eastAsia="KaiTi_GB2312" w:cs="KaiTi_GB2312"/>
                <w:b/>
                <w:bCs/>
                <w:color w:val="auto"/>
                <w:spacing w:val="-3"/>
                <w:sz w:val="24"/>
                <w:szCs w:val="24"/>
                <w:highlight w:val="none"/>
              </w:rPr>
              <w:t>基础运行</w:t>
            </w:r>
            <w:r>
              <w:rPr>
                <w:rFonts w:ascii="KaiTi_GB2312" w:hAnsi="KaiTi_GB2312" w:eastAsia="KaiTi_GB2312" w:cs="KaiTi_GB2312"/>
                <w:color w:val="auto"/>
                <w:sz w:val="24"/>
                <w:szCs w:val="24"/>
                <w:highlight w:val="none"/>
              </w:rPr>
              <w:t xml:space="preserve">  </w:t>
            </w:r>
            <w:r>
              <w:rPr>
                <w:rFonts w:ascii="KaiTi_GB2312" w:hAnsi="KaiTi_GB2312" w:eastAsia="KaiTi_GB2312" w:cs="KaiTi_GB2312"/>
                <w:b/>
                <w:bCs/>
                <w:color w:val="auto"/>
                <w:spacing w:val="-29"/>
                <w:sz w:val="24"/>
                <w:szCs w:val="24"/>
                <w:highlight w:val="none"/>
              </w:rPr>
              <w:t>(不对外公开）</w:t>
            </w:r>
          </w:p>
        </w:tc>
        <w:tc>
          <w:tcPr>
            <w:tcW w:w="882" w:type="dxa"/>
            <w:noWrap w:val="0"/>
            <w:vAlign w:val="top"/>
          </w:tcPr>
          <w:p w14:paraId="640B391E">
            <w:pPr>
              <w:pStyle w:val="56"/>
              <w:spacing w:line="279" w:lineRule="auto"/>
              <w:rPr>
                <w:color w:val="auto"/>
                <w:highlight w:val="none"/>
              </w:rPr>
            </w:pPr>
          </w:p>
          <w:p w14:paraId="4C380360">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11</w:t>
            </w:r>
          </w:p>
        </w:tc>
        <w:tc>
          <w:tcPr>
            <w:tcW w:w="1379" w:type="dxa"/>
            <w:noWrap w:val="0"/>
            <w:vAlign w:val="top"/>
          </w:tcPr>
          <w:p w14:paraId="41EE35C1">
            <w:pPr>
              <w:pStyle w:val="56"/>
              <w:spacing w:line="304" w:lineRule="auto"/>
              <w:rPr>
                <w:color w:val="auto"/>
                <w:highlight w:val="none"/>
              </w:rPr>
            </w:pPr>
          </w:p>
          <w:p w14:paraId="0A0AA368">
            <w:pPr>
              <w:spacing w:before="78" w:line="215" w:lineRule="auto"/>
              <w:ind w:left="217"/>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就业摸排</w:t>
            </w:r>
          </w:p>
        </w:tc>
        <w:tc>
          <w:tcPr>
            <w:tcW w:w="5399" w:type="dxa"/>
            <w:noWrap w:val="0"/>
            <w:vAlign w:val="top"/>
          </w:tcPr>
          <w:p w14:paraId="55B4034E">
            <w:pPr>
              <w:pStyle w:val="56"/>
              <w:spacing w:line="304" w:lineRule="auto"/>
              <w:rPr>
                <w:color w:val="auto"/>
                <w:highlight w:val="none"/>
              </w:rPr>
            </w:pPr>
          </w:p>
          <w:p w14:paraId="1718EEE7">
            <w:pPr>
              <w:spacing w:before="78" w:line="215" w:lineRule="auto"/>
              <w:ind w:left="12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2"/>
                <w:sz w:val="24"/>
                <w:szCs w:val="24"/>
                <w:highlight w:val="none"/>
              </w:rPr>
              <w:t>对辖区城乡劳动力资源摸排登记</w:t>
            </w:r>
          </w:p>
        </w:tc>
      </w:tr>
      <w:tr w14:paraId="23C51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 w:hRule="atLeast"/>
        </w:trPr>
        <w:tc>
          <w:tcPr>
            <w:tcW w:w="1562" w:type="dxa"/>
            <w:vMerge w:val="continue"/>
            <w:tcBorders>
              <w:top w:val="nil"/>
              <w:bottom w:val="nil"/>
            </w:tcBorders>
            <w:noWrap w:val="0"/>
            <w:vAlign w:val="top"/>
          </w:tcPr>
          <w:p w14:paraId="5A685B40">
            <w:pPr>
              <w:pStyle w:val="56"/>
              <w:rPr>
                <w:color w:val="auto"/>
                <w:highlight w:val="none"/>
              </w:rPr>
            </w:pPr>
          </w:p>
        </w:tc>
        <w:tc>
          <w:tcPr>
            <w:tcW w:w="882" w:type="dxa"/>
            <w:noWrap w:val="0"/>
            <w:vAlign w:val="top"/>
          </w:tcPr>
          <w:p w14:paraId="17C4C302">
            <w:pPr>
              <w:pStyle w:val="56"/>
              <w:spacing w:line="450" w:lineRule="auto"/>
              <w:rPr>
                <w:color w:val="auto"/>
                <w:highlight w:val="none"/>
              </w:rPr>
            </w:pPr>
          </w:p>
          <w:p w14:paraId="457F2A6F">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12</w:t>
            </w:r>
          </w:p>
        </w:tc>
        <w:tc>
          <w:tcPr>
            <w:tcW w:w="1379" w:type="dxa"/>
            <w:noWrap w:val="0"/>
            <w:vAlign w:val="top"/>
          </w:tcPr>
          <w:p w14:paraId="5D5BBB26">
            <w:pPr>
              <w:pStyle w:val="56"/>
              <w:spacing w:line="476" w:lineRule="auto"/>
              <w:rPr>
                <w:color w:val="auto"/>
                <w:highlight w:val="none"/>
              </w:rPr>
            </w:pPr>
          </w:p>
          <w:p w14:paraId="652F03C8">
            <w:pPr>
              <w:spacing w:before="78" w:line="214" w:lineRule="auto"/>
              <w:ind w:left="217"/>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就业服务</w:t>
            </w:r>
          </w:p>
        </w:tc>
        <w:tc>
          <w:tcPr>
            <w:tcW w:w="5399" w:type="dxa"/>
            <w:noWrap w:val="0"/>
            <w:vAlign w:val="top"/>
          </w:tcPr>
          <w:p w14:paraId="7C959247">
            <w:pPr>
              <w:spacing w:before="107" w:line="231" w:lineRule="auto"/>
              <w:ind w:left="110" w:right="56" w:firstLine="10"/>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对辖区登记失业人员、就业困难人员、退役军人、</w:t>
            </w:r>
            <w:r>
              <w:rPr>
                <w:rFonts w:ascii="FangSong_GB2312" w:hAnsi="FangSong_GB2312" w:eastAsia="FangSong_GB2312" w:cs="FangSong_GB2312"/>
                <w:color w:val="auto"/>
                <w:spacing w:val="-5"/>
                <w:sz w:val="24"/>
                <w:szCs w:val="24"/>
                <w:highlight w:val="none"/>
              </w:rPr>
              <w:t>离校未就业高校毕业生、脱贫劳动力、防返贫监测户、农村返乡回流人员、雨露计划毕业生等重点群</w:t>
            </w:r>
            <w:r>
              <w:rPr>
                <w:rFonts w:ascii="FangSong_GB2312" w:hAnsi="FangSong_GB2312" w:eastAsia="FangSong_GB2312" w:cs="FangSong_GB2312"/>
                <w:color w:val="auto"/>
                <w:spacing w:val="-1"/>
                <w:sz w:val="24"/>
                <w:szCs w:val="24"/>
                <w:highlight w:val="none"/>
              </w:rPr>
              <w:t>体提供就业跟踪帮扶</w:t>
            </w:r>
          </w:p>
        </w:tc>
      </w:tr>
      <w:tr w14:paraId="2A983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3922E689">
            <w:pPr>
              <w:pStyle w:val="56"/>
              <w:rPr>
                <w:color w:val="auto"/>
                <w:highlight w:val="none"/>
              </w:rPr>
            </w:pPr>
          </w:p>
        </w:tc>
        <w:tc>
          <w:tcPr>
            <w:tcW w:w="882" w:type="dxa"/>
            <w:noWrap w:val="0"/>
            <w:vAlign w:val="top"/>
          </w:tcPr>
          <w:p w14:paraId="06436055">
            <w:pPr>
              <w:pStyle w:val="56"/>
              <w:spacing w:line="282" w:lineRule="auto"/>
              <w:rPr>
                <w:color w:val="auto"/>
                <w:highlight w:val="none"/>
              </w:rPr>
            </w:pPr>
          </w:p>
          <w:p w14:paraId="3F51A45E">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13</w:t>
            </w:r>
          </w:p>
        </w:tc>
        <w:tc>
          <w:tcPr>
            <w:tcW w:w="1379" w:type="dxa"/>
            <w:noWrap w:val="0"/>
            <w:vAlign w:val="top"/>
          </w:tcPr>
          <w:p w14:paraId="16C8E0A2">
            <w:pPr>
              <w:pStyle w:val="56"/>
              <w:spacing w:line="309" w:lineRule="auto"/>
              <w:rPr>
                <w:color w:val="auto"/>
                <w:highlight w:val="none"/>
              </w:rPr>
            </w:pPr>
          </w:p>
          <w:p w14:paraId="05A5EB08">
            <w:pPr>
              <w:spacing w:before="78" w:line="214" w:lineRule="auto"/>
              <w:ind w:left="117"/>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4"/>
                <w:sz w:val="24"/>
                <w:szCs w:val="24"/>
                <w:highlight w:val="none"/>
              </w:rPr>
              <w:t>培训跟踪</w:t>
            </w:r>
          </w:p>
        </w:tc>
        <w:tc>
          <w:tcPr>
            <w:tcW w:w="5399" w:type="dxa"/>
            <w:noWrap w:val="0"/>
            <w:vAlign w:val="top"/>
          </w:tcPr>
          <w:p w14:paraId="73E2AF94">
            <w:pPr>
              <w:spacing w:before="241" w:line="230" w:lineRule="auto"/>
              <w:ind w:left="115" w:right="247" w:firstLine="4"/>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对前来登记培训需求及推荐培训项目的服务对象进行培训、就业情况跟踪登记</w:t>
            </w:r>
          </w:p>
        </w:tc>
      </w:tr>
      <w:tr w14:paraId="6A646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088AE983">
            <w:pPr>
              <w:pStyle w:val="56"/>
              <w:rPr>
                <w:color w:val="auto"/>
                <w:highlight w:val="none"/>
              </w:rPr>
            </w:pPr>
          </w:p>
        </w:tc>
        <w:tc>
          <w:tcPr>
            <w:tcW w:w="882" w:type="dxa"/>
            <w:noWrap w:val="0"/>
            <w:vAlign w:val="top"/>
          </w:tcPr>
          <w:p w14:paraId="3EC9AA92">
            <w:pPr>
              <w:pStyle w:val="56"/>
              <w:spacing w:line="282" w:lineRule="auto"/>
              <w:rPr>
                <w:color w:val="auto"/>
                <w:highlight w:val="none"/>
              </w:rPr>
            </w:pPr>
          </w:p>
          <w:p w14:paraId="1474A0FD">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14</w:t>
            </w:r>
          </w:p>
        </w:tc>
        <w:tc>
          <w:tcPr>
            <w:tcW w:w="1379" w:type="dxa"/>
            <w:noWrap w:val="0"/>
            <w:vAlign w:val="top"/>
          </w:tcPr>
          <w:p w14:paraId="43155432">
            <w:pPr>
              <w:pStyle w:val="56"/>
              <w:spacing w:line="306" w:lineRule="auto"/>
              <w:rPr>
                <w:color w:val="auto"/>
                <w:highlight w:val="none"/>
              </w:rPr>
            </w:pPr>
          </w:p>
          <w:p w14:paraId="2236740F">
            <w:pPr>
              <w:spacing w:before="78" w:line="215" w:lineRule="auto"/>
              <w:ind w:left="215"/>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用工摸排</w:t>
            </w:r>
          </w:p>
        </w:tc>
        <w:tc>
          <w:tcPr>
            <w:tcW w:w="5399" w:type="dxa"/>
            <w:noWrap w:val="0"/>
            <w:vAlign w:val="top"/>
          </w:tcPr>
          <w:p w14:paraId="61549CA9">
            <w:pPr>
              <w:pStyle w:val="56"/>
              <w:spacing w:line="306" w:lineRule="auto"/>
              <w:rPr>
                <w:color w:val="auto"/>
                <w:highlight w:val="none"/>
              </w:rPr>
            </w:pPr>
          </w:p>
          <w:p w14:paraId="723C723A">
            <w:pPr>
              <w:spacing w:before="78" w:line="215" w:lineRule="auto"/>
              <w:ind w:left="12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2"/>
                <w:sz w:val="24"/>
                <w:szCs w:val="24"/>
                <w:highlight w:val="none"/>
              </w:rPr>
              <w:t>对用人单位用工需求摸排登记</w:t>
            </w:r>
          </w:p>
        </w:tc>
      </w:tr>
      <w:tr w14:paraId="34EF6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1562" w:type="dxa"/>
            <w:vMerge w:val="continue"/>
            <w:tcBorders>
              <w:top w:val="nil"/>
              <w:bottom w:val="nil"/>
            </w:tcBorders>
            <w:noWrap w:val="0"/>
            <w:vAlign w:val="top"/>
          </w:tcPr>
          <w:p w14:paraId="1D9FE8C2">
            <w:pPr>
              <w:pStyle w:val="56"/>
              <w:rPr>
                <w:color w:val="auto"/>
                <w:highlight w:val="none"/>
              </w:rPr>
            </w:pPr>
          </w:p>
        </w:tc>
        <w:tc>
          <w:tcPr>
            <w:tcW w:w="882" w:type="dxa"/>
            <w:noWrap w:val="0"/>
            <w:vAlign w:val="top"/>
          </w:tcPr>
          <w:p w14:paraId="124850BA">
            <w:pPr>
              <w:pStyle w:val="56"/>
              <w:spacing w:line="442" w:lineRule="auto"/>
              <w:rPr>
                <w:color w:val="auto"/>
                <w:highlight w:val="none"/>
              </w:rPr>
            </w:pPr>
          </w:p>
          <w:p w14:paraId="2C01A0C3">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15</w:t>
            </w:r>
          </w:p>
        </w:tc>
        <w:tc>
          <w:tcPr>
            <w:tcW w:w="1379" w:type="dxa"/>
            <w:noWrap w:val="0"/>
            <w:vAlign w:val="top"/>
          </w:tcPr>
          <w:p w14:paraId="5F6C93F1">
            <w:pPr>
              <w:pStyle w:val="56"/>
              <w:spacing w:line="468" w:lineRule="auto"/>
              <w:rPr>
                <w:color w:val="auto"/>
                <w:highlight w:val="none"/>
              </w:rPr>
            </w:pPr>
          </w:p>
          <w:p w14:paraId="34E62332">
            <w:pPr>
              <w:spacing w:before="78" w:line="214" w:lineRule="auto"/>
              <w:ind w:left="215"/>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用工服务</w:t>
            </w:r>
          </w:p>
        </w:tc>
        <w:tc>
          <w:tcPr>
            <w:tcW w:w="5399" w:type="dxa"/>
            <w:noWrap w:val="0"/>
            <w:vAlign w:val="top"/>
          </w:tcPr>
          <w:p w14:paraId="209E8EC6">
            <w:pPr>
              <w:spacing w:before="102" w:line="230" w:lineRule="auto"/>
              <w:ind w:left="120" w:right="108"/>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对本县（市、区）、开发区承接的市级重点企业送</w:t>
            </w:r>
            <w:r>
              <w:rPr>
                <w:rFonts w:ascii="FangSong_GB2312" w:hAnsi="FangSong_GB2312" w:eastAsia="FangSong_GB2312" w:cs="FangSong_GB2312"/>
                <w:color w:val="auto"/>
                <w:spacing w:val="-2"/>
                <w:sz w:val="24"/>
                <w:szCs w:val="24"/>
                <w:highlight w:val="none"/>
              </w:rPr>
              <w:t>工任务提供送工服务；</w:t>
            </w:r>
          </w:p>
          <w:p w14:paraId="1BC4A42E">
            <w:pPr>
              <w:spacing w:before="2" w:line="230" w:lineRule="auto"/>
              <w:ind w:left="120" w:right="108"/>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对本县（市、区）、开发区重点企业送工任务提供</w:t>
            </w:r>
            <w:r>
              <w:rPr>
                <w:rFonts w:ascii="FangSong_GB2312" w:hAnsi="FangSong_GB2312" w:eastAsia="FangSong_GB2312" w:cs="FangSong_GB2312"/>
                <w:color w:val="auto"/>
                <w:spacing w:val="-4"/>
                <w:sz w:val="24"/>
                <w:szCs w:val="24"/>
                <w:highlight w:val="none"/>
              </w:rPr>
              <w:t>送工服务</w:t>
            </w:r>
          </w:p>
        </w:tc>
      </w:tr>
      <w:tr w14:paraId="32202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55F74AED">
            <w:pPr>
              <w:pStyle w:val="56"/>
              <w:rPr>
                <w:color w:val="auto"/>
                <w:highlight w:val="none"/>
              </w:rPr>
            </w:pPr>
          </w:p>
        </w:tc>
        <w:tc>
          <w:tcPr>
            <w:tcW w:w="882" w:type="dxa"/>
            <w:noWrap w:val="0"/>
            <w:vAlign w:val="top"/>
          </w:tcPr>
          <w:p w14:paraId="187D9897">
            <w:pPr>
              <w:pStyle w:val="56"/>
              <w:spacing w:line="283" w:lineRule="auto"/>
              <w:rPr>
                <w:color w:val="auto"/>
                <w:highlight w:val="none"/>
              </w:rPr>
            </w:pPr>
          </w:p>
          <w:p w14:paraId="7B7CC52F">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16</w:t>
            </w:r>
          </w:p>
        </w:tc>
        <w:tc>
          <w:tcPr>
            <w:tcW w:w="1379" w:type="dxa"/>
            <w:noWrap w:val="0"/>
            <w:vAlign w:val="top"/>
          </w:tcPr>
          <w:p w14:paraId="3C339EDD">
            <w:pPr>
              <w:pStyle w:val="56"/>
              <w:spacing w:line="309" w:lineRule="auto"/>
              <w:rPr>
                <w:color w:val="auto"/>
                <w:highlight w:val="none"/>
              </w:rPr>
            </w:pPr>
          </w:p>
          <w:p w14:paraId="378F7134">
            <w:pPr>
              <w:spacing w:before="78" w:line="216" w:lineRule="auto"/>
              <w:ind w:left="228"/>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活动组织</w:t>
            </w:r>
          </w:p>
        </w:tc>
        <w:tc>
          <w:tcPr>
            <w:tcW w:w="5399" w:type="dxa"/>
            <w:noWrap w:val="0"/>
            <w:vAlign w:val="top"/>
          </w:tcPr>
          <w:p w14:paraId="0EE894BB">
            <w:pPr>
              <w:spacing w:before="242" w:line="230" w:lineRule="auto"/>
              <w:ind w:left="120" w:right="108" w:hanging="2"/>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定期组织招聘会、公益性技能培训、补贴性技能培</w:t>
            </w:r>
            <w:r>
              <w:rPr>
                <w:rFonts w:ascii="FangSong_GB2312" w:hAnsi="FangSong_GB2312" w:eastAsia="FangSong_GB2312" w:cs="FangSong_GB2312"/>
                <w:color w:val="auto"/>
                <w:spacing w:val="-2"/>
                <w:sz w:val="24"/>
                <w:szCs w:val="24"/>
                <w:highlight w:val="none"/>
              </w:rPr>
              <w:t>训、政策宣传等活动</w:t>
            </w:r>
          </w:p>
        </w:tc>
      </w:tr>
      <w:tr w14:paraId="60D8C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4" w:hRule="atLeast"/>
        </w:trPr>
        <w:tc>
          <w:tcPr>
            <w:tcW w:w="1562" w:type="dxa"/>
            <w:vMerge w:val="continue"/>
            <w:tcBorders>
              <w:top w:val="nil"/>
              <w:bottom w:val="nil"/>
            </w:tcBorders>
            <w:noWrap w:val="0"/>
            <w:vAlign w:val="top"/>
          </w:tcPr>
          <w:p w14:paraId="0FE3DE14">
            <w:pPr>
              <w:pStyle w:val="56"/>
              <w:rPr>
                <w:color w:val="auto"/>
                <w:highlight w:val="none"/>
              </w:rPr>
            </w:pPr>
          </w:p>
        </w:tc>
        <w:tc>
          <w:tcPr>
            <w:tcW w:w="882" w:type="dxa"/>
            <w:noWrap w:val="0"/>
            <w:vAlign w:val="top"/>
          </w:tcPr>
          <w:p w14:paraId="70EAA6CD">
            <w:pPr>
              <w:pStyle w:val="56"/>
              <w:spacing w:line="283" w:lineRule="auto"/>
              <w:rPr>
                <w:color w:val="auto"/>
                <w:highlight w:val="none"/>
              </w:rPr>
            </w:pPr>
          </w:p>
          <w:p w14:paraId="5BF7C646">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2"/>
                <w:sz w:val="24"/>
                <w:szCs w:val="24"/>
                <w:highlight w:val="none"/>
              </w:rPr>
              <w:t>17</w:t>
            </w:r>
          </w:p>
        </w:tc>
        <w:tc>
          <w:tcPr>
            <w:tcW w:w="1379" w:type="dxa"/>
            <w:noWrap w:val="0"/>
            <w:vAlign w:val="top"/>
          </w:tcPr>
          <w:p w14:paraId="69476107">
            <w:pPr>
              <w:pStyle w:val="56"/>
              <w:spacing w:line="309" w:lineRule="auto"/>
              <w:rPr>
                <w:color w:val="auto"/>
                <w:highlight w:val="none"/>
              </w:rPr>
            </w:pPr>
          </w:p>
          <w:p w14:paraId="36D200BF">
            <w:pPr>
              <w:spacing w:before="78" w:line="214" w:lineRule="auto"/>
              <w:ind w:left="220"/>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4"/>
                <w:sz w:val="24"/>
                <w:szCs w:val="24"/>
                <w:highlight w:val="none"/>
              </w:rPr>
              <w:t>社会宣传</w:t>
            </w:r>
          </w:p>
        </w:tc>
        <w:tc>
          <w:tcPr>
            <w:tcW w:w="5399" w:type="dxa"/>
            <w:noWrap w:val="0"/>
            <w:vAlign w:val="top"/>
          </w:tcPr>
          <w:p w14:paraId="5A4060F5">
            <w:pPr>
              <w:pStyle w:val="56"/>
              <w:spacing w:line="309" w:lineRule="auto"/>
              <w:rPr>
                <w:color w:val="auto"/>
                <w:highlight w:val="none"/>
              </w:rPr>
            </w:pPr>
          </w:p>
          <w:p w14:paraId="755CCA57">
            <w:pPr>
              <w:spacing w:before="78" w:line="214" w:lineRule="auto"/>
              <w:ind w:left="126"/>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资料配备、宣传推广</w:t>
            </w:r>
          </w:p>
        </w:tc>
      </w:tr>
      <w:tr w14:paraId="50503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3A6D1FFC">
            <w:pPr>
              <w:pStyle w:val="56"/>
              <w:rPr>
                <w:color w:val="auto"/>
                <w:highlight w:val="none"/>
              </w:rPr>
            </w:pPr>
          </w:p>
        </w:tc>
        <w:tc>
          <w:tcPr>
            <w:tcW w:w="882" w:type="dxa"/>
            <w:noWrap w:val="0"/>
            <w:vAlign w:val="top"/>
          </w:tcPr>
          <w:p w14:paraId="33B9D101">
            <w:pPr>
              <w:pStyle w:val="56"/>
              <w:spacing w:line="284" w:lineRule="auto"/>
              <w:rPr>
                <w:color w:val="auto"/>
                <w:highlight w:val="none"/>
              </w:rPr>
            </w:pPr>
          </w:p>
          <w:p w14:paraId="052003A1">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18</w:t>
            </w:r>
          </w:p>
        </w:tc>
        <w:tc>
          <w:tcPr>
            <w:tcW w:w="1379" w:type="dxa"/>
            <w:noWrap w:val="0"/>
            <w:vAlign w:val="top"/>
          </w:tcPr>
          <w:p w14:paraId="4BCB0392">
            <w:pPr>
              <w:pStyle w:val="56"/>
              <w:spacing w:line="310" w:lineRule="auto"/>
              <w:rPr>
                <w:color w:val="auto"/>
                <w:highlight w:val="none"/>
              </w:rPr>
            </w:pPr>
          </w:p>
          <w:p w14:paraId="575AED50">
            <w:pPr>
              <w:spacing w:before="78" w:line="216" w:lineRule="auto"/>
              <w:ind w:left="222"/>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5"/>
                <w:sz w:val="24"/>
                <w:szCs w:val="24"/>
                <w:highlight w:val="none"/>
              </w:rPr>
              <w:t>规范配备</w:t>
            </w:r>
          </w:p>
        </w:tc>
        <w:tc>
          <w:tcPr>
            <w:tcW w:w="5399" w:type="dxa"/>
            <w:noWrap w:val="0"/>
            <w:vAlign w:val="top"/>
          </w:tcPr>
          <w:p w14:paraId="3BC13A38">
            <w:pPr>
              <w:spacing w:before="92" w:line="231" w:lineRule="auto"/>
              <w:ind w:left="117" w:right="56" w:hanging="1"/>
              <w:jc w:val="both"/>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按照《规范配备标准》做好服务场所、服务设施、</w:t>
            </w:r>
            <w:r>
              <w:rPr>
                <w:rFonts w:ascii="FangSong_GB2312" w:hAnsi="FangSong_GB2312" w:eastAsia="FangSong_GB2312" w:cs="FangSong_GB2312"/>
                <w:color w:val="auto"/>
                <w:spacing w:val="-6"/>
                <w:sz w:val="24"/>
                <w:szCs w:val="24"/>
                <w:highlight w:val="none"/>
              </w:rPr>
              <w:t>服务团队、服务标识、服务台账、服务系统等服务</w:t>
            </w:r>
            <w:r>
              <w:rPr>
                <w:rFonts w:ascii="FangSong_GB2312" w:hAnsi="FangSong_GB2312" w:eastAsia="FangSong_GB2312" w:cs="FangSong_GB2312"/>
                <w:color w:val="auto"/>
                <w:spacing w:val="-7"/>
                <w:sz w:val="24"/>
                <w:szCs w:val="24"/>
                <w:highlight w:val="none"/>
              </w:rPr>
              <w:t>配备</w:t>
            </w:r>
          </w:p>
        </w:tc>
      </w:tr>
      <w:tr w14:paraId="1BF65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562" w:type="dxa"/>
            <w:vMerge w:val="continue"/>
            <w:tcBorders>
              <w:top w:val="nil"/>
              <w:bottom w:val="nil"/>
            </w:tcBorders>
            <w:noWrap w:val="0"/>
            <w:vAlign w:val="top"/>
          </w:tcPr>
          <w:p w14:paraId="48C1E2BF">
            <w:pPr>
              <w:pStyle w:val="56"/>
              <w:rPr>
                <w:color w:val="auto"/>
                <w:highlight w:val="none"/>
              </w:rPr>
            </w:pPr>
          </w:p>
        </w:tc>
        <w:tc>
          <w:tcPr>
            <w:tcW w:w="882" w:type="dxa"/>
            <w:noWrap w:val="0"/>
            <w:vAlign w:val="top"/>
          </w:tcPr>
          <w:p w14:paraId="6B164263">
            <w:pPr>
              <w:pStyle w:val="56"/>
              <w:spacing w:line="284" w:lineRule="auto"/>
              <w:rPr>
                <w:color w:val="auto"/>
                <w:highlight w:val="none"/>
              </w:rPr>
            </w:pPr>
          </w:p>
          <w:p w14:paraId="7D88349D">
            <w:pPr>
              <w:spacing w:before="69" w:line="315" w:lineRule="exact"/>
              <w:ind w:left="3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2"/>
                <w:sz w:val="24"/>
                <w:szCs w:val="24"/>
                <w:highlight w:val="none"/>
              </w:rPr>
              <w:t>19</w:t>
            </w:r>
          </w:p>
        </w:tc>
        <w:tc>
          <w:tcPr>
            <w:tcW w:w="1379" w:type="dxa"/>
            <w:noWrap w:val="0"/>
            <w:vAlign w:val="top"/>
          </w:tcPr>
          <w:p w14:paraId="4284B8F6">
            <w:pPr>
              <w:pStyle w:val="56"/>
              <w:spacing w:line="310" w:lineRule="auto"/>
              <w:rPr>
                <w:color w:val="auto"/>
                <w:highlight w:val="none"/>
              </w:rPr>
            </w:pPr>
          </w:p>
          <w:p w14:paraId="119EFA00">
            <w:pPr>
              <w:spacing w:before="78" w:line="214" w:lineRule="auto"/>
              <w:ind w:left="245"/>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0"/>
                <w:sz w:val="24"/>
                <w:szCs w:val="24"/>
                <w:highlight w:val="none"/>
              </w:rPr>
              <w:t>品牌建设</w:t>
            </w:r>
          </w:p>
        </w:tc>
        <w:tc>
          <w:tcPr>
            <w:tcW w:w="5399" w:type="dxa"/>
            <w:noWrap w:val="0"/>
            <w:vAlign w:val="top"/>
          </w:tcPr>
          <w:p w14:paraId="7D50931D">
            <w:pPr>
              <w:pStyle w:val="56"/>
              <w:spacing w:line="311" w:lineRule="auto"/>
              <w:rPr>
                <w:color w:val="auto"/>
                <w:highlight w:val="none"/>
              </w:rPr>
            </w:pPr>
          </w:p>
          <w:p w14:paraId="5BA2B363">
            <w:pPr>
              <w:spacing w:before="78" w:line="214" w:lineRule="auto"/>
              <w:ind w:left="121"/>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1"/>
                <w:sz w:val="24"/>
                <w:szCs w:val="24"/>
                <w:highlight w:val="none"/>
              </w:rPr>
              <w:t>经验推广、正面报道、肯定表扬、现场观摩</w:t>
            </w:r>
          </w:p>
        </w:tc>
      </w:tr>
      <w:tr w14:paraId="52F63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1562" w:type="dxa"/>
            <w:vMerge w:val="continue"/>
            <w:tcBorders>
              <w:top w:val="nil"/>
            </w:tcBorders>
            <w:noWrap w:val="0"/>
            <w:vAlign w:val="top"/>
          </w:tcPr>
          <w:p w14:paraId="257668E1">
            <w:pPr>
              <w:pStyle w:val="56"/>
              <w:rPr>
                <w:color w:val="auto"/>
                <w:highlight w:val="none"/>
              </w:rPr>
            </w:pPr>
          </w:p>
        </w:tc>
        <w:tc>
          <w:tcPr>
            <w:tcW w:w="882" w:type="dxa"/>
            <w:noWrap w:val="0"/>
            <w:vAlign w:val="top"/>
          </w:tcPr>
          <w:p w14:paraId="0EB4D25C">
            <w:pPr>
              <w:pStyle w:val="56"/>
              <w:spacing w:line="284" w:lineRule="auto"/>
              <w:rPr>
                <w:color w:val="auto"/>
                <w:highlight w:val="none"/>
              </w:rPr>
            </w:pPr>
          </w:p>
          <w:p w14:paraId="3756835F">
            <w:pPr>
              <w:spacing w:before="69" w:line="315" w:lineRule="exact"/>
              <w:ind w:left="322"/>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3"/>
                <w:position w:val="1"/>
                <w:sz w:val="24"/>
                <w:szCs w:val="24"/>
                <w:highlight w:val="none"/>
              </w:rPr>
              <w:t>20</w:t>
            </w:r>
          </w:p>
        </w:tc>
        <w:tc>
          <w:tcPr>
            <w:tcW w:w="1379" w:type="dxa"/>
            <w:noWrap w:val="0"/>
            <w:vAlign w:val="top"/>
          </w:tcPr>
          <w:p w14:paraId="68B22024">
            <w:pPr>
              <w:pStyle w:val="56"/>
              <w:spacing w:line="310" w:lineRule="auto"/>
              <w:rPr>
                <w:color w:val="auto"/>
                <w:highlight w:val="none"/>
              </w:rPr>
            </w:pPr>
          </w:p>
          <w:p w14:paraId="6C49BF28">
            <w:pPr>
              <w:spacing w:before="78" w:line="214" w:lineRule="auto"/>
              <w:ind w:left="216"/>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3"/>
                <w:sz w:val="24"/>
                <w:szCs w:val="24"/>
                <w:highlight w:val="none"/>
              </w:rPr>
              <w:t>风险管控</w:t>
            </w:r>
          </w:p>
        </w:tc>
        <w:tc>
          <w:tcPr>
            <w:tcW w:w="5399" w:type="dxa"/>
            <w:noWrap w:val="0"/>
            <w:vAlign w:val="top"/>
          </w:tcPr>
          <w:p w14:paraId="16622657">
            <w:pPr>
              <w:spacing w:before="243" w:line="230" w:lineRule="auto"/>
              <w:ind w:left="133" w:right="108" w:hanging="12"/>
              <w:rPr>
                <w:rFonts w:ascii="FangSong_GB2312" w:hAnsi="FangSong_GB2312" w:eastAsia="FangSong_GB2312" w:cs="FangSong_GB2312"/>
                <w:color w:val="auto"/>
                <w:sz w:val="24"/>
                <w:szCs w:val="24"/>
                <w:highlight w:val="none"/>
              </w:rPr>
            </w:pPr>
            <w:r>
              <w:rPr>
                <w:rFonts w:ascii="FangSong_GB2312" w:hAnsi="FangSong_GB2312" w:eastAsia="FangSong_GB2312" w:cs="FangSong_GB2312"/>
                <w:color w:val="auto"/>
                <w:spacing w:val="-6"/>
                <w:sz w:val="24"/>
                <w:szCs w:val="24"/>
                <w:highlight w:val="none"/>
              </w:rPr>
              <w:t>安全生产、违法乱纪、数据安全、负面舆情、违规</w:t>
            </w:r>
            <w:r>
              <w:rPr>
                <w:rFonts w:ascii="FangSong_GB2312" w:hAnsi="FangSong_GB2312" w:eastAsia="FangSong_GB2312" w:cs="FangSong_GB2312"/>
                <w:color w:val="auto"/>
                <w:spacing w:val="-14"/>
                <w:sz w:val="24"/>
                <w:szCs w:val="24"/>
                <w:highlight w:val="none"/>
              </w:rPr>
              <w:t>收费</w:t>
            </w:r>
          </w:p>
        </w:tc>
      </w:tr>
    </w:tbl>
    <w:p w14:paraId="341C2AFC">
      <w:pPr>
        <w:spacing w:line="560" w:lineRule="exact"/>
        <w:rPr>
          <w:rFonts w:hint="eastAsia" w:ascii="仿宋_GB2312" w:hAnsi="仿宋_GB2312" w:eastAsia="仿宋_GB2312" w:cs="仿宋_GB2312"/>
          <w:color w:val="auto"/>
          <w:sz w:val="32"/>
          <w:szCs w:val="32"/>
          <w:highlight w:val="none"/>
          <w:u w:val="none"/>
          <w:lang w:val="en-US" w:eastAsia="zh-CN"/>
        </w:rPr>
      </w:pPr>
    </w:p>
    <w:p w14:paraId="2EF42B1A">
      <w:pPr>
        <w:spacing w:line="560" w:lineRule="exact"/>
        <w:rPr>
          <w:rFonts w:hint="eastAsia" w:ascii="仿宋_GB2312" w:hAnsi="仿宋_GB2312" w:eastAsia="仿宋_GB2312" w:cs="仿宋_GB2312"/>
          <w:color w:val="auto"/>
          <w:sz w:val="32"/>
          <w:szCs w:val="32"/>
          <w:highlight w:val="none"/>
          <w:u w:val="none"/>
          <w:lang w:val="en-US" w:eastAsia="zh-CN"/>
        </w:rPr>
      </w:pPr>
    </w:p>
    <w:p w14:paraId="16370E0D">
      <w:pPr>
        <w:spacing w:line="560" w:lineRule="exact"/>
        <w:rPr>
          <w:rFonts w:hint="eastAsia" w:ascii="仿宋_GB2312" w:hAnsi="仿宋_GB2312" w:eastAsia="仿宋_GB2312" w:cs="仿宋_GB2312"/>
          <w:color w:val="auto"/>
          <w:sz w:val="32"/>
          <w:szCs w:val="32"/>
          <w:highlight w:val="none"/>
          <w:u w:val="none"/>
          <w:lang w:val="en-US" w:eastAsia="zh-CN"/>
        </w:rPr>
      </w:pPr>
    </w:p>
    <w:p w14:paraId="7157D267">
      <w:pPr>
        <w:rPr>
          <w:rFonts w:hint="eastAsia" w:ascii="Arial Unicode MS" w:hAnsi="Arial Unicode MS" w:eastAsia="Arial Unicode MS" w:cs="Arial Unicode MS"/>
          <w:color w:val="auto"/>
          <w:sz w:val="17"/>
          <w:szCs w:val="17"/>
          <w:highlight w:val="none"/>
        </w:rPr>
      </w:pPr>
      <w:r>
        <w:rPr>
          <w:rFonts w:hint="eastAsia" w:ascii="Arial Unicode MS" w:hAnsi="Arial Unicode MS" w:eastAsia="Arial Unicode MS" w:cs="Arial Unicode MS"/>
          <w:color w:val="auto"/>
          <w:sz w:val="17"/>
          <w:szCs w:val="17"/>
          <w:highlight w:val="none"/>
        </w:rPr>
        <w:br w:type="page"/>
      </w:r>
    </w:p>
    <w:p w14:paraId="392234A5">
      <w:pPr>
        <w:keepNext w:val="0"/>
        <w:keepLines w:val="0"/>
        <w:pageBreakBefore w:val="0"/>
        <w:widowControl w:val="0"/>
        <w:kinsoku/>
        <w:wordWrap/>
        <w:overflowPunct/>
        <w:topLinePunct w:val="0"/>
        <w:autoSpaceDE/>
        <w:autoSpaceDN/>
        <w:bidi w:val="0"/>
        <w:adjustRightInd/>
        <w:snapToGrid/>
        <w:spacing w:line="428" w:lineRule="exact"/>
        <w:textAlignment w:val="auto"/>
        <w:outlineLvl w:val="1"/>
        <w:rPr>
          <w:rFonts w:hint="default" w:ascii="仿宋_GB2312" w:hAnsi="仿宋_GB2312" w:eastAsia="仿宋_GB2312" w:cs="仿宋_GB2312"/>
          <w:color w:val="auto"/>
          <w:kern w:val="0"/>
          <w:sz w:val="32"/>
          <w:szCs w:val="32"/>
          <w:highlight w:val="none"/>
          <w:u w:val="none"/>
          <w:lang w:val="en-US" w:eastAsia="zh-CN"/>
        </w:rPr>
      </w:pPr>
      <w:bookmarkStart w:id="39" w:name="_Toc10185"/>
      <w:r>
        <w:rPr>
          <w:rFonts w:hint="eastAsia" w:ascii="仿宋_GB2312" w:hAnsi="仿宋_GB2312" w:eastAsia="仿宋_GB2312" w:cs="仿宋_GB2312"/>
          <w:color w:val="auto"/>
          <w:kern w:val="0"/>
          <w:sz w:val="32"/>
          <w:szCs w:val="32"/>
          <w:highlight w:val="none"/>
          <w:u w:val="none"/>
          <w:lang w:val="en-US" w:eastAsia="zh-CN"/>
        </w:rPr>
        <w:t>附件4</w:t>
      </w:r>
      <w:bookmarkEnd w:id="39"/>
    </w:p>
    <w:tbl>
      <w:tblPr>
        <w:tblStyle w:val="30"/>
        <w:tblW w:w="5904" w:type="pct"/>
        <w:tblInd w:w="-8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3"/>
        <w:gridCol w:w="700"/>
        <w:gridCol w:w="1100"/>
        <w:gridCol w:w="2183"/>
        <w:gridCol w:w="2917"/>
        <w:gridCol w:w="2000"/>
        <w:gridCol w:w="767"/>
      </w:tblGrid>
      <w:tr w14:paraId="310A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000" w:type="pct"/>
            <w:gridSpan w:val="7"/>
            <w:tcBorders>
              <w:top w:val="nil"/>
              <w:left w:val="nil"/>
              <w:bottom w:val="nil"/>
              <w:right w:val="nil"/>
            </w:tcBorders>
            <w:noWrap/>
            <w:vAlign w:val="center"/>
          </w:tcPr>
          <w:p w14:paraId="259F5FFA">
            <w:pPr>
              <w:keepNext w:val="0"/>
              <w:keepLines w:val="0"/>
              <w:suppressLineNumbers w:val="0"/>
              <w:spacing w:before="0" w:beforeAutospacing="0" w:after="0" w:afterAutospacing="0"/>
              <w:ind w:left="0" w:right="0"/>
              <w:rPr>
                <w:rFonts w:hint="default"/>
                <w:color w:val="auto"/>
                <w:highlight w:val="none"/>
                <w:lang w:val="en-US" w:eastAsia="zh-CN"/>
              </w:rPr>
            </w:pPr>
          </w:p>
        </w:tc>
      </w:tr>
      <w:tr w14:paraId="7D62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000" w:type="pct"/>
            <w:gridSpan w:val="7"/>
            <w:tcBorders>
              <w:top w:val="nil"/>
              <w:left w:val="nil"/>
              <w:bottom w:val="nil"/>
              <w:right w:val="nil"/>
            </w:tcBorders>
            <w:noWrap/>
            <w:vAlign w:val="center"/>
          </w:tcPr>
          <w:p w14:paraId="2763334A">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iCs w:val="0"/>
                <w:color w:val="auto"/>
                <w:sz w:val="32"/>
                <w:szCs w:val="32"/>
                <w:highlight w:val="none"/>
                <w:u w:val="none"/>
              </w:rPr>
            </w:pPr>
            <w:r>
              <w:rPr>
                <w:rFonts w:hint="eastAsia" w:ascii="微软雅黑" w:hAnsi="微软雅黑" w:eastAsia="微软雅黑" w:cs="微软雅黑"/>
                <w:i w:val="0"/>
                <w:iCs w:val="0"/>
                <w:color w:val="auto"/>
                <w:kern w:val="0"/>
                <w:sz w:val="32"/>
                <w:szCs w:val="32"/>
                <w:highlight w:val="none"/>
                <w:u w:val="none"/>
                <w:lang w:val="en-US" w:eastAsia="zh-CN" w:bidi="ar"/>
              </w:rPr>
              <w:t>南宁市武鸣区一级就业服务站服务考核标准</w:t>
            </w:r>
          </w:p>
        </w:tc>
      </w:tr>
      <w:tr w14:paraId="0E24D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7"/>
            <w:tcBorders>
              <w:top w:val="nil"/>
              <w:left w:val="nil"/>
              <w:bottom w:val="nil"/>
              <w:right w:val="nil"/>
            </w:tcBorders>
            <w:noWrap/>
            <w:vAlign w:val="center"/>
          </w:tcPr>
          <w:p w14:paraId="14647A2B">
            <w:pPr>
              <w:keepNext w:val="0"/>
              <w:keepLines w:val="0"/>
              <w:widowControl/>
              <w:suppressLineNumbers w:val="0"/>
              <w:spacing w:before="0" w:beforeAutospacing="0" w:after="0" w:afterAutospacing="0"/>
              <w:ind w:left="0" w:right="0"/>
              <w:jc w:val="left"/>
              <w:textAlignment w:val="center"/>
              <w:rPr>
                <w:rFonts w:hint="default" w:ascii="黑体" w:hAnsi="宋体" w:eastAsia="黑体" w:cs="黑体"/>
                <w:i w:val="0"/>
                <w:iCs w:val="0"/>
                <w:color w:val="auto"/>
                <w:sz w:val="22"/>
                <w:szCs w:val="22"/>
                <w:highlight w:val="none"/>
                <w:u w:val="none"/>
              </w:rPr>
            </w:pPr>
          </w:p>
        </w:tc>
      </w:tr>
      <w:tr w14:paraId="7F80E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2" w:type="pct"/>
            <w:tcBorders>
              <w:top w:val="single" w:color="000000" w:sz="4" w:space="0"/>
              <w:left w:val="single" w:color="000000" w:sz="4" w:space="0"/>
              <w:bottom w:val="single" w:color="000000" w:sz="4" w:space="0"/>
              <w:right w:val="single" w:color="000000" w:sz="4" w:space="0"/>
            </w:tcBorders>
            <w:noWrap/>
            <w:vAlign w:val="center"/>
          </w:tcPr>
          <w:p w14:paraId="07BF4261">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服务类别</w:t>
            </w:r>
          </w:p>
        </w:tc>
        <w:tc>
          <w:tcPr>
            <w:tcW w:w="327" w:type="pct"/>
            <w:tcBorders>
              <w:top w:val="single" w:color="000000" w:sz="4" w:space="0"/>
              <w:left w:val="single" w:color="000000" w:sz="4" w:space="0"/>
              <w:bottom w:val="single" w:color="000000" w:sz="4" w:space="0"/>
              <w:right w:val="single" w:color="000000" w:sz="4" w:space="0"/>
            </w:tcBorders>
            <w:noWrap/>
            <w:vAlign w:val="center"/>
          </w:tcPr>
          <w:p w14:paraId="3F2D6DF4">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序号</w:t>
            </w:r>
          </w:p>
        </w:tc>
        <w:tc>
          <w:tcPr>
            <w:tcW w:w="514" w:type="pct"/>
            <w:tcBorders>
              <w:top w:val="single" w:color="000000" w:sz="4" w:space="0"/>
              <w:left w:val="single" w:color="000000" w:sz="4" w:space="0"/>
              <w:bottom w:val="single" w:color="000000" w:sz="4" w:space="0"/>
              <w:right w:val="single" w:color="000000" w:sz="4" w:space="0"/>
            </w:tcBorders>
            <w:noWrap/>
            <w:vAlign w:val="center"/>
          </w:tcPr>
          <w:p w14:paraId="64D3189E">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考核事项</w:t>
            </w:r>
          </w:p>
        </w:tc>
        <w:tc>
          <w:tcPr>
            <w:tcW w:w="1020" w:type="pct"/>
            <w:tcBorders>
              <w:top w:val="single" w:color="000000" w:sz="4" w:space="0"/>
              <w:left w:val="single" w:color="000000" w:sz="4" w:space="0"/>
              <w:bottom w:val="single" w:color="000000" w:sz="4" w:space="0"/>
              <w:right w:val="single" w:color="000000" w:sz="4" w:space="0"/>
            </w:tcBorders>
            <w:noWrap/>
            <w:vAlign w:val="center"/>
          </w:tcPr>
          <w:p w14:paraId="3D8E3FAF">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考核内容</w:t>
            </w:r>
          </w:p>
        </w:tc>
        <w:tc>
          <w:tcPr>
            <w:tcW w:w="1363" w:type="pct"/>
            <w:tcBorders>
              <w:top w:val="single" w:color="000000" w:sz="4" w:space="0"/>
              <w:left w:val="single" w:color="000000" w:sz="4" w:space="0"/>
              <w:bottom w:val="single" w:color="000000" w:sz="4" w:space="0"/>
              <w:right w:val="single" w:color="000000" w:sz="4" w:space="0"/>
            </w:tcBorders>
            <w:noWrap/>
            <w:vAlign w:val="center"/>
          </w:tcPr>
          <w:p w14:paraId="2D641083">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评分标准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2C674D7">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考核方式</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8D6CDDB">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备注</w:t>
            </w:r>
          </w:p>
        </w:tc>
      </w:tr>
      <w:tr w14:paraId="0E89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482" w:type="pct"/>
            <w:vMerge w:val="restart"/>
            <w:tcBorders>
              <w:top w:val="single" w:color="000000" w:sz="4" w:space="0"/>
              <w:left w:val="single" w:color="000000" w:sz="4" w:space="0"/>
              <w:bottom w:val="single" w:color="000000" w:sz="4" w:space="0"/>
              <w:right w:val="single" w:color="000000" w:sz="4" w:space="0"/>
            </w:tcBorders>
            <w:noWrap w:val="0"/>
            <w:vAlign w:val="center"/>
          </w:tcPr>
          <w:p w14:paraId="0B9214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劳动者</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15</w:t>
            </w:r>
            <w:r>
              <w:rPr>
                <w:rStyle w:val="111"/>
                <w:rFonts w:hint="default" w:hAnsi="Times New Roman"/>
                <w:color w:val="auto"/>
                <w:highlight w:val="none"/>
                <w:lang w:val="en-US" w:eastAsia="zh-CN" w:bidi="ar"/>
              </w:rPr>
              <w:t>分）</w:t>
            </w:r>
          </w:p>
        </w:tc>
        <w:tc>
          <w:tcPr>
            <w:tcW w:w="327" w:type="pct"/>
            <w:tcBorders>
              <w:top w:val="single" w:color="000000" w:sz="4" w:space="0"/>
              <w:left w:val="single" w:color="000000" w:sz="4" w:space="0"/>
              <w:bottom w:val="single" w:color="000000" w:sz="4" w:space="0"/>
              <w:right w:val="single" w:color="000000" w:sz="4" w:space="0"/>
            </w:tcBorders>
            <w:noWrap/>
            <w:vAlign w:val="center"/>
          </w:tcPr>
          <w:p w14:paraId="732A8E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9D98A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咨询服务</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2</w:t>
            </w:r>
            <w:r>
              <w:rPr>
                <w:rStyle w:val="111"/>
                <w:rFonts w:hint="default" w:hAnsi="Times New Roman"/>
                <w:color w:val="auto"/>
                <w:highlight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CB1CE5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政策宣传、服务咨询、信息查询；就业失业登记、就业困难人员认定、就业创业补贴申领等业务办理指引（含序号</w:t>
            </w:r>
            <w:r>
              <w:rPr>
                <w:rFonts w:hint="default" w:ascii="Times New Roman" w:hAnsi="Times New Roman" w:eastAsia="仿宋_GB2312" w:cs="Times New Roman"/>
                <w:i w:val="0"/>
                <w:iCs w:val="0"/>
                <w:color w:val="auto"/>
                <w:kern w:val="0"/>
                <w:sz w:val="20"/>
                <w:szCs w:val="20"/>
                <w:highlight w:val="none"/>
                <w:u w:val="none"/>
                <w:lang w:val="en-US" w:eastAsia="zh-CN" w:bidi="ar"/>
              </w:rPr>
              <w:t>6</w:t>
            </w:r>
            <w:r>
              <w:rPr>
                <w:rStyle w:val="111"/>
                <w:rFonts w:hint="default" w:hAnsi="宋体"/>
                <w:color w:val="auto"/>
                <w:highlight w:val="none"/>
                <w:lang w:val="en-US" w:eastAsia="zh-CN" w:bidi="ar"/>
              </w:rPr>
              <w:t>“劳动维权”的劳动者工资、社保等合法权益维权指引）</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2</w:t>
            </w:r>
            <w:r>
              <w:rPr>
                <w:rStyle w:val="111"/>
                <w:rFonts w:hint="default" w:hAnsi="宋体"/>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69487CE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对前来咨询的人员，每发现（服务对象来电来信来访投诉且经核查属实的；或者管理方监督发现并确认的，下同）</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次服务不到位的，扣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Style w:val="111"/>
                <w:rFonts w:hint="default" w:hAnsi="宋体"/>
                <w:color w:val="auto"/>
                <w:highlight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2</w:t>
            </w:r>
            <w:r>
              <w:rPr>
                <w:rStyle w:val="111"/>
                <w:rFonts w:hint="default" w:hAnsi="宋体"/>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29C2C866">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0A969E7">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402B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7126A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ign w:val="center"/>
          </w:tcPr>
          <w:p w14:paraId="402250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4EFF9C5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求职服务</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10</w:t>
            </w:r>
            <w:r>
              <w:rPr>
                <w:rStyle w:val="111"/>
                <w:rFonts w:hint="default" w:hAnsi="宋体"/>
                <w:color w:val="auto"/>
                <w:highlight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4C946B0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求职登记</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（含“找零工”登记）</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4</w:t>
            </w:r>
            <w:r>
              <w:rPr>
                <w:rStyle w:val="111"/>
                <w:rFonts w:hint="default" w:hAnsi="宋体"/>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058A9B6A">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对前来求职并有登记需求的人员，引导做好求职登记，每发现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人未引导登记的，扣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Style w:val="111"/>
                <w:rFonts w:hint="default" w:hAnsi="Times New Roman"/>
                <w:color w:val="auto"/>
                <w:highlight w:val="none"/>
                <w:lang w:val="en-US" w:eastAsia="zh-CN" w:bidi="ar"/>
              </w:rPr>
              <w:t>对已做求职登记的人员，每发现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人关键信息（姓名、身份证号、联系电话、就业需求、登记时间）登记不全或信息质量问题的，扣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4</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30F01596">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根据提供的求职登记服务记录台账进行核实，并辅助电话抽查。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6712EA6">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8F61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CD4CB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32BE7D9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162BD6">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3CE855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职业指导</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230115E">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对前来求职且有求职指导需求的人员，根据其实际情况，提供有针对性的就业方向及就业预期指导，每发现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名未按要求开展职业指导的，扣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7C30286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D51F0AD">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4C8E6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05706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2FB20C0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1E0AEC">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460CF4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岗位推荐</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4 </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3AB74CFD">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对已做求职登记的人员，按照就业意愿每月推荐不少于</w:t>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个就业岗位（不同用人单位），直至实现就业（或本人表示不再接受岗位推荐），并做好服务记录台账</w:t>
            </w:r>
            <w:r>
              <w:rPr>
                <w:rStyle w:val="112"/>
                <w:color w:val="auto"/>
                <w:highlight w:val="none"/>
                <w:lang w:val="en-US" w:eastAsia="zh-CN" w:bidi="ar"/>
              </w:rPr>
              <w:t>；</w:t>
            </w:r>
            <w:r>
              <w:rPr>
                <w:rFonts w:hint="eastAsia" w:ascii="仿宋_GB2312" w:hAnsi="Times New Roman" w:eastAsia="仿宋_GB2312" w:cs="仿宋_GB2312"/>
                <w:i w:val="0"/>
                <w:iCs w:val="0"/>
                <w:color w:val="auto"/>
                <w:kern w:val="0"/>
                <w:sz w:val="20"/>
                <w:szCs w:val="20"/>
                <w:highlight w:val="none"/>
                <w:u w:val="none"/>
                <w:lang w:val="en-US" w:eastAsia="zh-CN" w:bidi="ar"/>
              </w:rPr>
              <w:t>在同一年度内向同一个求职人员推荐同一用人单位同一岗位不超过</w:t>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次，每发现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次不符合要求的，扣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全年推荐武鸣区常住劳动力并成功实现就业，乡镇不少于100人次，园区不少于300人次，每少</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Style w:val="112"/>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7D20CB29">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1.根据提供的就业帮扶记录台账，电话核查是否按帮扶对象的就业意向等要求推荐相关就业岗位；</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2.对提供成功实现就业人员花名册以及工资流水（至少1个月）等佐证材料进行核实。</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85558FC">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224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CABD3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5F7A84C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6DCFE0">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573198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招聘会信息推送</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DEC2172">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对已做求职登记的人员，按照就业意愿每月推荐不少于</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场招聘会信息或直播带岗活动信息，每发现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次未做推荐的，扣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9A2971C">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根据提供的求职登记服务记录台账进行核实，并辅助电话抽查。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2F6AF1A">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79152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80ADD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ign w:val="center"/>
          </w:tcPr>
          <w:p w14:paraId="27D291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2A22C1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技能培训</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1.5</w:t>
            </w:r>
            <w:r>
              <w:rPr>
                <w:rStyle w:val="111"/>
                <w:rFonts w:hint="default" w:hAnsi="Times New Roman"/>
                <w:color w:val="auto"/>
                <w:highlight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441CE6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培训需求登记</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0.6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0C25AC3">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对前来咨询且有培训需求并愿意登记的人员，每发现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人未引导登记的，扣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Style w:val="111"/>
                <w:rFonts w:hint="default" w:hAnsi="Times New Roman"/>
                <w:color w:val="auto"/>
                <w:highlight w:val="none"/>
                <w:lang w:val="en-US" w:eastAsia="zh-CN" w:bidi="ar"/>
              </w:rPr>
              <w:t>对已做培训需求登记的人员，每发现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人关键信息（姓名、身份证号、联系电话、培训意向、登记时间）登记不全或信息质量问题的，扣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3.</w:t>
            </w:r>
            <w:r>
              <w:rPr>
                <w:rStyle w:val="111"/>
                <w:rFonts w:hint="default" w:hAnsi="Times New Roman"/>
                <w:color w:val="auto"/>
                <w:highlight w:val="none"/>
                <w:lang w:val="en-US" w:eastAsia="zh-CN" w:bidi="ar"/>
              </w:rPr>
              <w:t>全年服务量不少于</w:t>
            </w:r>
            <w:r>
              <w:rPr>
                <w:rFonts w:hint="default" w:ascii="Times New Roman" w:hAnsi="Times New Roman" w:eastAsia="宋体" w:cs="Times New Roman"/>
                <w:i w:val="0"/>
                <w:iCs w:val="0"/>
                <w:color w:val="auto"/>
                <w:kern w:val="0"/>
                <w:sz w:val="20"/>
                <w:szCs w:val="20"/>
                <w:highlight w:val="none"/>
                <w:u w:val="none"/>
                <w:lang w:val="en-US" w:eastAsia="zh-CN" w:bidi="ar"/>
              </w:rPr>
              <w:t>100</w:t>
            </w:r>
            <w:r>
              <w:rPr>
                <w:rStyle w:val="111"/>
                <w:rFonts w:hint="default" w:hAnsi="Times New Roman"/>
                <w:color w:val="auto"/>
                <w:highlight w:val="none"/>
                <w:lang w:val="en-US" w:eastAsia="zh-CN" w:bidi="ar"/>
              </w:rPr>
              <w:t>人次，每少</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本项合计最</w:t>
            </w:r>
            <w:r>
              <w:rPr>
                <w:rFonts w:hint="eastAsia" w:ascii="仿宋_GB2312" w:hAnsi="Times New Roman" w:eastAsia="仿宋_GB2312" w:cs="仿宋_GB2312"/>
                <w:i w:val="0"/>
                <w:iCs w:val="0"/>
                <w:color w:val="auto"/>
                <w:kern w:val="0"/>
                <w:sz w:val="20"/>
                <w:szCs w:val="20"/>
                <w:highlight w:val="none"/>
                <w:u w:val="none"/>
                <w:lang w:val="en-US" w:eastAsia="zh-CN" w:bidi="ar"/>
              </w:rPr>
              <w:t>高扣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4A64028">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根据提供的培训需求登记服务记录台账进行电话抽查。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83F59DC">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214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2E051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246439F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AC858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44E64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培训机构信息查询</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0.1 </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BF82F79">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对前来查询的人员提供培训机构信息查询服务，每发现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Style w:val="111"/>
                <w:rFonts w:hint="default" w:hAnsi="宋体"/>
                <w:color w:val="auto"/>
                <w:highlight w:val="none"/>
                <w:lang w:val="en-US" w:eastAsia="zh-CN" w:bidi="ar"/>
              </w:rPr>
              <w:t>人次未提供服务的，扣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 </w:t>
            </w:r>
            <w:r>
              <w:rPr>
                <w:rStyle w:val="111"/>
                <w:rFonts w:hint="default" w:hAnsi="宋体"/>
                <w:color w:val="auto"/>
                <w:highlight w:val="none"/>
                <w:lang w:val="en-US" w:eastAsia="zh-CN" w:bidi="ar"/>
              </w:rPr>
              <w:t>分</w:t>
            </w:r>
            <w:r>
              <w:rPr>
                <w:rFonts w:hint="eastAsia" w:ascii="仿宋_GB2312" w:hAnsi="宋体" w:eastAsia="仿宋_GB2312" w:cs="仿宋_GB2312"/>
                <w:i w:val="0"/>
                <w:iCs w:val="0"/>
                <w:color w:val="auto"/>
                <w:kern w:val="0"/>
                <w:sz w:val="20"/>
                <w:szCs w:val="20"/>
                <w:highlight w:val="none"/>
                <w:u w:val="none"/>
                <w:lang w:val="en-US" w:eastAsia="zh-CN" w:bidi="ar"/>
              </w:rPr>
              <w:t>。</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6C6F2D3">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根据提供的培训需求登记服务记录台账进行电话抽查。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7A3B91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F0F4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51E6E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2A6391B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C00DE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5EA38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培训项目推荐</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2718BBF">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对已做培训需求登记的人员，按照培训需求半年内至少推荐</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个纳入开班计划的培训项目，并做好服务记录台账，每发现</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人次未推荐的，扣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Style w:val="111"/>
                <w:rFonts w:hint="default" w:hAnsi="宋体"/>
                <w:color w:val="auto"/>
                <w:highlight w:val="none"/>
                <w:lang w:val="en-US" w:eastAsia="zh-CN" w:bidi="ar"/>
              </w:rPr>
              <w:t>分，最高扣</w:t>
            </w:r>
            <w:r>
              <w:rPr>
                <w:rFonts w:hint="eastAsia" w:ascii="仿宋_GB2312" w:hAnsi="宋体" w:eastAsia="仿宋_GB2312" w:cs="仿宋_GB2312"/>
                <w:i w:val="0"/>
                <w:iCs w:val="0"/>
                <w:color w:val="auto"/>
                <w:kern w:val="0"/>
                <w:sz w:val="20"/>
                <w:szCs w:val="20"/>
                <w:highlight w:val="none"/>
                <w:u w:val="none"/>
                <w:lang w:val="en-US" w:eastAsia="zh-CN" w:bidi="ar"/>
              </w:rPr>
              <w:t>0.5分</w:t>
            </w:r>
            <w:r>
              <w:rPr>
                <w:rStyle w:val="111"/>
                <w:rFonts w:hint="default" w:hAnsi="宋体"/>
                <w:color w:val="auto"/>
                <w:highlight w:val="none"/>
                <w:lang w:val="en-US" w:eastAsia="zh-CN" w:bidi="ar"/>
              </w:rPr>
              <w:t>。</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4FAD61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根据提供的培训需求登记服务记录台账进行电话抽查。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DE3E4F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24828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ADEB9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40E9E4A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CFCFC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D2CA47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组织参加补贴性</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技能培训</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9955CA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统筹到考核事项（序号</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16</w:t>
            </w:r>
            <w:r>
              <w:rPr>
                <w:rFonts w:hint="eastAsia" w:ascii="仿宋_GB2312" w:hAnsi="宋体" w:eastAsia="仿宋_GB2312" w:cs="仿宋_GB2312"/>
                <w:i w:val="0"/>
                <w:iCs w:val="0"/>
                <w:color w:val="auto"/>
                <w:kern w:val="0"/>
                <w:sz w:val="20"/>
                <w:szCs w:val="20"/>
                <w:highlight w:val="none"/>
                <w:u w:val="none"/>
                <w:lang w:val="en-US" w:eastAsia="zh-CN" w:bidi="ar"/>
              </w:rPr>
              <w:t>）的“活动组织”进行考核。</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31097A2">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none"/>
              </w:rPr>
            </w:pP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1872DDF">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F1F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9C89F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529AB93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0B6DD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18CC0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培训补贴申领指引</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0.3 </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B996F58">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对前来咨询的人员提供培训补贴申领指引服务，每发现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人未提供服务的，扣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Style w:val="111"/>
                <w:rFonts w:hint="default" w:hAnsi="宋体"/>
                <w:color w:val="auto"/>
                <w:highlight w:val="none"/>
                <w:lang w:val="en-US" w:eastAsia="zh-CN" w:bidi="ar"/>
              </w:rPr>
              <w:t>分，最</w:t>
            </w:r>
            <w:r>
              <w:rPr>
                <w:rFonts w:hint="eastAsia" w:ascii="仿宋_GB2312" w:hAnsi="宋体" w:eastAsia="仿宋_GB2312" w:cs="仿宋_GB2312"/>
                <w:i w:val="0"/>
                <w:iCs w:val="0"/>
                <w:color w:val="auto"/>
                <w:kern w:val="0"/>
                <w:sz w:val="20"/>
                <w:szCs w:val="20"/>
                <w:highlight w:val="none"/>
                <w:u w:val="none"/>
                <w:lang w:val="en-US" w:eastAsia="zh-CN" w:bidi="ar"/>
              </w:rPr>
              <w:t>高扣</w:t>
            </w:r>
            <w:r>
              <w:rPr>
                <w:rFonts w:hint="default" w:ascii="Times New Roman" w:hAnsi="Times New Roman" w:eastAsia="仿宋_GB2312" w:cs="Times New Roman"/>
                <w:i w:val="0"/>
                <w:iCs w:val="0"/>
                <w:color w:val="auto"/>
                <w:kern w:val="0"/>
                <w:sz w:val="20"/>
                <w:szCs w:val="20"/>
                <w:highlight w:val="none"/>
                <w:u w:val="none"/>
                <w:lang w:val="en-US" w:eastAsia="zh-CN" w:bidi="ar"/>
              </w:rPr>
              <w:t>0.3</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01480D87">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FE35580">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7AD76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FAA42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ign w:val="center"/>
          </w:tcPr>
          <w:p w14:paraId="50A112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41CC9C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创业指导</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1.5</w:t>
            </w:r>
            <w:r>
              <w:rPr>
                <w:rStyle w:val="111"/>
                <w:rFonts w:hint="default" w:hAnsi="Times New Roman"/>
                <w:color w:val="auto"/>
                <w:highlight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4A8C777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创业担保贷款</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申请指导</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FEFA0EF">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对前来咨询且有创业意愿的人员指引办理创业担保贷款申请，每发现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人未提供指导服务的，扣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全年指引符合条件的办理创业担保贷款申请人数不少于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10 </w:t>
            </w:r>
            <w:r>
              <w:rPr>
                <w:rFonts w:hint="eastAsia" w:ascii="仿宋_GB2312" w:hAnsi="Times New Roman" w:eastAsia="仿宋_GB2312" w:cs="仿宋_GB2312"/>
                <w:i w:val="0"/>
                <w:iCs w:val="0"/>
                <w:color w:val="auto"/>
                <w:kern w:val="0"/>
                <w:sz w:val="20"/>
                <w:szCs w:val="20"/>
                <w:highlight w:val="none"/>
                <w:u w:val="none"/>
                <w:lang w:val="en-US" w:eastAsia="zh-CN" w:bidi="ar"/>
              </w:rPr>
              <w:t>人，每少</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人扣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166F04F6">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1.根据提供的咨询服务登记册进行核对；</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2.根据提供的指引办理申请花名册进行核准。</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B3A17A7">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7F9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24E21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315EE36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78594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22BF96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创业项目推介</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4E3051A">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对前来咨询且有创业意愿的人员提供创业项目推介服务，每发现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人未提供服务的，扣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5D6D54DE">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6192A8F">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FF26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CEB2B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5F5458B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FB89D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5AEC3A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创业孵化基地</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入驻指导</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0.2</w:t>
            </w:r>
            <w:r>
              <w:rPr>
                <w:rStyle w:val="111"/>
                <w:rFonts w:hint="default" w:hAnsi="宋体"/>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286C6DF">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对前来咨询且有创业意愿的人员提供创业孵化基地入驻指导服务，每发现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人未提供服务的，扣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0.2</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45AE343">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25DF0388">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single"/>
              </w:rPr>
            </w:pPr>
          </w:p>
        </w:tc>
      </w:tr>
      <w:tr w14:paraId="0341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467A0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2A815C4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EE5AA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2B9802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创业扶持补贴申领指引</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0.2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6E576D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对前来咨询且有创业意愿的人员提供创业扶持补贴申领指引服务，每发现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人未提供服务的，扣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0.2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81637C2">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46F3BA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DB6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0C994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tcBorders>
              <w:top w:val="single" w:color="000000" w:sz="4" w:space="0"/>
              <w:left w:val="single" w:color="000000" w:sz="4" w:space="0"/>
              <w:bottom w:val="single" w:color="000000" w:sz="4" w:space="0"/>
              <w:right w:val="single" w:color="000000" w:sz="4" w:space="0"/>
            </w:tcBorders>
            <w:noWrap/>
            <w:vAlign w:val="center"/>
          </w:tcPr>
          <w:p w14:paraId="5F7493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w:t>
            </w:r>
          </w:p>
        </w:tc>
        <w:tc>
          <w:tcPr>
            <w:tcW w:w="514" w:type="pct"/>
            <w:tcBorders>
              <w:top w:val="single" w:color="000000" w:sz="4" w:space="0"/>
              <w:left w:val="single" w:color="000000" w:sz="4" w:space="0"/>
              <w:bottom w:val="single" w:color="000000" w:sz="4" w:space="0"/>
              <w:right w:val="single" w:color="000000" w:sz="4" w:space="0"/>
            </w:tcBorders>
            <w:noWrap/>
            <w:vAlign w:val="center"/>
          </w:tcPr>
          <w:p w14:paraId="15ECC6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就业援助</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EE7E2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对城镇零就业家庭劳动者、防止返贫监测对象家庭劳动者等特殊困难人群开展就业跟踪帮扶</w:t>
            </w:r>
          </w:p>
        </w:tc>
        <w:tc>
          <w:tcPr>
            <w:tcW w:w="1363" w:type="pct"/>
            <w:tcBorders>
              <w:top w:val="single" w:color="000000" w:sz="4" w:space="0"/>
              <w:left w:val="single" w:color="000000" w:sz="4" w:space="0"/>
              <w:bottom w:val="single" w:color="000000" w:sz="4" w:space="0"/>
              <w:right w:val="single" w:color="000000" w:sz="4" w:space="0"/>
            </w:tcBorders>
            <w:noWrap/>
            <w:vAlign w:val="center"/>
          </w:tcPr>
          <w:p w14:paraId="15FF923F">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统筹到考核事项（序号</w:t>
            </w:r>
            <w:r>
              <w:rPr>
                <w:rFonts w:hint="default" w:ascii="Times New Roman" w:hAnsi="Times New Roman" w:eastAsia="仿宋_GB2312" w:cs="Times New Roman"/>
                <w:i w:val="0"/>
                <w:iCs w:val="0"/>
                <w:color w:val="auto"/>
                <w:kern w:val="0"/>
                <w:sz w:val="20"/>
                <w:szCs w:val="20"/>
                <w:highlight w:val="none"/>
                <w:u w:val="none"/>
                <w:lang w:val="en-US" w:eastAsia="zh-CN" w:bidi="ar"/>
              </w:rPr>
              <w:t>12</w:t>
            </w:r>
            <w:r>
              <w:rPr>
                <w:rStyle w:val="111"/>
                <w:rFonts w:hint="default" w:hAnsi="宋体"/>
                <w:color w:val="auto"/>
                <w:highlight w:val="none"/>
                <w:lang w:val="en-US" w:eastAsia="zh-CN" w:bidi="ar"/>
              </w:rPr>
              <w:t>）的“就业服务”进行考核。</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5C1E711E">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none"/>
              </w:rPr>
            </w:pP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0188DA1">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7F2FC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4ED7F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327" w:type="pct"/>
            <w:tcBorders>
              <w:top w:val="single" w:color="000000" w:sz="4" w:space="0"/>
              <w:left w:val="single" w:color="000000" w:sz="4" w:space="0"/>
              <w:bottom w:val="single" w:color="000000" w:sz="4" w:space="0"/>
              <w:right w:val="single" w:color="000000" w:sz="4" w:space="0"/>
            </w:tcBorders>
            <w:noWrap/>
            <w:vAlign w:val="center"/>
          </w:tcPr>
          <w:p w14:paraId="6DB3E8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w:t>
            </w:r>
          </w:p>
        </w:tc>
        <w:tc>
          <w:tcPr>
            <w:tcW w:w="514" w:type="pct"/>
            <w:tcBorders>
              <w:top w:val="single" w:color="000000" w:sz="4" w:space="0"/>
              <w:left w:val="single" w:color="000000" w:sz="4" w:space="0"/>
              <w:bottom w:val="single" w:color="000000" w:sz="4" w:space="0"/>
              <w:right w:val="single" w:color="000000" w:sz="4" w:space="0"/>
            </w:tcBorders>
            <w:noWrap/>
            <w:vAlign w:val="center"/>
          </w:tcPr>
          <w:p w14:paraId="59C5C2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劳动维权</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A6A7F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劳动者工资、社保等合法权益维权指引</w:t>
            </w:r>
          </w:p>
        </w:tc>
        <w:tc>
          <w:tcPr>
            <w:tcW w:w="1363" w:type="pct"/>
            <w:tcBorders>
              <w:top w:val="single" w:color="000000" w:sz="4" w:space="0"/>
              <w:left w:val="single" w:color="000000" w:sz="4" w:space="0"/>
              <w:bottom w:val="single" w:color="000000" w:sz="4" w:space="0"/>
              <w:right w:val="single" w:color="000000" w:sz="4" w:space="0"/>
            </w:tcBorders>
            <w:noWrap/>
            <w:vAlign w:val="center"/>
          </w:tcPr>
          <w:p w14:paraId="15AC4125">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统筹到考核事项（序号</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）的“咨询服务”进行考核。</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0448EA06">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none"/>
              </w:rPr>
            </w:pP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327A07C">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49C7F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82" w:type="pct"/>
            <w:vMerge w:val="restart"/>
            <w:tcBorders>
              <w:top w:val="single" w:color="000000" w:sz="4" w:space="0"/>
              <w:left w:val="single" w:color="000000" w:sz="4" w:space="0"/>
              <w:bottom w:val="single" w:color="000000" w:sz="4" w:space="0"/>
              <w:right w:val="single" w:color="000000" w:sz="4" w:space="0"/>
            </w:tcBorders>
            <w:noWrap w:val="0"/>
            <w:vAlign w:val="center"/>
          </w:tcPr>
          <w:p w14:paraId="6CD22C3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用人单位</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（15 分）</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14:paraId="0CDC72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600226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咨询服务</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569436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政策宣传、服务咨询</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信息查询；吸纳重点人群就业有关稳岗、培训、社保等补贴申领指引（</w:t>
            </w:r>
            <w:r>
              <w:rPr>
                <w:rFonts w:hint="default" w:ascii="Times New Roman" w:hAnsi="Times New Roman" w:eastAsia="仿宋_GB2312" w:cs="Times New Roman"/>
                <w:i w:val="0"/>
                <w:iCs w:val="0"/>
                <w:color w:val="auto"/>
                <w:kern w:val="0"/>
                <w:sz w:val="20"/>
                <w:szCs w:val="20"/>
                <w:highlight w:val="none"/>
                <w:u w:val="none"/>
                <w:lang w:val="en-US" w:eastAsia="zh-CN" w:bidi="ar"/>
              </w:rPr>
              <w:t>2</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F5320C4">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对前来咨询的用人单位，每发现</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 </w:t>
            </w:r>
            <w:r>
              <w:rPr>
                <w:rFonts w:hint="eastAsia" w:ascii="仿宋_GB2312" w:hAnsi="Times New Roman" w:eastAsia="仿宋_GB2312" w:cs="仿宋_GB2312"/>
                <w:i w:val="0"/>
                <w:iCs w:val="0"/>
                <w:color w:val="auto"/>
                <w:kern w:val="0"/>
                <w:sz w:val="20"/>
                <w:szCs w:val="20"/>
                <w:highlight w:val="none"/>
                <w:u w:val="none"/>
                <w:lang w:val="en-US" w:eastAsia="zh-CN" w:bidi="ar"/>
              </w:rPr>
              <w:t>次服务不到位的，扣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0.1 </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BB0F3C1">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通过查阅提供的咨询服务登记册、走访宣传照片等佐证材料，并辅助电话抽查进行核准。</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F7CE003">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2D04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CCD4B5">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ign w:val="center"/>
          </w:tcPr>
          <w:p w14:paraId="09369F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8</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5DB174E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招工服务</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10</w:t>
            </w:r>
            <w:r>
              <w:rPr>
                <w:rStyle w:val="111"/>
                <w:rFonts w:hint="default" w:hAnsi="宋体"/>
                <w:color w:val="auto"/>
                <w:highlight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7711E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用工信息登记</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（含招零工登记）</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3</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827F036">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对前来招工并愿意登记的用人单位，每发现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家未引导登记的，扣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Style w:val="111"/>
                <w:rFonts w:hint="default" w:hAnsi="Times New Roman"/>
                <w:color w:val="auto"/>
                <w:highlight w:val="none"/>
                <w:lang w:val="en-US" w:eastAsia="zh-CN" w:bidi="ar"/>
              </w:rPr>
              <w:t>对已做用工信息登记的用人单位，每发现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家关键信息（单位名称、统一社会信用代码、联系人、联系方式、招工意向、登记时间）登记不全或信息质量问题的，扣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3</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6C550DC3">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通过就业服务站平台数据进行核对，并辅助电话抽查进行核准。</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F10CB64">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D47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5A7950">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20D8A3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47B0D6">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E67920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用工信息发布</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397E6589">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对已做用工信息登记且有发布需求的用人单位，每发现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次未开展用工信息发布服务的，扣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3C9948AA">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通过查阅提供的咨询服务登记册、宣传栏、宣传册、平台数据等佐证材料，通过电话抽查、现场检查核准。</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5993F50">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2C88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C52362">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65CAA08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857F1A">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8ED56A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求职人员推荐</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3</w:t>
            </w:r>
            <w:r>
              <w:rPr>
                <w:rStyle w:val="111"/>
                <w:rFonts w:hint="default" w:hAnsi="宋体"/>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86DC61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对已做用工信息登记的用人单位，按照招工需求开展求职人员推荐，乡镇全年推荐不少于200人，园区全年推荐不少于400人，并做好服务记录台账，每少</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Fonts w:hint="eastAsia" w:ascii="仿宋_GB2312" w:hAnsi="宋体" w:eastAsia="仿宋_GB2312" w:cs="仿宋_GB2312"/>
                <w:i w:val="0"/>
                <w:iCs w:val="0"/>
                <w:color w:val="auto"/>
                <w:kern w:val="0"/>
                <w:sz w:val="20"/>
                <w:szCs w:val="20"/>
                <w:highlight w:val="none"/>
                <w:u w:val="none"/>
                <w:lang w:val="en-US" w:eastAsia="zh-CN" w:bidi="ar"/>
              </w:rPr>
              <w:t>分，最高扣3分。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CDE1386">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根据提供的工作台账、推荐人员花名册（要素包含但不限于姓名、电话、入职单位及岗位、入职时间）等佐证材料，并通过电话抽查进行考核。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A47EDE5">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D9CF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3579FD">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76C67CD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7CC510">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53DBB0A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求职简历代收</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707FB33">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对已做用工信息登记且有简历代收需求的用人单位，每发现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次未开展代收服务的，扣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A643769">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根据提供的推荐用工信息登记册等佐证材料进行考核。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0BFE158">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57646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95B2A8">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45B6BCE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933DD0">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3B38F01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面试洽谈辅助</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Style w:val="111"/>
                <w:rFonts w:hint="default" w:hAnsi="宋体"/>
                <w:color w:val="auto"/>
                <w:highlight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EBD727A">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对已做用工信息登记且有面试洽谈辅助需求的用人单位，每发现</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次未开展面试洽谈辅助服务的，扣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Style w:val="111"/>
                <w:rFonts w:hint="default" w:hAnsi="宋体"/>
                <w:color w:val="auto"/>
                <w:highlight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Style w:val="111"/>
                <w:rFonts w:hint="default" w:hAnsi="宋体"/>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24B3C71A">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根据提供的现场面试洽谈场地、现场面试照片等佐证材料进行考核。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89D7E93">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C497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4F7675">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ign w:val="center"/>
          </w:tcPr>
          <w:p w14:paraId="0FF7EAA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A2BB05">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5614AD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招聘会等公共就业</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服务活动推荐</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1"/>
                <w:rFonts w:hint="default" w:hAnsi="Times New Roman"/>
                <w:color w:val="auto"/>
                <w:highlight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C984D96">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对已做用工信息登记的用人单位，按照招工需求每月推荐不少于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Style w:val="111"/>
                <w:rFonts w:hint="default" w:hAnsi="Times New Roman"/>
                <w:color w:val="auto"/>
                <w:highlight w:val="none"/>
                <w:lang w:val="en-US" w:eastAsia="zh-CN" w:bidi="ar"/>
              </w:rPr>
              <w:t>场招聘会信息或直播带岗活动信息，每发现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次未做推荐的，扣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Style w:val="111"/>
                <w:rFonts w:hint="default" w:hAnsi="Times New Roman"/>
                <w:color w:val="auto"/>
                <w:highlight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04E8E5DE">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根据提供的宣传材料、宣传照片、推荐招聘活动汇总表等佐证材料进行电话抽查核准。</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A5C75E9">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893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391367">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5C91B4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3546EF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创业服务</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1.5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730D4E8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创业担保贷款</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办理指引</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C2C9DC0">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对前来咨询且有贷款意愿的小微企业，指引办理创业担保贷款申请，每发现</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家未提供指导服务的，扣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全年指引符合条件的办理创业担保贷款申请的小微企业不少于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 </w:t>
            </w:r>
            <w:r>
              <w:rPr>
                <w:rFonts w:hint="eastAsia" w:ascii="仿宋_GB2312" w:hAnsi="Times New Roman" w:eastAsia="仿宋_GB2312" w:cs="仿宋_GB2312"/>
                <w:i w:val="0"/>
                <w:iCs w:val="0"/>
                <w:color w:val="auto"/>
                <w:kern w:val="0"/>
                <w:sz w:val="20"/>
                <w:szCs w:val="20"/>
                <w:highlight w:val="none"/>
                <w:u w:val="none"/>
                <w:lang w:val="en-US" w:eastAsia="zh-CN" w:bidi="ar"/>
              </w:rPr>
              <w:t>家。</w:t>
            </w:r>
            <w:r>
              <w:rPr>
                <w:rStyle w:val="113"/>
                <w:rFonts w:eastAsia="宋体"/>
                <w:color w:val="auto"/>
                <w:highlight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6A57B8F3">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根据就业服务站提供的服务登记本或已指引办理创业担保贷款的花名册进行核对考核。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9806967">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single"/>
              </w:rPr>
            </w:pPr>
          </w:p>
        </w:tc>
      </w:tr>
      <w:tr w14:paraId="75EA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673D11">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23690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23EA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48C3DC9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创业孵化基地入驻指导（</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0.2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0DF295FA">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对前来咨询且有入驻需求的用人单位，提供入驻指导服务，每发现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家未提供服务的，扣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0.2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3F92194">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68F33F2">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single"/>
              </w:rPr>
            </w:pPr>
          </w:p>
        </w:tc>
      </w:tr>
      <w:tr w14:paraId="326AA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1E6131">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6DC7C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614DA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2B61A09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创业扶持补贴申领指引（</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0.3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7DDB2FE">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对前来咨询且有补贴申领需求的用人单位，提供补贴申领指引服务，每发现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家未提供服务的，扣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0.3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088D9FC9">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6093319">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B920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1A3834">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68B711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7B498C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技能培训</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1.5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69AA38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培训需求登记</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0.6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712630BC">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 </w:t>
            </w:r>
            <w:r>
              <w:rPr>
                <w:rFonts w:hint="eastAsia" w:ascii="仿宋_GB2312" w:hAnsi="Times New Roman" w:eastAsia="仿宋_GB2312" w:cs="仿宋_GB2312"/>
                <w:i w:val="0"/>
                <w:iCs w:val="0"/>
                <w:color w:val="auto"/>
                <w:kern w:val="0"/>
                <w:sz w:val="20"/>
                <w:szCs w:val="20"/>
                <w:highlight w:val="none"/>
                <w:u w:val="none"/>
                <w:lang w:val="en-US" w:eastAsia="zh-CN" w:bidi="ar"/>
              </w:rPr>
              <w:t>对前来咨询且有培训需求并愿意登记的用人单位，每发现</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家未引导登记的，扣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全年服务量不少于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2 </w:t>
            </w:r>
            <w:r>
              <w:rPr>
                <w:rFonts w:hint="eastAsia" w:ascii="仿宋_GB2312" w:hAnsi="Times New Roman" w:eastAsia="仿宋_GB2312" w:cs="仿宋_GB2312"/>
                <w:i w:val="0"/>
                <w:iCs w:val="0"/>
                <w:color w:val="auto"/>
                <w:kern w:val="0"/>
                <w:sz w:val="20"/>
                <w:szCs w:val="20"/>
                <w:highlight w:val="none"/>
                <w:u w:val="none"/>
                <w:lang w:val="en-US" w:eastAsia="zh-CN" w:bidi="ar"/>
              </w:rPr>
              <w:t>家，每少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家扣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0.2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对已做培训需求登记的用人单位，每发现</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家关键信息（单位名称、联系人、联系方式、培训意向、登记时间）登记不全或信息质量问题的，扣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0.6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5E43628C">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根据提供的培训需求登记服务记录台账进行电话抽查。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240226A">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8AD4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801BD0">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31AC2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4F046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210A65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培训机构信息查询</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9464C9D">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对前来查询的用人单位提供培训机构信息查询服务，每发现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次未提供服务的，扣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47FE1DBF">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根据提供的培训需求登记服务记录台账及用人单位信息进行电话抽查。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B7E4C5F">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1B74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C9C693">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75426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78CAD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70703A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培训项目推荐</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0.5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36847E2">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对已做培训需求登记的用人单位，按照培训需求半年内至少推荐</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个纳入开班计划的培训项目，并做好服务记录台账，每发现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家未推荐的，扣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0.5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52C9ADA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根据提供的培训需求登记服务记录台账（含推荐情况表、照片等佐证材料）进行电话抽查、核实。</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CF90F57">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7BE90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3B7D42">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5C832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135C3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4BC6EC1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组织参加补贴性</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技能培训</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3F65BED5">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统筹到考核事项（序号</w:t>
            </w:r>
            <w:r>
              <w:rPr>
                <w:rFonts w:hint="default" w:ascii="Times New Roman" w:hAnsi="Times New Roman" w:eastAsia="仿宋_GB2312" w:cs="Times New Roman"/>
                <w:i w:val="0"/>
                <w:iCs w:val="0"/>
                <w:color w:val="auto"/>
                <w:kern w:val="0"/>
                <w:sz w:val="20"/>
                <w:szCs w:val="20"/>
                <w:highlight w:val="none"/>
                <w:u w:val="none"/>
                <w:lang w:val="en-US" w:eastAsia="zh-CN" w:bidi="ar"/>
              </w:rPr>
              <w:t>16</w:t>
            </w:r>
            <w:r>
              <w:rPr>
                <w:rFonts w:hint="eastAsia" w:ascii="仿宋_GB2312" w:hAnsi="宋体" w:eastAsia="仿宋_GB2312" w:cs="仿宋_GB2312"/>
                <w:i w:val="0"/>
                <w:iCs w:val="0"/>
                <w:color w:val="auto"/>
                <w:kern w:val="0"/>
                <w:sz w:val="20"/>
                <w:szCs w:val="20"/>
                <w:highlight w:val="none"/>
                <w:u w:val="none"/>
                <w:lang w:val="en-US" w:eastAsia="zh-CN" w:bidi="ar"/>
              </w:rPr>
              <w:t>）的</w:t>
            </w:r>
            <w:r>
              <w:rPr>
                <w:rFonts w:hint="default" w:ascii="Times New Roman" w:hAnsi="Times New Roman" w:eastAsia="仿宋_GB2312" w:cs="Times New Roman"/>
                <w:i w:val="0"/>
                <w:iCs w:val="0"/>
                <w:color w:val="auto"/>
                <w:kern w:val="0"/>
                <w:sz w:val="20"/>
                <w:szCs w:val="20"/>
                <w:highlight w:val="none"/>
                <w:u w:val="none"/>
                <w:lang w:val="en-US" w:eastAsia="zh-CN" w:bidi="ar"/>
              </w:rPr>
              <w:t>“</w:t>
            </w:r>
            <w:r>
              <w:rPr>
                <w:rFonts w:hint="eastAsia" w:ascii="仿宋_GB2312" w:hAnsi="宋体" w:eastAsia="仿宋_GB2312" w:cs="仿宋_GB2312"/>
                <w:i w:val="0"/>
                <w:iCs w:val="0"/>
                <w:color w:val="auto"/>
                <w:kern w:val="0"/>
                <w:sz w:val="20"/>
                <w:szCs w:val="20"/>
                <w:highlight w:val="none"/>
                <w:u w:val="none"/>
                <w:lang w:val="en-US" w:eastAsia="zh-CN" w:bidi="ar"/>
              </w:rPr>
              <w:t>活动组织</w:t>
            </w:r>
            <w:r>
              <w:rPr>
                <w:rFonts w:hint="default" w:ascii="Times New Roman" w:hAnsi="Times New Roman" w:eastAsia="仿宋_GB2312" w:cs="Times New Roman"/>
                <w:i w:val="0"/>
                <w:iCs w:val="0"/>
                <w:color w:val="auto"/>
                <w:kern w:val="0"/>
                <w:sz w:val="20"/>
                <w:szCs w:val="20"/>
                <w:highlight w:val="none"/>
                <w:u w:val="none"/>
                <w:lang w:val="en-US" w:eastAsia="zh-CN" w:bidi="ar"/>
              </w:rPr>
              <w:t>”</w:t>
            </w:r>
            <w:r>
              <w:rPr>
                <w:rFonts w:hint="eastAsia" w:ascii="仿宋_GB2312" w:hAnsi="宋体" w:eastAsia="仿宋_GB2312" w:cs="仿宋_GB2312"/>
                <w:i w:val="0"/>
                <w:iCs w:val="0"/>
                <w:color w:val="auto"/>
                <w:kern w:val="0"/>
                <w:sz w:val="20"/>
                <w:szCs w:val="20"/>
                <w:highlight w:val="none"/>
                <w:u w:val="none"/>
                <w:lang w:val="en-US" w:eastAsia="zh-CN" w:bidi="ar"/>
              </w:rPr>
              <w:t>进行考核。</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088DAB3B">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none"/>
              </w:rPr>
            </w:pP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5A7B075">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328F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C595D7">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0"/>
                <w:szCs w:val="20"/>
                <w:highlight w:val="none"/>
                <w:u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52633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35DD2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3B309DE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培训补贴申领指引</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0.3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1223F1E">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对前来咨询且有需求的用人单位，提供指引服务，每发现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家未提供服务的，扣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0.3</w:t>
            </w:r>
            <w:r>
              <w:rPr>
                <w:rStyle w:val="112"/>
                <w:color w:val="auto"/>
                <w:highlight w:val="none"/>
                <w:lang w:val="en-US" w:eastAsia="zh-CN" w:bidi="ar"/>
              </w:rPr>
              <w:t>分</w:t>
            </w:r>
            <w:r>
              <w:rPr>
                <w:rFonts w:hint="eastAsia" w:ascii="仿宋_GB2312" w:hAnsi="宋体" w:eastAsia="仿宋_GB2312" w:cs="仿宋_GB2312"/>
                <w:i w:val="0"/>
                <w:iCs w:val="0"/>
                <w:color w:val="auto"/>
                <w:kern w:val="0"/>
                <w:sz w:val="20"/>
                <w:szCs w:val="20"/>
                <w:highlight w:val="none"/>
                <w:u w:val="none"/>
                <w:lang w:val="en-US" w:eastAsia="zh-CN" w:bidi="ar"/>
              </w:rPr>
              <w:t>。</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4D3A658">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通过查阅提供的咨询服务登记册（要素包含但不限于姓名、电话、咨询指引等内容），并辅助电话抽查进行考核。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0241B8B">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7B8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82" w:type="pct"/>
            <w:vMerge w:val="restart"/>
            <w:tcBorders>
              <w:top w:val="single" w:color="000000" w:sz="4" w:space="0"/>
              <w:left w:val="single" w:color="000000" w:sz="4" w:space="0"/>
              <w:bottom w:val="single" w:color="000000" w:sz="4" w:space="0"/>
              <w:right w:val="single" w:color="000000" w:sz="4" w:space="0"/>
            </w:tcBorders>
            <w:noWrap w:val="0"/>
            <w:vAlign w:val="center"/>
          </w:tcPr>
          <w:p w14:paraId="3C956102">
            <w:pPr>
              <w:keepNext w:val="0"/>
              <w:keepLines w:val="0"/>
              <w:widowControl/>
              <w:suppressLineNumbers w:val="0"/>
              <w:spacing w:before="0" w:beforeAutospacing="0" w:after="0" w:afterAutospacing="0"/>
              <w:ind w:left="0" w:right="0"/>
              <w:jc w:val="center"/>
              <w:textAlignment w:val="center"/>
              <w:rPr>
                <w:rStyle w:val="112"/>
                <w:rFonts w:hint="eastAsia"/>
                <w:color w:val="auto"/>
                <w:highlight w:val="none"/>
                <w:lang w:val="en-US" w:eastAsia="zh-CN"/>
              </w:rPr>
            </w:pPr>
            <w:r>
              <w:rPr>
                <w:rStyle w:val="114"/>
                <w:rFonts w:eastAsia="宋体"/>
                <w:strike/>
                <w:dstrike w:val="0"/>
                <w:color w:val="auto"/>
                <w:highlight w:val="none"/>
                <w:lang w:val="en-US" w:eastAsia="zh-CN" w:bidi="ar"/>
              </w:rPr>
              <w:br w:type="textWrapping"/>
            </w:r>
            <w:r>
              <w:rPr>
                <w:rStyle w:val="112"/>
                <w:rFonts w:hint="eastAsia"/>
                <w:color w:val="auto"/>
                <w:highlight w:val="none"/>
                <w:lang w:val="en-US" w:eastAsia="zh-CN"/>
              </w:rPr>
              <w:t>基础运行</w:t>
            </w:r>
          </w:p>
          <w:p w14:paraId="3EDB5FD9">
            <w:pPr>
              <w:keepNext w:val="0"/>
              <w:keepLines w:val="0"/>
              <w:widowControl/>
              <w:suppressLineNumbers w:val="0"/>
              <w:spacing w:before="0" w:beforeAutospacing="0" w:after="0" w:afterAutospacing="0"/>
              <w:ind w:left="0" w:right="0"/>
              <w:jc w:val="center"/>
              <w:textAlignment w:val="center"/>
              <w:rPr>
                <w:rStyle w:val="112"/>
                <w:rFonts w:hint="eastAsia"/>
                <w:color w:val="auto"/>
                <w:highlight w:val="none"/>
                <w:lang w:val="en-US" w:eastAsia="zh-CN"/>
              </w:rPr>
            </w:pPr>
            <w:r>
              <w:rPr>
                <w:rStyle w:val="112"/>
                <w:rFonts w:hint="eastAsia"/>
                <w:color w:val="auto"/>
                <w:highlight w:val="none"/>
                <w:lang w:val="en-US" w:eastAsia="zh-CN"/>
              </w:rPr>
              <w:t>（70分）</w:t>
            </w:r>
          </w:p>
          <w:p w14:paraId="477B529B">
            <w:pPr>
              <w:keepNext w:val="0"/>
              <w:keepLines w:val="0"/>
              <w:widowControl/>
              <w:suppressLineNumbers w:val="0"/>
              <w:spacing w:before="0" w:beforeAutospacing="0" w:after="0" w:afterAutospacing="0"/>
              <w:ind w:left="0" w:right="0"/>
              <w:jc w:val="center"/>
              <w:textAlignment w:val="center"/>
              <w:rPr>
                <w:rStyle w:val="112"/>
                <w:rFonts w:hint="default"/>
                <w:color w:val="auto"/>
                <w:highlight w:val="none"/>
              </w:rPr>
            </w:pPr>
            <w:r>
              <w:rPr>
                <w:rStyle w:val="112"/>
                <w:rFonts w:hint="eastAsia"/>
                <w:color w:val="auto"/>
                <w:highlight w:val="none"/>
                <w:lang w:val="en-US" w:eastAsia="zh-CN"/>
              </w:rPr>
              <w:t>加分项（10分）</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14:paraId="16A75F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11</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4C11D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就业摸排</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10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0D2220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对辖区城乡劳动力资源摸排登记（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10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7140472">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 </w:t>
            </w:r>
            <w:r>
              <w:rPr>
                <w:rFonts w:hint="eastAsia" w:ascii="仿宋_GB2312" w:hAnsi="Times New Roman" w:eastAsia="仿宋_GB2312" w:cs="仿宋_GB2312"/>
                <w:i w:val="0"/>
                <w:iCs w:val="0"/>
                <w:color w:val="auto"/>
                <w:kern w:val="0"/>
                <w:sz w:val="20"/>
                <w:szCs w:val="20"/>
                <w:highlight w:val="none"/>
                <w:u w:val="none"/>
                <w:lang w:val="en-US" w:eastAsia="zh-CN" w:bidi="ar"/>
              </w:rPr>
              <w:t>乡镇全年摸排辖区内农村劳动力就业信息，完成农村劳动力数据更新率达</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90%</w:t>
            </w:r>
            <w:r>
              <w:rPr>
                <w:rFonts w:hint="eastAsia" w:ascii="仿宋_GB2312" w:hAnsi="Times New Roman" w:eastAsia="仿宋_GB2312" w:cs="仿宋_GB2312"/>
                <w:i w:val="0"/>
                <w:iCs w:val="0"/>
                <w:color w:val="auto"/>
                <w:kern w:val="0"/>
                <w:sz w:val="20"/>
                <w:szCs w:val="20"/>
                <w:highlight w:val="none"/>
                <w:u w:val="none"/>
                <w:lang w:val="en-US" w:eastAsia="zh-CN" w:bidi="ar"/>
              </w:rPr>
              <w:t>以上，每少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0.5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全年完成新增、退出劳动力信息更新700条以上，每少1条扣0.1分。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10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678D102">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Style w:val="111"/>
                <w:rFonts w:hint="default" w:hAnsi="宋体"/>
                <w:color w:val="auto"/>
                <w:highlight w:val="none"/>
                <w:lang w:val="en-US" w:eastAsia="zh-CN" w:bidi="ar"/>
              </w:rPr>
              <w:t>以广西</w:t>
            </w:r>
            <w:r>
              <w:rPr>
                <w:rFonts w:hint="eastAsia" w:ascii="仿宋_GB2312" w:hAnsi="宋体" w:eastAsia="仿宋_GB2312" w:cs="仿宋_GB2312"/>
                <w:i w:val="0"/>
                <w:iCs w:val="0"/>
                <w:color w:val="auto"/>
                <w:kern w:val="0"/>
                <w:sz w:val="20"/>
                <w:szCs w:val="20"/>
                <w:highlight w:val="none"/>
                <w:u w:val="none"/>
                <w:lang w:val="en-US" w:eastAsia="zh-CN" w:bidi="ar"/>
              </w:rPr>
              <w:t>“数智人社”</w:t>
            </w:r>
            <w:r>
              <w:rPr>
                <w:rStyle w:val="111"/>
                <w:rFonts w:hint="default" w:hAnsi="宋体"/>
                <w:color w:val="auto"/>
                <w:highlight w:val="none"/>
                <w:lang w:val="en-US" w:eastAsia="zh-CN" w:bidi="ar"/>
              </w:rPr>
              <w:t>业务管理信息系统数据比对为主，辅助电话、现场核查、工作台账等方式考核。（以更新广西“数智人社”业务管理信息系统数据为主）</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235413BE">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4B092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532FF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14:paraId="20DB50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57CCF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就业服务</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10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FF9E74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对辖区登记失业人员、就业困难人员、退役军人、离校未就业高校毕业生、脱贫劳动力、防返贫监测户（防止返贫致贫对象）、农村返乡回流人员、雨露计划毕业生等重点群体提供就业跟踪帮扶（含序号</w:t>
            </w:r>
            <w:r>
              <w:rPr>
                <w:rFonts w:hint="default" w:ascii="Times New Roman" w:hAnsi="Times New Roman" w:eastAsia="仿宋_GB2312" w:cs="Times New Roman"/>
                <w:i w:val="0"/>
                <w:iCs w:val="0"/>
                <w:color w:val="auto"/>
                <w:kern w:val="0"/>
                <w:sz w:val="20"/>
                <w:szCs w:val="20"/>
                <w:highlight w:val="none"/>
                <w:u w:val="none"/>
                <w:lang w:val="en-US" w:eastAsia="zh-CN" w:bidi="ar"/>
              </w:rPr>
              <w:t>5“</w:t>
            </w:r>
            <w:r>
              <w:rPr>
                <w:rFonts w:hint="eastAsia" w:ascii="仿宋_GB2312" w:hAnsi="宋体" w:eastAsia="仿宋_GB2312" w:cs="仿宋_GB2312"/>
                <w:i w:val="0"/>
                <w:iCs w:val="0"/>
                <w:color w:val="auto"/>
                <w:kern w:val="0"/>
                <w:sz w:val="20"/>
                <w:szCs w:val="20"/>
                <w:highlight w:val="none"/>
                <w:u w:val="none"/>
                <w:lang w:val="en-US" w:eastAsia="zh-CN" w:bidi="ar"/>
              </w:rPr>
              <w:t>就业援助</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w:t>
            </w:r>
            <w:r>
              <w:rPr>
                <w:rFonts w:hint="eastAsia" w:ascii="仿宋_GB2312" w:hAnsi="宋体" w:eastAsia="仿宋_GB2312" w:cs="仿宋_GB2312"/>
                <w:i w:val="0"/>
                <w:iCs w:val="0"/>
                <w:color w:val="auto"/>
                <w:kern w:val="0"/>
                <w:sz w:val="20"/>
                <w:szCs w:val="20"/>
                <w:highlight w:val="none"/>
                <w:u w:val="none"/>
                <w:lang w:val="en-US" w:eastAsia="zh-CN" w:bidi="ar"/>
              </w:rPr>
              <w:t>的对城镇零就业家庭劳动者、防止返贫监测对象家庭劳动者等特殊困难人群开展就业跟踪帮扶）（</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10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87DFEE6">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 1.</w:t>
            </w:r>
            <w:r>
              <w:rPr>
                <w:rFonts w:hint="eastAsia" w:ascii="仿宋_GB2312" w:hAnsi="Times New Roman" w:eastAsia="仿宋_GB2312" w:cs="仿宋_GB2312"/>
                <w:i w:val="0"/>
                <w:iCs w:val="0"/>
                <w:color w:val="auto"/>
                <w:kern w:val="0"/>
                <w:sz w:val="20"/>
                <w:szCs w:val="20"/>
                <w:highlight w:val="none"/>
                <w:u w:val="none"/>
                <w:lang w:val="en-US" w:eastAsia="zh-CN" w:bidi="ar"/>
              </w:rPr>
              <w:t>乡镇对摸排收集和前来登记的辖区内登记失业人员、就业困难人员、退役军人、离校未就业高校毕业生、脱贫劳动力、防返贫监测户（防止返贫致贫对象</w:t>
            </w:r>
            <w:r>
              <w:rPr>
                <w:rStyle w:val="112"/>
                <w:color w:val="auto"/>
                <w:highlight w:val="none"/>
                <w:lang w:val="en-US" w:eastAsia="zh-CN" w:bidi="ar"/>
              </w:rPr>
              <w:t>）</w:t>
            </w:r>
            <w:r>
              <w:rPr>
                <w:rFonts w:hint="eastAsia" w:ascii="仿宋_GB2312" w:hAnsi="Times New Roman" w:eastAsia="仿宋_GB2312" w:cs="仿宋_GB2312"/>
                <w:i w:val="0"/>
                <w:iCs w:val="0"/>
                <w:color w:val="auto"/>
                <w:kern w:val="0"/>
                <w:sz w:val="20"/>
                <w:szCs w:val="20"/>
                <w:highlight w:val="none"/>
                <w:u w:val="none"/>
                <w:lang w:val="en-US" w:eastAsia="zh-CN" w:bidi="ar"/>
              </w:rPr>
              <w:t>、农村返乡回流人员、雨露计划毕业生等重点群体进行身份标识，标识率达</w:t>
            </w:r>
            <w:r>
              <w:rPr>
                <w:rFonts w:hint="default" w:ascii="Times New Roman" w:hAnsi="Times New Roman" w:eastAsia="宋体" w:cs="Times New Roman"/>
                <w:i w:val="0"/>
                <w:iCs w:val="0"/>
                <w:color w:val="auto"/>
                <w:kern w:val="0"/>
                <w:sz w:val="20"/>
                <w:szCs w:val="20"/>
                <w:highlight w:val="none"/>
                <w:u w:val="none"/>
                <w:lang w:val="en-US" w:eastAsia="zh-CN" w:bidi="ar"/>
              </w:rPr>
              <w:t>100%</w:t>
            </w:r>
            <w:r>
              <w:rPr>
                <w:rFonts w:hint="eastAsia" w:ascii="仿宋_GB2312" w:hAnsi="Times New Roman" w:eastAsia="仿宋_GB2312" w:cs="仿宋_GB2312"/>
                <w:i w:val="0"/>
                <w:iCs w:val="0"/>
                <w:color w:val="auto"/>
                <w:kern w:val="0"/>
                <w:sz w:val="20"/>
                <w:szCs w:val="20"/>
                <w:highlight w:val="none"/>
                <w:u w:val="none"/>
                <w:lang w:val="en-US" w:eastAsia="zh-CN" w:bidi="ar"/>
              </w:rPr>
              <w:t>，每少</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分；并按要求对重点群体开展</w:t>
            </w:r>
            <w:r>
              <w:rPr>
                <w:rFonts w:hint="default" w:ascii="Times New Roman" w:hAnsi="Times New Roman" w:eastAsia="宋体" w:cs="Times New Roman"/>
                <w:i w:val="0"/>
                <w:iCs w:val="0"/>
                <w:color w:val="auto"/>
                <w:kern w:val="0"/>
                <w:sz w:val="20"/>
                <w:szCs w:val="20"/>
                <w:highlight w:val="none"/>
                <w:u w:val="none"/>
                <w:lang w:val="en-US" w:eastAsia="zh-CN" w:bidi="ar"/>
              </w:rPr>
              <w:t>“251”“1131”</w:t>
            </w:r>
            <w:r>
              <w:rPr>
                <w:rFonts w:hint="eastAsia" w:ascii="仿宋_GB2312" w:hAnsi="Times New Roman" w:eastAsia="仿宋_GB2312" w:cs="仿宋_GB2312"/>
                <w:i w:val="0"/>
                <w:iCs w:val="0"/>
                <w:color w:val="auto"/>
                <w:kern w:val="0"/>
                <w:sz w:val="20"/>
                <w:szCs w:val="20"/>
                <w:highlight w:val="none"/>
                <w:u w:val="none"/>
                <w:lang w:val="en-US" w:eastAsia="zh-CN" w:bidi="ar"/>
              </w:rPr>
              <w:t>就业帮扶，就业帮扶率达</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100% </w:t>
            </w:r>
            <w:r>
              <w:rPr>
                <w:rFonts w:hint="eastAsia" w:ascii="仿宋_GB2312" w:hAnsi="Times New Roman" w:eastAsia="仿宋_GB2312" w:cs="仿宋_GB2312"/>
                <w:i w:val="0"/>
                <w:iCs w:val="0"/>
                <w:color w:val="auto"/>
                <w:kern w:val="0"/>
                <w:sz w:val="20"/>
                <w:szCs w:val="20"/>
                <w:highlight w:val="none"/>
                <w:u w:val="none"/>
                <w:lang w:val="en-US" w:eastAsia="zh-CN" w:bidi="ar"/>
              </w:rPr>
              <w:t>，每少</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辖区内脱贫劳动力就业率</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60%</w:t>
            </w:r>
            <w:r>
              <w:rPr>
                <w:rFonts w:hint="eastAsia" w:ascii="仿宋_GB2312" w:hAnsi="Times New Roman" w:eastAsia="仿宋_GB2312" w:cs="仿宋_GB2312"/>
                <w:i w:val="0"/>
                <w:iCs w:val="0"/>
                <w:color w:val="auto"/>
                <w:kern w:val="0"/>
                <w:sz w:val="20"/>
                <w:szCs w:val="20"/>
                <w:highlight w:val="none"/>
                <w:u w:val="none"/>
                <w:lang w:val="en-US" w:eastAsia="zh-CN" w:bidi="ar"/>
              </w:rPr>
              <w:t>以上，登记失业人员再就业率</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70%</w:t>
            </w:r>
            <w:r>
              <w:rPr>
                <w:rFonts w:hint="eastAsia" w:ascii="仿宋_GB2312" w:hAnsi="Times New Roman" w:eastAsia="仿宋_GB2312" w:cs="仿宋_GB2312"/>
                <w:i w:val="0"/>
                <w:iCs w:val="0"/>
                <w:color w:val="auto"/>
                <w:kern w:val="0"/>
                <w:sz w:val="20"/>
                <w:szCs w:val="20"/>
                <w:highlight w:val="none"/>
                <w:u w:val="none"/>
                <w:lang w:val="en-US" w:eastAsia="zh-CN" w:bidi="ar"/>
              </w:rPr>
              <w:t>以上，就业困难人员就业率</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80%</w:t>
            </w:r>
            <w:r>
              <w:rPr>
                <w:rFonts w:hint="eastAsia" w:ascii="仿宋_GB2312" w:hAnsi="Times New Roman" w:eastAsia="仿宋_GB2312" w:cs="仿宋_GB2312"/>
                <w:i w:val="0"/>
                <w:iCs w:val="0"/>
                <w:color w:val="auto"/>
                <w:kern w:val="0"/>
                <w:sz w:val="20"/>
                <w:szCs w:val="20"/>
                <w:highlight w:val="none"/>
                <w:u w:val="none"/>
                <w:lang w:val="en-US" w:eastAsia="zh-CN" w:bidi="ar"/>
              </w:rPr>
              <w:t>以上，离校未就业高校毕业生和雨露计划毕业生就业率</w:t>
            </w:r>
            <w:r>
              <w:rPr>
                <w:rFonts w:hint="default" w:ascii="Times New Roman" w:hAnsi="Times New Roman" w:eastAsia="宋体" w:cs="Times New Roman"/>
                <w:i w:val="0"/>
                <w:iCs w:val="0"/>
                <w:color w:val="auto"/>
                <w:kern w:val="0"/>
                <w:sz w:val="20"/>
                <w:szCs w:val="20"/>
                <w:highlight w:val="none"/>
                <w:u w:val="none"/>
                <w:lang w:val="en-US" w:eastAsia="zh-CN" w:bidi="ar"/>
              </w:rPr>
              <w:t>90%</w:t>
            </w:r>
            <w:r>
              <w:rPr>
                <w:rFonts w:hint="eastAsia" w:ascii="仿宋_GB2312" w:hAnsi="Times New Roman" w:eastAsia="仿宋_GB2312" w:cs="仿宋_GB2312"/>
                <w:i w:val="0"/>
                <w:iCs w:val="0"/>
                <w:color w:val="auto"/>
                <w:kern w:val="0"/>
                <w:sz w:val="20"/>
                <w:szCs w:val="20"/>
                <w:highlight w:val="none"/>
                <w:u w:val="none"/>
                <w:lang w:val="en-US" w:eastAsia="zh-CN" w:bidi="ar"/>
              </w:rPr>
              <w:t>以上。以上每一项任务每少</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10</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795D117">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根据提供的就业服务记录台账与相关部门的就业相关数据进行核对，并辅助电话抽查进行考核。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57B4F0A">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5CED3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86DD0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14:paraId="1C9A0C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13</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50441C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用工摸排（</w:t>
            </w:r>
            <w:r>
              <w:rPr>
                <w:rFonts w:hint="default" w:ascii="Times New Roman" w:hAnsi="Times New Roman" w:eastAsia="宋体" w:cs="Times New Roman"/>
                <w:i w:val="0"/>
                <w:iCs w:val="0"/>
                <w:color w:val="auto"/>
                <w:kern w:val="0"/>
                <w:sz w:val="20"/>
                <w:szCs w:val="20"/>
                <w:highlight w:val="none"/>
                <w:u w:val="none"/>
                <w:lang w:val="en-US" w:eastAsia="zh-CN" w:bidi="ar"/>
              </w:rPr>
              <w:t>8</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AA61A4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对用人单位用工需求摸排登记（</w:t>
            </w:r>
            <w:r>
              <w:rPr>
                <w:rFonts w:hint="default" w:ascii="Times New Roman" w:hAnsi="Times New Roman" w:eastAsia="仿宋_GB2312" w:cs="Times New Roman"/>
                <w:i w:val="0"/>
                <w:iCs w:val="0"/>
                <w:color w:val="auto"/>
                <w:kern w:val="0"/>
                <w:sz w:val="20"/>
                <w:szCs w:val="20"/>
                <w:highlight w:val="none"/>
                <w:u w:val="none"/>
                <w:lang w:val="en-US" w:eastAsia="zh-CN" w:bidi="ar"/>
              </w:rPr>
              <w:t>8</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076E7A4C">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全年新增登记的用人单位不少于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700 </w:t>
            </w:r>
            <w:r>
              <w:rPr>
                <w:rFonts w:hint="eastAsia" w:ascii="仿宋_GB2312" w:hAnsi="Times New Roman" w:eastAsia="仿宋_GB2312" w:cs="仿宋_GB2312"/>
                <w:i w:val="0"/>
                <w:iCs w:val="0"/>
                <w:color w:val="auto"/>
                <w:kern w:val="0"/>
                <w:sz w:val="20"/>
                <w:szCs w:val="20"/>
                <w:highlight w:val="none"/>
                <w:u w:val="none"/>
                <w:lang w:val="en-US" w:eastAsia="zh-CN" w:bidi="ar"/>
              </w:rPr>
              <w:t>家（含辖区外），其中本城区（含伊岭工业园区、东盟经开区）不少于</w:t>
            </w:r>
            <w:r>
              <w:rPr>
                <w:rFonts w:hint="default" w:ascii="Times New Roman" w:hAnsi="Times New Roman" w:eastAsia="宋体" w:cs="Times New Roman"/>
                <w:i w:val="0"/>
                <w:iCs w:val="0"/>
                <w:color w:val="auto"/>
                <w:kern w:val="0"/>
                <w:sz w:val="20"/>
                <w:szCs w:val="20"/>
                <w:highlight w:val="none"/>
                <w:u w:val="none"/>
                <w:lang w:val="en-US" w:eastAsia="zh-CN" w:bidi="ar"/>
              </w:rPr>
              <w:t>500</w:t>
            </w:r>
            <w:r>
              <w:rPr>
                <w:rStyle w:val="112"/>
                <w:color w:val="auto"/>
                <w:highlight w:val="none"/>
                <w:lang w:val="en-US" w:eastAsia="zh-CN" w:bidi="ar"/>
              </w:rPr>
              <w:t>家</w:t>
            </w:r>
            <w:r>
              <w:rPr>
                <w:rFonts w:hint="eastAsia" w:ascii="仿宋_GB2312" w:hAnsi="Times New Roman" w:eastAsia="仿宋_GB2312" w:cs="仿宋_GB2312"/>
                <w:i w:val="0"/>
                <w:iCs w:val="0"/>
                <w:color w:val="auto"/>
                <w:kern w:val="0"/>
                <w:sz w:val="20"/>
                <w:szCs w:val="20"/>
                <w:highlight w:val="none"/>
                <w:u w:val="none"/>
                <w:lang w:val="en-US" w:eastAsia="zh-CN" w:bidi="ar"/>
              </w:rPr>
              <w:t>，每少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分；有用工需求的用人单位不少于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700 </w:t>
            </w:r>
            <w:r>
              <w:rPr>
                <w:rFonts w:hint="eastAsia" w:ascii="仿宋_GB2312" w:hAnsi="Times New Roman" w:eastAsia="仿宋_GB2312" w:cs="仿宋_GB2312"/>
                <w:i w:val="0"/>
                <w:iCs w:val="0"/>
                <w:color w:val="auto"/>
                <w:kern w:val="0"/>
                <w:sz w:val="20"/>
                <w:szCs w:val="20"/>
                <w:highlight w:val="none"/>
                <w:u w:val="none"/>
                <w:lang w:val="en-US" w:eastAsia="zh-CN" w:bidi="ar"/>
              </w:rPr>
              <w:t>家次（含辖区外）</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 xml:space="preserve">2. </w:t>
            </w:r>
            <w:r>
              <w:rPr>
                <w:rFonts w:hint="eastAsia" w:ascii="仿宋_GB2312" w:hAnsi="Times New Roman" w:eastAsia="仿宋_GB2312" w:cs="仿宋_GB2312"/>
                <w:i w:val="0"/>
                <w:iCs w:val="0"/>
                <w:color w:val="auto"/>
                <w:kern w:val="0"/>
                <w:sz w:val="20"/>
                <w:szCs w:val="20"/>
                <w:highlight w:val="none"/>
                <w:u w:val="none"/>
                <w:lang w:val="en-US" w:eastAsia="zh-CN" w:bidi="ar"/>
              </w:rPr>
              <w:t>乡镇辖区内新增登记的用人单位不少于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20  </w:t>
            </w:r>
            <w:r>
              <w:rPr>
                <w:rFonts w:hint="eastAsia" w:ascii="仿宋_GB2312" w:hAnsi="Times New Roman" w:eastAsia="仿宋_GB2312" w:cs="仿宋_GB2312"/>
                <w:i w:val="0"/>
                <w:iCs w:val="0"/>
                <w:color w:val="auto"/>
                <w:kern w:val="0"/>
                <w:sz w:val="20"/>
                <w:szCs w:val="20"/>
                <w:highlight w:val="none"/>
                <w:u w:val="none"/>
                <w:lang w:val="en-US" w:eastAsia="zh-CN" w:bidi="ar"/>
              </w:rPr>
              <w:t>家，每少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分；其中有用工需求的用人单位不少于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20 </w:t>
            </w:r>
            <w:r>
              <w:rPr>
                <w:rFonts w:hint="eastAsia" w:ascii="仿宋_GB2312" w:hAnsi="Times New Roman" w:eastAsia="仿宋_GB2312" w:cs="仿宋_GB2312"/>
                <w:i w:val="0"/>
                <w:iCs w:val="0"/>
                <w:color w:val="auto"/>
                <w:kern w:val="0"/>
                <w:sz w:val="20"/>
                <w:szCs w:val="20"/>
                <w:highlight w:val="none"/>
                <w:u w:val="none"/>
                <w:lang w:val="en-US" w:eastAsia="zh-CN" w:bidi="ar"/>
              </w:rPr>
              <w:t>家次，每少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全年登记的用工需求不少于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10000 </w:t>
            </w:r>
            <w:r>
              <w:rPr>
                <w:rFonts w:hint="eastAsia" w:ascii="仿宋_GB2312" w:hAnsi="Times New Roman" w:eastAsia="仿宋_GB2312" w:cs="仿宋_GB2312"/>
                <w:i w:val="0"/>
                <w:iCs w:val="0"/>
                <w:color w:val="auto"/>
                <w:kern w:val="0"/>
                <w:sz w:val="20"/>
                <w:szCs w:val="20"/>
                <w:highlight w:val="none"/>
                <w:u w:val="none"/>
                <w:lang w:val="en-US" w:eastAsia="zh-CN" w:bidi="ar"/>
              </w:rPr>
              <w:t>人次（含辖区外），每少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分。其中伊岭工业园区、东盟经开区辖区内用工需求不少于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5000 </w:t>
            </w:r>
            <w:r>
              <w:rPr>
                <w:rFonts w:hint="eastAsia" w:ascii="仿宋_GB2312" w:hAnsi="Times New Roman" w:eastAsia="仿宋_GB2312" w:cs="仿宋_GB2312"/>
                <w:i w:val="0"/>
                <w:iCs w:val="0"/>
                <w:color w:val="auto"/>
                <w:kern w:val="0"/>
                <w:sz w:val="20"/>
                <w:szCs w:val="20"/>
                <w:highlight w:val="none"/>
                <w:u w:val="none"/>
                <w:lang w:val="en-US" w:eastAsia="zh-CN" w:bidi="ar"/>
              </w:rPr>
              <w:t>人次，每少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乡镇辖区内用工需求不少于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200 </w:t>
            </w:r>
            <w:r>
              <w:rPr>
                <w:rFonts w:hint="eastAsia" w:ascii="仿宋_GB2312" w:hAnsi="Times New Roman" w:eastAsia="仿宋_GB2312" w:cs="仿宋_GB2312"/>
                <w:i w:val="0"/>
                <w:iCs w:val="0"/>
                <w:color w:val="auto"/>
                <w:kern w:val="0"/>
                <w:sz w:val="20"/>
                <w:szCs w:val="20"/>
                <w:highlight w:val="none"/>
                <w:u w:val="none"/>
                <w:lang w:val="en-US" w:eastAsia="zh-CN" w:bidi="ar"/>
              </w:rPr>
              <w:t>人次，每少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8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4DEDF951">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1.根据第三方数据平台注册新增登记的用人单位数据进行考核；</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2.第三方数据平台新增登记本镇用人单位、用工情况数据或用工需求摸排登记台账作为佐证材料进行考核。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D15274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single"/>
              </w:rPr>
            </w:pPr>
          </w:p>
        </w:tc>
      </w:tr>
      <w:tr w14:paraId="4FB20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AED8C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37A12B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14</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6F9B13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用工服务（</w:t>
            </w:r>
            <w:r>
              <w:rPr>
                <w:rFonts w:hint="default" w:ascii="Times New Roman" w:hAnsi="Times New Roman" w:eastAsia="宋体" w:cs="Times New Roman"/>
                <w:i w:val="0"/>
                <w:iCs w:val="0"/>
                <w:color w:val="auto"/>
                <w:kern w:val="0"/>
                <w:sz w:val="20"/>
                <w:szCs w:val="20"/>
                <w:highlight w:val="none"/>
                <w:u w:val="none"/>
                <w:lang w:val="en-US" w:eastAsia="zh-CN" w:bidi="ar"/>
              </w:rPr>
              <w:t>8</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7E4C309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对本城区承接的市级</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重点企业送工任务提供送工服务</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6</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519173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对本城区承接的市级重点企业送工任务提供送工服务，完成年度送工任务，每少</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6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4067314F">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根据提供的为市级重点企业送工花名册、市级反馈的送工任务完成情况等材料作为考核依据。</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8B0566D">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none"/>
              </w:rPr>
            </w:pPr>
          </w:p>
        </w:tc>
      </w:tr>
      <w:tr w14:paraId="408B1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1D4E1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05D28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C0207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03D75A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对本城区重点企业送工任务提供送工服务（</w:t>
            </w:r>
            <w:r>
              <w:rPr>
                <w:rFonts w:hint="default" w:ascii="Times New Roman" w:hAnsi="Times New Roman" w:eastAsia="仿宋_GB2312" w:cs="Times New Roman"/>
                <w:i w:val="0"/>
                <w:iCs w:val="0"/>
                <w:color w:val="auto"/>
                <w:kern w:val="0"/>
                <w:sz w:val="20"/>
                <w:szCs w:val="20"/>
                <w:highlight w:val="none"/>
                <w:u w:val="none"/>
                <w:lang w:val="en-US" w:eastAsia="zh-CN" w:bidi="ar"/>
              </w:rPr>
              <w:t>2</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B33D8D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对本城区重点企业送工任务提供送工服务，完成年度送工任务</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w:t>
            </w:r>
            <w:r>
              <w:rPr>
                <w:rFonts w:hint="eastAsia" w:ascii="仿宋_GB2312" w:hAnsi="宋体" w:eastAsia="仿宋_GB2312" w:cs="仿宋_GB2312"/>
                <w:i w:val="0"/>
                <w:iCs w:val="0"/>
                <w:color w:val="auto"/>
                <w:kern w:val="0"/>
                <w:sz w:val="20"/>
                <w:szCs w:val="20"/>
                <w:highlight w:val="none"/>
                <w:u w:val="none"/>
                <w:lang w:val="en-US" w:eastAsia="zh-CN" w:bidi="ar"/>
              </w:rPr>
              <w:t>，每少</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2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1BC9207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根据提供的为城区重点企业送工花名册作为考核依据，并辅助电话抽查进行考核。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E8BBDCF">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none"/>
              </w:rPr>
            </w:pPr>
          </w:p>
        </w:tc>
      </w:tr>
      <w:tr w14:paraId="0C87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47A0F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14:paraId="2A5DEB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AB753C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培训跟踪</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7253D83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对前来登记培训需求及推荐培训项目的服务对象进行培训、就业情况跟踪登记（</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919C353">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对前来登记培训需求并推荐培训项目的服务对象进行培训、就业情况跟踪登记</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，半年内跟踪率达</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100% </w:t>
            </w:r>
            <w:r>
              <w:rPr>
                <w:rFonts w:hint="eastAsia" w:ascii="仿宋_GB2312" w:hAnsi="Times New Roman" w:eastAsia="仿宋_GB2312" w:cs="仿宋_GB2312"/>
                <w:i w:val="0"/>
                <w:iCs w:val="0"/>
                <w:color w:val="auto"/>
                <w:kern w:val="0"/>
                <w:sz w:val="20"/>
                <w:szCs w:val="20"/>
                <w:highlight w:val="none"/>
                <w:u w:val="none"/>
                <w:lang w:val="en-US" w:eastAsia="zh-CN" w:bidi="ar"/>
              </w:rPr>
              <w:t>，每少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76776E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根据提供的培训需求登记服务记录台账进行电话抽查。</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3AAE705">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2223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79F85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35E22F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16</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7C9037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活动组织（</w:t>
            </w:r>
            <w:r>
              <w:rPr>
                <w:rFonts w:hint="default" w:ascii="Times New Roman" w:hAnsi="Times New Roman" w:eastAsia="宋体" w:cs="Times New Roman"/>
                <w:i w:val="0"/>
                <w:iCs w:val="0"/>
                <w:color w:val="auto"/>
                <w:kern w:val="0"/>
                <w:sz w:val="20"/>
                <w:szCs w:val="20"/>
                <w:highlight w:val="none"/>
                <w:u w:val="none"/>
                <w:lang w:val="en-US" w:eastAsia="zh-CN" w:bidi="ar"/>
              </w:rPr>
              <w:t>9</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7A54B8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组织招聘会</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3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26DA1F2">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按当地人社部门要求，定期举行招聘会活动，全年举行招聘会活动不少于</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12  </w:t>
            </w:r>
            <w:r>
              <w:rPr>
                <w:rFonts w:hint="eastAsia" w:ascii="仿宋_GB2312" w:hAnsi="宋体" w:eastAsia="仿宋_GB2312" w:cs="仿宋_GB2312"/>
                <w:i w:val="0"/>
                <w:iCs w:val="0"/>
                <w:color w:val="auto"/>
                <w:kern w:val="0"/>
                <w:sz w:val="20"/>
                <w:szCs w:val="20"/>
                <w:highlight w:val="none"/>
                <w:u w:val="none"/>
                <w:lang w:val="en-US" w:eastAsia="zh-CN" w:bidi="ar"/>
              </w:rPr>
              <w:t>次，每少</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场扣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0.5 </w:t>
            </w:r>
            <w:r>
              <w:rPr>
                <w:rFonts w:hint="eastAsia" w:ascii="仿宋_GB2312" w:hAnsi="宋体" w:eastAsia="仿宋_GB2312" w:cs="仿宋_GB2312"/>
                <w:i w:val="0"/>
                <w:iCs w:val="0"/>
                <w:color w:val="auto"/>
                <w:kern w:val="0"/>
                <w:sz w:val="20"/>
                <w:szCs w:val="20"/>
                <w:highlight w:val="none"/>
                <w:u w:val="none"/>
                <w:lang w:val="en-US" w:eastAsia="zh-CN" w:bidi="ar"/>
              </w:rPr>
              <w:t>分，最高</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3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60B7FAB9">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根据就业服务站提供的招聘会材料（包含但不限于方案、招聘信息、现场照片）等佐证材料进行核准。</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D542BD1">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D34D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F808F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82915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2506D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4BEA43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举办公益性技能培训</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BE9F9E4">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按当地人社部门要求，举办公益性技能培训活动，全年举办公益性技能培训活动不少于</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2 </w:t>
            </w:r>
            <w:r>
              <w:rPr>
                <w:rFonts w:hint="eastAsia" w:ascii="仿宋_GB2312" w:hAnsi="宋体" w:eastAsia="仿宋_GB2312" w:cs="仿宋_GB2312"/>
                <w:i w:val="0"/>
                <w:iCs w:val="0"/>
                <w:color w:val="auto"/>
                <w:kern w:val="0"/>
                <w:sz w:val="20"/>
                <w:szCs w:val="20"/>
                <w:highlight w:val="none"/>
                <w:u w:val="none"/>
                <w:lang w:val="en-US" w:eastAsia="zh-CN" w:bidi="ar"/>
              </w:rPr>
              <w:t>期，每少</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w:t>
            </w:r>
            <w:r>
              <w:rPr>
                <w:rFonts w:hint="eastAsia" w:ascii="仿宋_GB2312" w:hAnsi="宋体" w:eastAsia="仿宋_GB2312" w:cs="仿宋_GB2312"/>
                <w:i w:val="0"/>
                <w:iCs w:val="0"/>
                <w:color w:val="auto"/>
                <w:kern w:val="0"/>
                <w:sz w:val="20"/>
                <w:szCs w:val="20"/>
                <w:highlight w:val="none"/>
                <w:u w:val="none"/>
                <w:lang w:val="en-US" w:eastAsia="zh-CN" w:bidi="ar"/>
              </w:rPr>
              <w:t>期扣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0.5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612554D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根据就业服务站提供的技能培训方案、培训照片、签到表等佐证材料进行考核。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7F21B77">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950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F92C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EDF39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CCE87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A3B0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组织参加补贴性技能培训（含序号</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3“</w:t>
            </w:r>
            <w:r>
              <w:rPr>
                <w:rFonts w:hint="eastAsia" w:ascii="仿宋_GB2312" w:hAnsi="Times New Roman" w:eastAsia="仿宋_GB2312" w:cs="仿宋_GB2312"/>
                <w:i w:val="0"/>
                <w:iCs w:val="0"/>
                <w:color w:val="auto"/>
                <w:kern w:val="0"/>
                <w:sz w:val="20"/>
                <w:szCs w:val="20"/>
                <w:highlight w:val="none"/>
                <w:u w:val="none"/>
                <w:lang w:val="en-US" w:eastAsia="zh-CN" w:bidi="ar"/>
              </w:rPr>
              <w:t>技能培训</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eastAsia" w:ascii="仿宋_GB2312" w:hAnsi="Times New Roman" w:eastAsia="仿宋_GB2312" w:cs="仿宋_GB2312"/>
                <w:i w:val="0"/>
                <w:iCs w:val="0"/>
                <w:color w:val="auto"/>
                <w:kern w:val="0"/>
                <w:sz w:val="20"/>
                <w:szCs w:val="20"/>
                <w:highlight w:val="none"/>
                <w:u w:val="none"/>
                <w:lang w:val="en-US" w:eastAsia="zh-CN" w:bidi="ar"/>
              </w:rPr>
              <w:t>的组织参加补贴性技能培训）（</w:t>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36566EE">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组织已在本站登记培训需求的“五类人员”参加补贴性培训，全年组织人数不低于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30 </w:t>
            </w:r>
            <w:r>
              <w:rPr>
                <w:rFonts w:hint="eastAsia" w:ascii="仿宋_GB2312" w:hAnsi="Times New Roman" w:eastAsia="仿宋_GB2312" w:cs="仿宋_GB2312"/>
                <w:i w:val="0"/>
                <w:iCs w:val="0"/>
                <w:color w:val="auto"/>
                <w:kern w:val="0"/>
                <w:sz w:val="20"/>
                <w:szCs w:val="20"/>
                <w:highlight w:val="none"/>
                <w:u w:val="none"/>
                <w:lang w:val="en-US" w:eastAsia="zh-CN" w:bidi="ar"/>
              </w:rPr>
              <w:t>人，每少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3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严禁联合培训机构等主体，引导已在培训机构明确参训意向的人员，转移至本站完成培训需求登记后再组织其参训。经属地人社部门抽查确认的，每发现</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例扣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4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Style w:val="115"/>
                <w:rFonts w:hAnsi="Times New Roman"/>
                <w:color w:val="auto"/>
                <w:highlight w:val="none"/>
                <w:lang w:val="en-US" w:eastAsia="zh-CN" w:bidi="ar"/>
              </w:rPr>
              <w:t>本项合计最高扣4分。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6D6348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由就业服务站提供已组织参加培训的人员花名册与广西“数智”人社系统名单比对，并通过电话抽查进行考核。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33851A6">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536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EAD99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9D7A5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F9801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09865A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开展政策宣传活动</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71639F37">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按当地人社部门要求，举办政策宣传活动，全年举办政策宣传活动不少于</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4 </w:t>
            </w:r>
            <w:r>
              <w:rPr>
                <w:rFonts w:hint="eastAsia" w:ascii="仿宋_GB2312" w:hAnsi="宋体" w:eastAsia="仿宋_GB2312" w:cs="仿宋_GB2312"/>
                <w:i w:val="0"/>
                <w:iCs w:val="0"/>
                <w:color w:val="auto"/>
                <w:kern w:val="0"/>
                <w:sz w:val="20"/>
                <w:szCs w:val="20"/>
                <w:highlight w:val="none"/>
                <w:u w:val="none"/>
                <w:lang w:val="en-US" w:eastAsia="zh-CN" w:bidi="ar"/>
              </w:rPr>
              <w:t>场，每少</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场扣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0.5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0E21A91D">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根据就业服务站提供的政策宣传内容、宣传照片等佐证材料进行考核。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D230884">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4F632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EC443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2F7F2A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17</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5E01E3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社会宣传（</w:t>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3865E7A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资料配备</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9BE6FF4">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在服务站内公告栏、政策取阅架等地方定期放置就业创业政策宣传材料，全年印制各类宣传材料不少于</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5000 </w:t>
            </w:r>
            <w:r>
              <w:rPr>
                <w:rFonts w:hint="eastAsia" w:ascii="仿宋_GB2312" w:hAnsi="宋体" w:eastAsia="仿宋_GB2312" w:cs="仿宋_GB2312"/>
                <w:i w:val="0"/>
                <w:iCs w:val="0"/>
                <w:color w:val="auto"/>
                <w:kern w:val="0"/>
                <w:sz w:val="20"/>
                <w:szCs w:val="20"/>
                <w:highlight w:val="none"/>
                <w:u w:val="none"/>
                <w:lang w:val="en-US" w:eastAsia="zh-CN" w:bidi="ar"/>
              </w:rPr>
              <w:t>份，每少</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1 </w:t>
            </w:r>
            <w:r>
              <w:rPr>
                <w:rFonts w:hint="eastAsia" w:ascii="仿宋_GB2312" w:hAnsi="宋体" w:eastAsia="仿宋_GB2312" w:cs="仿宋_GB2312"/>
                <w:i w:val="0"/>
                <w:iCs w:val="0"/>
                <w:color w:val="auto"/>
                <w:kern w:val="0"/>
                <w:sz w:val="20"/>
                <w:szCs w:val="20"/>
                <w:highlight w:val="none"/>
                <w:u w:val="none"/>
                <w:lang w:val="en-US" w:eastAsia="zh-CN" w:bidi="ar"/>
              </w:rPr>
              <w:t>个百分点，扣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 0.1 </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1 </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8FE65D4">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根据就业服务站现场公告栏、政策宣传区政策宣传情况，以及提供全年印制资料汇总表等佐证材料进行考核。（原则上就业创业政策和招聘信息要定期更新。）</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AE3EDF3">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335EC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985DA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C6E42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6534A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5F58C4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宣传推广</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3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5964AC36">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通过广播、</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电视、报纸等新闻媒介及官方网站、微信公众号、抖音等各类网络媒体，开展服务站相关服务宣传。全年在各类新闻媒介和网络媒体发布宣传视频、宣传文章不少于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10 </w:t>
            </w:r>
            <w:r>
              <w:rPr>
                <w:rFonts w:hint="eastAsia" w:ascii="仿宋_GB2312" w:hAnsi="Times New Roman" w:eastAsia="仿宋_GB2312" w:cs="仿宋_GB2312"/>
                <w:i w:val="0"/>
                <w:iCs w:val="0"/>
                <w:color w:val="auto"/>
                <w:kern w:val="0"/>
                <w:sz w:val="20"/>
                <w:szCs w:val="20"/>
                <w:highlight w:val="none"/>
                <w:u w:val="none"/>
                <w:lang w:val="en-US" w:eastAsia="zh-CN" w:bidi="ar"/>
              </w:rPr>
              <w:t>篇，每少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篇，扣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在辖区全部村（社区）和其他人员密集场所、</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电子屏、移动宣传载体等发放或张贴服务二维码或宣传海报等大力宣传服务站不少于本辖区村（社区）的数量，每发现少</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w:t>
            </w:r>
            <w:r>
              <w:rPr>
                <w:rFonts w:hint="eastAsia" w:ascii="仿宋_GB2312" w:hAnsi="Times New Roman" w:eastAsia="仿宋_GB2312" w:cs="仿宋_GB2312"/>
                <w:i w:val="0"/>
                <w:iCs w:val="0"/>
                <w:color w:val="auto"/>
                <w:kern w:val="0"/>
                <w:sz w:val="20"/>
                <w:szCs w:val="20"/>
                <w:highlight w:val="none"/>
                <w:u w:val="none"/>
                <w:lang w:val="en-US" w:eastAsia="zh-CN" w:bidi="ar"/>
              </w:rPr>
              <w:t>处未开展的，扣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0.1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制作服务站经验类、推广类宣传视频不少于</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条，每条视频时长不少于</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分钟，无宣传视频或视频不符合要求的，扣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3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0"/>
            <w:vAlign w:val="center"/>
          </w:tcPr>
          <w:p w14:paraId="36635DD4">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1.根据就业服务站已发布的宣传信息截图、视频作品等作为佐证材料作为考核；</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2.由就业服务站提供各村（社区）张贴海报宣传照片。</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7318671">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4AA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D466A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7976F8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18</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26BD02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规范配备</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（基础分</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20 </w:t>
            </w:r>
            <w:r>
              <w:rPr>
                <w:rFonts w:hint="eastAsia" w:ascii="仿宋_GB2312" w:hAnsi="Times New Roman" w:eastAsia="仿宋_GB2312" w:cs="仿宋_GB2312"/>
                <w:i w:val="0"/>
                <w:iCs w:val="0"/>
                <w:color w:val="auto"/>
                <w:kern w:val="0"/>
                <w:sz w:val="20"/>
                <w:szCs w:val="20"/>
                <w:highlight w:val="none"/>
                <w:u w:val="none"/>
                <w:lang w:val="en-US" w:eastAsia="zh-CN" w:bidi="ar"/>
              </w:rPr>
              <w:t>分，可</w:t>
            </w:r>
            <w:r>
              <w:rPr>
                <w:rFonts w:hint="default" w:ascii="Times New Roman" w:hAnsi="Times New Roman" w:eastAsia="宋体" w:cs="Times New Roman"/>
                <w:i w:val="0"/>
                <w:iCs w:val="0"/>
                <w:color w:val="auto"/>
                <w:kern w:val="0"/>
                <w:sz w:val="20"/>
                <w:szCs w:val="20"/>
                <w:highlight w:val="none"/>
                <w:u w:val="none"/>
                <w:lang w:val="en-US" w:eastAsia="zh-CN" w:bidi="ar"/>
              </w:rPr>
              <w:t>+5</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3AFD7D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服务场所</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 </w:t>
            </w:r>
            <w:r>
              <w:rPr>
                <w:rFonts w:hint="eastAsia" w:ascii="仿宋_GB2312" w:hAnsi="Times New Roman" w:eastAsia="仿宋_GB2312" w:cs="仿宋_GB2312"/>
                <w:i w:val="0"/>
                <w:iCs w:val="0"/>
                <w:color w:val="auto"/>
                <w:kern w:val="0"/>
                <w:sz w:val="20"/>
                <w:szCs w:val="20"/>
                <w:highlight w:val="none"/>
                <w:u w:val="none"/>
                <w:lang w:val="en-US" w:eastAsia="zh-CN" w:bidi="ar"/>
              </w:rPr>
              <w:t>分，可</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36422333">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按照《南宁市一级就业服务站规范配备标准》，常态设置柜面服务区、信息发布区、数智求职区、等候休息区、便民服务区等基本功能区域。</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基本功能区域每发现少</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项或设置不合理的，扣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每增设</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个功能区域（求职招聘区、职业培训区、线上直播区、视频面试区、</w:t>
            </w:r>
            <w:r>
              <w:rPr>
                <w:rFonts w:hint="default" w:ascii="Times New Roman" w:hAnsi="Times New Roman" w:eastAsia="宋体" w:cs="Times New Roman"/>
                <w:i w:val="0"/>
                <w:iCs w:val="0"/>
                <w:color w:val="auto"/>
                <w:kern w:val="0"/>
                <w:sz w:val="20"/>
                <w:szCs w:val="20"/>
                <w:highlight w:val="none"/>
                <w:u w:val="none"/>
                <w:lang w:val="en-US" w:eastAsia="zh-CN" w:bidi="ar"/>
              </w:rPr>
              <w:t>24</w:t>
            </w:r>
            <w:r>
              <w:rPr>
                <w:rFonts w:hint="eastAsia" w:ascii="仿宋_GB2312" w:hAnsi="Times New Roman" w:eastAsia="仿宋_GB2312" w:cs="仿宋_GB2312"/>
                <w:i w:val="0"/>
                <w:iCs w:val="0"/>
                <w:color w:val="auto"/>
                <w:kern w:val="0"/>
                <w:sz w:val="20"/>
                <w:szCs w:val="20"/>
                <w:highlight w:val="none"/>
                <w:u w:val="none"/>
                <w:lang w:val="en-US" w:eastAsia="zh-CN" w:bidi="ar"/>
              </w:rPr>
              <w:t>小时人社自助服务区等）的，加</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本项合计最高加</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5</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EFEFBA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根据就业服务站现场配备情况进行考核。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55C266E">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1979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EB680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9EDC9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F8503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5D53C3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服务设施</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3 </w:t>
            </w:r>
            <w:r>
              <w:rPr>
                <w:rFonts w:hint="eastAsia" w:ascii="仿宋_GB2312" w:hAnsi="Times New Roman" w:eastAsia="仿宋_GB2312" w:cs="仿宋_GB2312"/>
                <w:i w:val="0"/>
                <w:iCs w:val="0"/>
                <w:color w:val="auto"/>
                <w:kern w:val="0"/>
                <w:sz w:val="20"/>
                <w:szCs w:val="20"/>
                <w:highlight w:val="none"/>
                <w:u w:val="none"/>
                <w:lang w:val="en-US" w:eastAsia="zh-CN" w:bidi="ar"/>
              </w:rPr>
              <w:t>分，可</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+ 1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991331A">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按照《南宁市一级就业服务站规范配备标准》，常态配备必要的办公服务、求职服务、便民服务、安全防护等设施设备，满足日常服务需要。</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对照规范配备标准，每发现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项配备不达标，扣</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每增加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台服务设备</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eastAsia" w:ascii="仿宋_GB2312" w:hAnsi="Times New Roman" w:eastAsia="仿宋_GB2312" w:cs="仿宋_GB2312"/>
                <w:i w:val="0"/>
                <w:iCs w:val="0"/>
                <w:color w:val="auto"/>
                <w:kern w:val="0"/>
                <w:sz w:val="20"/>
                <w:szCs w:val="20"/>
                <w:highlight w:val="none"/>
                <w:u w:val="none"/>
                <w:lang w:val="en-US" w:eastAsia="zh-CN" w:bidi="ar"/>
              </w:rPr>
              <w:t>求职招聘自助服务机、求职招聘信息发布一体机（含展示分析服务）</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eastAsia" w:ascii="仿宋_GB2312" w:hAnsi="Times New Roman" w:eastAsia="仿宋_GB2312" w:cs="仿宋_GB2312"/>
                <w:i w:val="0"/>
                <w:iCs w:val="0"/>
                <w:color w:val="auto"/>
                <w:kern w:val="0"/>
                <w:sz w:val="20"/>
                <w:szCs w:val="20"/>
                <w:highlight w:val="none"/>
                <w:u w:val="none"/>
                <w:lang w:val="en-US" w:eastAsia="zh-CN" w:bidi="ar"/>
              </w:rPr>
              <w:t>，或每增加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个直播带岗区域（含直播带岗设备），加</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次服务设备（办公服务、求职服务、便民服务、安全防护等设施设备）不能正常运行的，扣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次统一标识损坏且不及时维修更换的，扣</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20</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2315C43">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根据就业服务站现场配备情况进行考核。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BC31A2C">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C2A8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7D641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03086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40625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2D07D4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服务团队</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5 </w:t>
            </w:r>
            <w:r>
              <w:rPr>
                <w:rFonts w:hint="eastAsia" w:ascii="仿宋_GB2312" w:hAnsi="Times New Roman" w:eastAsia="仿宋_GB2312" w:cs="仿宋_GB2312"/>
                <w:i w:val="0"/>
                <w:iCs w:val="0"/>
                <w:color w:val="auto"/>
                <w:kern w:val="0"/>
                <w:sz w:val="20"/>
                <w:szCs w:val="20"/>
                <w:highlight w:val="none"/>
                <w:u w:val="none"/>
                <w:lang w:val="en-US" w:eastAsia="zh-CN" w:bidi="ar"/>
              </w:rPr>
              <w:t>分，可</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CB76E31">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按照《南宁市一级就业服务站规范配备标准》常态配备专业的运营服务队伍，驻站站长</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人，常态化在岗专职服务人员不少于</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人，在购买服务方和属地的监督指导下，站点每周服务不少于</w:t>
            </w:r>
            <w:r>
              <w:rPr>
                <w:rFonts w:hint="default" w:ascii="Times New Roman" w:hAnsi="Times New Roman" w:eastAsia="仿宋_GB2312" w:cs="Times New Roman"/>
                <w:i w:val="0"/>
                <w:iCs w:val="0"/>
                <w:color w:val="auto"/>
                <w:kern w:val="0"/>
                <w:sz w:val="20"/>
                <w:szCs w:val="20"/>
                <w:highlight w:val="none"/>
                <w:u w:val="none"/>
                <w:lang w:val="en-US" w:eastAsia="zh-CN" w:bidi="ar"/>
              </w:rPr>
              <w:t>6</w:t>
            </w:r>
            <w:r>
              <w:rPr>
                <w:rFonts w:hint="eastAsia" w:ascii="仿宋_GB2312" w:hAnsi="宋体" w:eastAsia="仿宋_GB2312" w:cs="仿宋_GB2312"/>
                <w:i w:val="0"/>
                <w:iCs w:val="0"/>
                <w:color w:val="auto"/>
                <w:kern w:val="0"/>
                <w:sz w:val="20"/>
                <w:szCs w:val="20"/>
                <w:highlight w:val="none"/>
                <w:u w:val="none"/>
                <w:lang w:val="en-US" w:eastAsia="zh-CN" w:bidi="ar"/>
              </w:rPr>
              <w:t>天、每天服务时长不少于</w:t>
            </w:r>
            <w:r>
              <w:rPr>
                <w:rFonts w:hint="default" w:ascii="Times New Roman" w:hAnsi="Times New Roman" w:eastAsia="仿宋_GB2312" w:cs="Times New Roman"/>
                <w:i w:val="0"/>
                <w:iCs w:val="0"/>
                <w:color w:val="auto"/>
                <w:kern w:val="0"/>
                <w:sz w:val="20"/>
                <w:szCs w:val="20"/>
                <w:highlight w:val="none"/>
                <w:u w:val="none"/>
                <w:lang w:val="en-US" w:eastAsia="zh-CN" w:bidi="ar"/>
              </w:rPr>
              <w:t>8</w:t>
            </w:r>
            <w:r>
              <w:rPr>
                <w:rFonts w:hint="eastAsia" w:ascii="仿宋_GB2312" w:hAnsi="宋体" w:eastAsia="仿宋_GB2312" w:cs="仿宋_GB2312"/>
                <w:i w:val="0"/>
                <w:iCs w:val="0"/>
                <w:color w:val="auto"/>
                <w:kern w:val="0"/>
                <w:sz w:val="20"/>
                <w:szCs w:val="20"/>
                <w:highlight w:val="none"/>
                <w:u w:val="none"/>
                <w:lang w:val="en-US" w:eastAsia="zh-CN" w:bidi="ar"/>
              </w:rPr>
              <w:t>小时的服务要求。</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每多配</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人，加</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default" w:ascii="Times New Roman" w:hAnsi="Times New Roman" w:eastAsia="仿宋_GB2312" w:cs="Times New Roman"/>
                <w:i w:val="0"/>
                <w:iCs w:val="0"/>
                <w:color w:val="auto"/>
                <w:kern w:val="0"/>
                <w:sz w:val="20"/>
                <w:szCs w:val="20"/>
                <w:highlight w:val="none"/>
                <w:u w:val="none"/>
                <w:lang w:val="en-US" w:eastAsia="zh-CN" w:bidi="ar"/>
              </w:rPr>
              <w:t>2.</w:t>
            </w:r>
            <w:r>
              <w:rPr>
                <w:rFonts w:hint="eastAsia" w:ascii="仿宋_GB2312" w:hAnsi="宋体" w:eastAsia="仿宋_GB2312" w:cs="仿宋_GB2312"/>
                <w:i w:val="0"/>
                <w:iCs w:val="0"/>
                <w:color w:val="auto"/>
                <w:kern w:val="0"/>
                <w:sz w:val="20"/>
                <w:szCs w:val="20"/>
                <w:highlight w:val="none"/>
                <w:u w:val="none"/>
                <w:lang w:val="en-US" w:eastAsia="zh-CN" w:bidi="ar"/>
              </w:rPr>
              <w:t>站点常态化运营时间全年平均每天多</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个小时的，加</w:t>
            </w:r>
            <w:r>
              <w:rPr>
                <w:rFonts w:hint="default" w:ascii="Times New Roman" w:hAnsi="Times New Roman" w:eastAsia="仿宋_GB2312" w:cs="Times New Roman"/>
                <w:i w:val="0"/>
                <w:iCs w:val="0"/>
                <w:color w:val="auto"/>
                <w:kern w:val="0"/>
                <w:sz w:val="20"/>
                <w:szCs w:val="20"/>
                <w:highlight w:val="none"/>
                <w:u w:val="none"/>
                <w:lang w:val="en-US" w:eastAsia="zh-CN" w:bidi="ar"/>
              </w:rPr>
              <w:t>0.5</w:t>
            </w:r>
            <w:r>
              <w:rPr>
                <w:rFonts w:hint="eastAsia" w:ascii="仿宋_GB2312" w:hAnsi="宋体"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default" w:ascii="Times New Roman" w:hAnsi="Times New Roman" w:eastAsia="仿宋_GB2312" w:cs="Times New Roman"/>
                <w:i w:val="0"/>
                <w:iCs w:val="0"/>
                <w:color w:val="auto"/>
                <w:kern w:val="0"/>
                <w:sz w:val="20"/>
                <w:szCs w:val="20"/>
                <w:highlight w:val="none"/>
                <w:u w:val="none"/>
                <w:lang w:val="en-US" w:eastAsia="zh-CN" w:bidi="ar"/>
              </w:rPr>
              <w:t>3.</w:t>
            </w:r>
            <w:r>
              <w:rPr>
                <w:rFonts w:hint="eastAsia" w:ascii="仿宋_GB2312" w:hAnsi="宋体"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次站长未履职的，扣</w:t>
            </w:r>
            <w:r>
              <w:rPr>
                <w:rFonts w:hint="default" w:ascii="Times New Roman" w:hAnsi="Times New Roman" w:eastAsia="仿宋_GB2312" w:cs="Times New Roman"/>
                <w:i w:val="0"/>
                <w:iCs w:val="0"/>
                <w:color w:val="auto"/>
                <w:kern w:val="0"/>
                <w:sz w:val="20"/>
                <w:szCs w:val="20"/>
                <w:highlight w:val="none"/>
                <w:u w:val="none"/>
                <w:lang w:val="en-US" w:eastAsia="zh-CN" w:bidi="ar"/>
              </w:rPr>
              <w:t>0.5</w:t>
            </w:r>
            <w:r>
              <w:rPr>
                <w:rFonts w:hint="eastAsia" w:ascii="仿宋_GB2312" w:hAnsi="宋体"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default" w:ascii="Times New Roman" w:hAnsi="Times New Roman" w:eastAsia="仿宋_GB2312" w:cs="Times New Roman"/>
                <w:i w:val="0"/>
                <w:iCs w:val="0"/>
                <w:color w:val="auto"/>
                <w:kern w:val="0"/>
                <w:sz w:val="20"/>
                <w:szCs w:val="20"/>
                <w:highlight w:val="none"/>
                <w:u w:val="none"/>
                <w:lang w:val="en-US" w:eastAsia="zh-CN" w:bidi="ar"/>
              </w:rPr>
              <w:t>4.</w:t>
            </w:r>
            <w:r>
              <w:rPr>
                <w:rFonts w:hint="eastAsia" w:ascii="仿宋_GB2312" w:hAnsi="宋体"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次专职人员不在岗的，扣</w:t>
            </w:r>
            <w:r>
              <w:rPr>
                <w:rFonts w:hint="default" w:ascii="Times New Roman" w:hAnsi="Times New Roman" w:eastAsia="仿宋_GB2312" w:cs="Times New Roman"/>
                <w:i w:val="0"/>
                <w:iCs w:val="0"/>
                <w:color w:val="auto"/>
                <w:kern w:val="0"/>
                <w:sz w:val="20"/>
                <w:szCs w:val="20"/>
                <w:highlight w:val="none"/>
                <w:u w:val="none"/>
                <w:lang w:val="en-US" w:eastAsia="zh-CN" w:bidi="ar"/>
              </w:rPr>
              <w:t>0.5</w:t>
            </w:r>
            <w:r>
              <w:rPr>
                <w:rFonts w:hint="eastAsia" w:ascii="仿宋_GB2312" w:hAnsi="宋体"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default" w:ascii="Times New Roman" w:hAnsi="Times New Roman" w:eastAsia="仿宋_GB2312" w:cs="Times New Roman"/>
                <w:i w:val="0"/>
                <w:iCs w:val="0"/>
                <w:color w:val="auto"/>
                <w:kern w:val="0"/>
                <w:sz w:val="20"/>
                <w:szCs w:val="20"/>
                <w:highlight w:val="none"/>
                <w:u w:val="none"/>
                <w:lang w:val="en-US" w:eastAsia="zh-CN" w:bidi="ar"/>
              </w:rPr>
              <w:t>5.</w:t>
            </w:r>
            <w:r>
              <w:rPr>
                <w:rFonts w:hint="eastAsia" w:ascii="仿宋_GB2312" w:hAnsi="宋体" w:eastAsia="仿宋_GB2312" w:cs="仿宋_GB2312"/>
                <w:i w:val="0"/>
                <w:iCs w:val="0"/>
                <w:color w:val="auto"/>
                <w:kern w:val="0"/>
                <w:sz w:val="20"/>
                <w:szCs w:val="20"/>
                <w:highlight w:val="none"/>
                <w:u w:val="none"/>
                <w:lang w:val="en-US" w:eastAsia="zh-CN" w:bidi="ar"/>
              </w:rPr>
              <w:t>每发现服务天数少</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天的，扣</w:t>
            </w:r>
            <w:r>
              <w:rPr>
                <w:rFonts w:hint="default" w:ascii="Times New Roman" w:hAnsi="Times New Roman" w:eastAsia="仿宋_GB2312" w:cs="Times New Roman"/>
                <w:i w:val="0"/>
                <w:iCs w:val="0"/>
                <w:color w:val="auto"/>
                <w:kern w:val="0"/>
                <w:sz w:val="20"/>
                <w:szCs w:val="20"/>
                <w:highlight w:val="none"/>
                <w:u w:val="none"/>
                <w:lang w:val="en-US" w:eastAsia="zh-CN" w:bidi="ar"/>
              </w:rPr>
              <w:t>0.2</w:t>
            </w:r>
            <w:r>
              <w:rPr>
                <w:rFonts w:hint="eastAsia" w:ascii="仿宋_GB2312" w:hAnsi="宋体"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仿宋_GB2312" w:cs="Times New Roman"/>
                <w:i w:val="0"/>
                <w:iCs w:val="0"/>
                <w:color w:val="auto"/>
                <w:kern w:val="0"/>
                <w:sz w:val="20"/>
                <w:szCs w:val="20"/>
                <w:highlight w:val="none"/>
                <w:u w:val="none"/>
                <w:lang w:val="en-US" w:eastAsia="zh-CN" w:bidi="ar"/>
              </w:rPr>
              <w:t>6.</w:t>
            </w:r>
            <w:r>
              <w:rPr>
                <w:rFonts w:hint="eastAsia" w:ascii="仿宋_GB2312" w:hAnsi="宋体" w:eastAsia="仿宋_GB2312" w:cs="仿宋_GB2312"/>
                <w:i w:val="0"/>
                <w:iCs w:val="0"/>
                <w:color w:val="auto"/>
                <w:kern w:val="0"/>
                <w:sz w:val="20"/>
                <w:szCs w:val="20"/>
                <w:highlight w:val="none"/>
                <w:u w:val="none"/>
                <w:lang w:val="en-US" w:eastAsia="zh-CN" w:bidi="ar"/>
              </w:rPr>
              <w:t>每发现服务时长少</w:t>
            </w:r>
            <w:r>
              <w:rPr>
                <w:rFonts w:hint="default" w:ascii="Times New Roman" w:hAnsi="Times New Roman" w:eastAsia="仿宋_GB2312" w:cs="Times New Roman"/>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个小时，扣</w:t>
            </w:r>
            <w:r>
              <w:rPr>
                <w:rFonts w:hint="default" w:ascii="Times New Roman" w:hAnsi="Times New Roman" w:eastAsia="仿宋_GB2312" w:cs="Times New Roman"/>
                <w:i w:val="0"/>
                <w:iCs w:val="0"/>
                <w:color w:val="auto"/>
                <w:kern w:val="0"/>
                <w:sz w:val="20"/>
                <w:szCs w:val="20"/>
                <w:highlight w:val="none"/>
                <w:u w:val="none"/>
                <w:lang w:val="en-US" w:eastAsia="zh-CN" w:bidi="ar"/>
              </w:rPr>
              <w:t>0.1</w:t>
            </w:r>
            <w:r>
              <w:rPr>
                <w:rFonts w:hint="eastAsia" w:ascii="仿宋_GB2312" w:hAnsi="宋体"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仿宋_GB2312" w:cs="Times New Roman"/>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本项合计最高加</w:t>
            </w:r>
            <w:r>
              <w:rPr>
                <w:rFonts w:hint="default" w:ascii="Times New Roman" w:hAnsi="Times New Roman" w:eastAsia="仿宋_GB2312" w:cs="Times New Roman"/>
                <w:i w:val="0"/>
                <w:iCs w:val="0"/>
                <w:color w:val="auto"/>
                <w:kern w:val="0"/>
                <w:sz w:val="20"/>
                <w:szCs w:val="20"/>
                <w:highlight w:val="none"/>
                <w:u w:val="none"/>
                <w:lang w:val="en-US" w:eastAsia="zh-CN" w:bidi="ar"/>
              </w:rPr>
              <w:t>2</w:t>
            </w:r>
            <w:r>
              <w:rPr>
                <w:rFonts w:hint="eastAsia" w:ascii="仿宋_GB2312" w:hAnsi="宋体"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仿宋_GB2312" w:cs="Times New Roman"/>
                <w:i w:val="0"/>
                <w:iCs w:val="0"/>
                <w:color w:val="auto"/>
                <w:kern w:val="0"/>
                <w:sz w:val="20"/>
                <w:szCs w:val="20"/>
                <w:highlight w:val="none"/>
                <w:u w:val="none"/>
                <w:lang w:val="en-US" w:eastAsia="zh-CN" w:bidi="ar"/>
              </w:rPr>
              <w:t>10</w:t>
            </w:r>
            <w:r>
              <w:rPr>
                <w:rFonts w:hint="eastAsia" w:ascii="仿宋_GB2312" w:hAnsi="宋体"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538BCF28">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根据就业服务站提供考勤表、合同等佐证材料进行考核。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2CFE538">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2838F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60D14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6E5D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118391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759DEB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服务标识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7C3FCCE2">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统一命名规则、统一视觉识别、统一服务清单、统一服务规范。</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次标识标牌、徽标图案等损坏且不及时维修更换的，扣</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次命名规则、服务站简介、服务背景、服务网点分布图、服务事项清单、服务标语、服务指引、服务时间、服务团队、管理服务规范等不符合要求或未及时更新内容的，扣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制定管理服务规范（含首问负责制、限时办结制、一次性告知制等）、安全生产管理、卫生管理、人员管理、设施设备管理、保密管理等制度并遵照执行，每发现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项不符合要求的，扣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次未在显眼位置张贴服务二维码的，扣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5.</w:t>
            </w:r>
            <w:r>
              <w:rPr>
                <w:rFonts w:hint="eastAsia" w:ascii="仿宋_GB2312" w:hAnsi="Times New Roman" w:eastAsia="仿宋_GB2312" w:cs="仿宋_GB2312"/>
                <w:i w:val="0"/>
                <w:iCs w:val="0"/>
                <w:color w:val="auto"/>
                <w:kern w:val="0"/>
                <w:sz w:val="20"/>
                <w:szCs w:val="20"/>
                <w:highlight w:val="none"/>
                <w:u w:val="none"/>
                <w:lang w:val="en-US" w:eastAsia="zh-CN" w:bidi="ar"/>
              </w:rPr>
              <w:t>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次工作人员未统一着装或配挂工牌的，扣</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0F29523">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根据就业服务站现场配备情况进行考核。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167DA25">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62AF7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4840C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D19B0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4DD8F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3D8E2B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服务台账</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372118A">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通过信息平台（无信息平台的通过纸质材料）对业务开展过程中产生的求职人员、用人单位的服务台账（包括但不限于咨询、求职、用工、就业服务和活动组织等内容）进行及时、分类归档（关键档案需提供原始纸质或影像材料支撑），每发现</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项不符合要求的，扣</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分，最高扣</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5B628B11">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通过查阅服务台账，核实第三方平台数据进行考核。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839A861">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7CC5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070CA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7F7ED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1EC6A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10AF4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服务系统</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5</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5D267A6">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能统一接入、使用南宁市人力资源和社会保障局指定或认可的线上公共就业服务平台，实时收集、更新、发布及跟踪招聘求职培训创业信息，未能接入的扣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3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实现就业</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一库一平台</w:t>
            </w:r>
            <w:r>
              <w:rPr>
                <w:rFonts w:hint="default" w:ascii="Times New Roman" w:hAnsi="Times New Roman" w:eastAsia="宋体" w:cs="Times New Roman"/>
                <w:i w:val="0"/>
                <w:iCs w:val="0"/>
                <w:color w:val="auto"/>
                <w:kern w:val="0"/>
                <w:sz w:val="20"/>
                <w:szCs w:val="20"/>
                <w:highlight w:val="none"/>
                <w:u w:val="none"/>
                <w:lang w:val="en-US" w:eastAsia="zh-CN" w:bidi="ar"/>
              </w:rPr>
              <w:t xml:space="preserve">” </w:t>
            </w:r>
            <w:r>
              <w:rPr>
                <w:rFonts w:hint="eastAsia" w:ascii="仿宋_GB2312" w:hAnsi="Times New Roman" w:eastAsia="仿宋_GB2312" w:cs="仿宋_GB2312"/>
                <w:i w:val="0"/>
                <w:iCs w:val="0"/>
                <w:color w:val="auto"/>
                <w:kern w:val="0"/>
                <w:sz w:val="20"/>
                <w:szCs w:val="20"/>
                <w:highlight w:val="none"/>
                <w:u w:val="none"/>
                <w:lang w:val="en-US" w:eastAsia="zh-CN" w:bidi="ar"/>
              </w:rPr>
              <w:t>数据互联互通，未能实现的扣</w:t>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3.</w:t>
            </w:r>
            <w:r>
              <w:rPr>
                <w:rFonts w:hint="eastAsia" w:ascii="仿宋_GB2312" w:hAnsi="Times New Roman" w:eastAsia="仿宋_GB2312" w:cs="仿宋_GB2312"/>
                <w:i w:val="0"/>
                <w:iCs w:val="0"/>
                <w:color w:val="auto"/>
                <w:kern w:val="0"/>
                <w:sz w:val="20"/>
                <w:szCs w:val="20"/>
                <w:highlight w:val="none"/>
                <w:u w:val="none"/>
                <w:lang w:val="en-US" w:eastAsia="zh-CN" w:bidi="ar"/>
              </w:rPr>
              <w:t>建立多级调度监测机制，能远程监测和科学直观了解本辖区服务网点的运营数据，实现分站点、分时段、分类型等服务数据监测、分析、统计、调度、展示等，未能实现的扣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3 </w:t>
            </w:r>
            <w:r>
              <w:rPr>
                <w:rFonts w:hint="eastAsia" w:ascii="仿宋_GB2312" w:hAnsi="Times New Roman" w:eastAsia="仿宋_GB2312" w:cs="仿宋_GB2312"/>
                <w:i w:val="0"/>
                <w:iCs w:val="0"/>
                <w:color w:val="auto"/>
                <w:kern w:val="0"/>
                <w:sz w:val="20"/>
                <w:szCs w:val="20"/>
                <w:highlight w:val="none"/>
                <w:u w:val="none"/>
                <w:lang w:val="en-US" w:eastAsia="zh-CN" w:bidi="ar"/>
              </w:rPr>
              <w:t>分；</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4.</w:t>
            </w:r>
            <w:r>
              <w:rPr>
                <w:rFonts w:hint="eastAsia" w:ascii="仿宋_GB2312" w:hAnsi="Times New Roman" w:eastAsia="仿宋_GB2312" w:cs="仿宋_GB2312"/>
                <w:i w:val="0"/>
                <w:iCs w:val="0"/>
                <w:color w:val="auto"/>
                <w:kern w:val="0"/>
                <w:sz w:val="20"/>
                <w:szCs w:val="20"/>
                <w:highlight w:val="none"/>
                <w:u w:val="none"/>
                <w:lang w:val="en-US" w:eastAsia="zh-CN" w:bidi="ar"/>
              </w:rPr>
              <w:t>能远程实时监控和调度本辖区服务站点运营方工作人员的服务状况和站点运行情况，并能接受上级（或中枢性）网点监控和调度，未能实现的扣</w:t>
            </w:r>
            <w:r>
              <w:rPr>
                <w:rFonts w:hint="default" w:ascii="Times New Roman" w:hAnsi="Times New Roman" w:eastAsia="宋体" w:cs="Times New Roman"/>
                <w:i w:val="0"/>
                <w:iCs w:val="0"/>
                <w:color w:val="auto"/>
                <w:kern w:val="0"/>
                <w:sz w:val="20"/>
                <w:szCs w:val="20"/>
                <w:highlight w:val="none"/>
                <w:u w:val="none"/>
                <w:lang w:val="en-US" w:eastAsia="zh-CN" w:bidi="ar"/>
              </w:rPr>
              <w:t xml:space="preserve">3 </w:t>
            </w:r>
            <w:r>
              <w:rPr>
                <w:rFonts w:hint="eastAsia" w:ascii="仿宋_GB2312" w:hAnsi="Times New Roman" w:eastAsia="仿宋_GB2312" w:cs="仿宋_GB2312"/>
                <w:i w:val="0"/>
                <w:iCs w:val="0"/>
                <w:color w:val="auto"/>
                <w:kern w:val="0"/>
                <w:sz w:val="20"/>
                <w:szCs w:val="20"/>
                <w:highlight w:val="none"/>
                <w:u w:val="none"/>
                <w:lang w:val="en-US" w:eastAsia="zh-CN" w:bidi="ar"/>
              </w:rPr>
              <w:t>分。本项合计最高扣</w:t>
            </w:r>
            <w:r>
              <w:rPr>
                <w:rFonts w:hint="default" w:ascii="Times New Roman" w:hAnsi="Times New Roman" w:eastAsia="宋体" w:cs="Times New Roman"/>
                <w:i w:val="0"/>
                <w:iCs w:val="0"/>
                <w:color w:val="auto"/>
                <w:kern w:val="0"/>
                <w:sz w:val="20"/>
                <w:szCs w:val="20"/>
                <w:highlight w:val="none"/>
                <w:u w:val="none"/>
                <w:lang w:val="en-US" w:eastAsia="zh-CN" w:bidi="ar"/>
              </w:rPr>
              <w:t>10</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4D9686DD">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根据提供的平台数据和与广西“数智”人社系统的使用、数据互通情况进行考核。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61AA045">
            <w:pPr>
              <w:keepNext w:val="0"/>
              <w:keepLines w:val="0"/>
              <w:suppressLineNumbers w:val="0"/>
              <w:spacing w:before="0" w:beforeAutospacing="0" w:after="0" w:afterAutospacing="0"/>
              <w:ind w:left="0" w:right="0"/>
              <w:jc w:val="both"/>
              <w:rPr>
                <w:rFonts w:hint="eastAsia" w:ascii="仿宋_GB2312" w:hAnsi="宋体" w:eastAsia="仿宋_GB2312" w:cs="仿宋_GB2312"/>
                <w:i w:val="0"/>
                <w:iCs w:val="0"/>
                <w:color w:val="auto"/>
                <w:sz w:val="20"/>
                <w:szCs w:val="20"/>
                <w:highlight w:val="none"/>
                <w:u w:val="single"/>
              </w:rPr>
            </w:pPr>
          </w:p>
        </w:tc>
      </w:tr>
      <w:tr w14:paraId="5279D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88432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7975AD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19</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75C546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品牌建设</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+5</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E9C07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经验推广</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6C832287">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在市级以上培训、会议、简报、文件做经验介绍或推广，国家级，加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分；省级，加</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分；市级，加</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分，最高加</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56B7EBE">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由就业服务站提供相关佐证材料。</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E95AA2E">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52D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DBF45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EA04E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35286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5E6B6F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正面报道</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3B44D66F">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获得市级以上主流媒体（包括但不限于报刊、杂志、电视、广播、网络）正面报道的，国家级，加</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分；省级，加</w:t>
            </w:r>
            <w:r>
              <w:rPr>
                <w:rFonts w:hint="default" w:ascii="Times New Roman" w:hAnsi="Times New Roman" w:eastAsia="宋体" w:cs="Times New Roman"/>
                <w:i w:val="0"/>
                <w:iCs w:val="0"/>
                <w:color w:val="auto"/>
                <w:kern w:val="0"/>
                <w:sz w:val="20"/>
                <w:szCs w:val="20"/>
                <w:highlight w:val="none"/>
                <w:u w:val="none"/>
                <w:lang w:val="en-US" w:eastAsia="zh-CN" w:bidi="ar"/>
              </w:rPr>
              <w:t>0.2</w:t>
            </w:r>
            <w:r>
              <w:rPr>
                <w:rFonts w:hint="eastAsia" w:ascii="仿宋_GB2312" w:hAnsi="Times New Roman" w:eastAsia="仿宋_GB2312" w:cs="仿宋_GB2312"/>
                <w:i w:val="0"/>
                <w:iCs w:val="0"/>
                <w:color w:val="auto"/>
                <w:kern w:val="0"/>
                <w:sz w:val="20"/>
                <w:szCs w:val="20"/>
                <w:highlight w:val="none"/>
                <w:u w:val="none"/>
                <w:lang w:val="en-US" w:eastAsia="zh-CN" w:bidi="ar"/>
              </w:rPr>
              <w:t>分；市级，加</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分，最高加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3902422">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由就业服务站提供相关佐证材料。</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2202857F">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4DF53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138B1E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73D67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071F4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4D600A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肯定表扬</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AEAD942">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获得上级部门主要领导肯定表扬的，国家级，加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分；省级，加</w:t>
            </w:r>
            <w:r>
              <w:rPr>
                <w:rFonts w:hint="default" w:ascii="Times New Roman" w:hAnsi="Times New Roman" w:eastAsia="宋体" w:cs="Times New Roman"/>
                <w:i w:val="0"/>
                <w:iCs w:val="0"/>
                <w:color w:val="auto"/>
                <w:kern w:val="0"/>
                <w:sz w:val="20"/>
                <w:szCs w:val="20"/>
                <w:highlight w:val="none"/>
                <w:u w:val="none"/>
                <w:lang w:val="en-US" w:eastAsia="zh-CN" w:bidi="ar"/>
              </w:rPr>
              <w:t>0.5</w:t>
            </w:r>
            <w:r>
              <w:rPr>
                <w:rFonts w:hint="eastAsia" w:ascii="仿宋_GB2312" w:hAnsi="Times New Roman" w:eastAsia="仿宋_GB2312" w:cs="仿宋_GB2312"/>
                <w:i w:val="0"/>
                <w:iCs w:val="0"/>
                <w:color w:val="auto"/>
                <w:kern w:val="0"/>
                <w:sz w:val="20"/>
                <w:szCs w:val="20"/>
                <w:highlight w:val="none"/>
                <w:u w:val="none"/>
                <w:lang w:val="en-US" w:eastAsia="zh-CN" w:bidi="ar"/>
              </w:rPr>
              <w:t>分；市级，加</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分，最高加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2CAB1CF7">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由就业服务站提供相关佐证材料。</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2553B5E">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1BF5F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7E31C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C08F9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C4346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75A086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现场观摩</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4B3D9AB3">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接待市级以上单位现场观摩的，国家级，加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分；省级，加</w:t>
            </w:r>
            <w:r>
              <w:rPr>
                <w:rFonts w:hint="default" w:ascii="Times New Roman" w:hAnsi="Times New Roman" w:eastAsia="宋体" w:cs="Times New Roman"/>
                <w:i w:val="0"/>
                <w:iCs w:val="0"/>
                <w:color w:val="auto"/>
                <w:kern w:val="0"/>
                <w:sz w:val="20"/>
                <w:szCs w:val="20"/>
                <w:highlight w:val="none"/>
                <w:u w:val="none"/>
                <w:lang w:val="en-US" w:eastAsia="zh-CN" w:bidi="ar"/>
              </w:rPr>
              <w:t>0.2</w:t>
            </w:r>
            <w:r>
              <w:rPr>
                <w:rFonts w:hint="eastAsia" w:ascii="仿宋_GB2312" w:hAnsi="Times New Roman" w:eastAsia="仿宋_GB2312" w:cs="仿宋_GB2312"/>
                <w:i w:val="0"/>
                <w:iCs w:val="0"/>
                <w:color w:val="auto"/>
                <w:kern w:val="0"/>
                <w:sz w:val="20"/>
                <w:szCs w:val="20"/>
                <w:highlight w:val="none"/>
                <w:u w:val="none"/>
                <w:lang w:val="en-US" w:eastAsia="zh-CN" w:bidi="ar"/>
              </w:rPr>
              <w:t>分；市级，加</w:t>
            </w:r>
            <w:r>
              <w:rPr>
                <w:rFonts w:hint="default" w:ascii="Times New Roman" w:hAnsi="Times New Roman" w:eastAsia="宋体" w:cs="Times New Roman"/>
                <w:i w:val="0"/>
                <w:iCs w:val="0"/>
                <w:color w:val="auto"/>
                <w:kern w:val="0"/>
                <w:sz w:val="20"/>
                <w:szCs w:val="20"/>
                <w:highlight w:val="none"/>
                <w:u w:val="none"/>
                <w:lang w:val="en-US" w:eastAsia="zh-CN" w:bidi="ar"/>
              </w:rPr>
              <w:t>0.1</w:t>
            </w:r>
            <w:r>
              <w:rPr>
                <w:rFonts w:hint="eastAsia" w:ascii="仿宋_GB2312" w:hAnsi="Times New Roman" w:eastAsia="仿宋_GB2312" w:cs="仿宋_GB2312"/>
                <w:i w:val="0"/>
                <w:iCs w:val="0"/>
                <w:color w:val="auto"/>
                <w:kern w:val="0"/>
                <w:sz w:val="20"/>
                <w:szCs w:val="20"/>
                <w:highlight w:val="none"/>
                <w:u w:val="none"/>
                <w:lang w:val="en-US" w:eastAsia="zh-CN" w:bidi="ar"/>
              </w:rPr>
              <w:t>分，最高加</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548C327A">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由就业服务站提供相关佐证材料。</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6015F3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4F28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07DC9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restart"/>
            <w:tcBorders>
              <w:top w:val="single" w:color="000000" w:sz="4" w:space="0"/>
              <w:left w:val="single" w:color="000000" w:sz="4" w:space="0"/>
              <w:bottom w:val="single" w:color="000000" w:sz="4" w:space="0"/>
              <w:right w:val="single" w:color="000000" w:sz="4" w:space="0"/>
            </w:tcBorders>
            <w:noWrap w:val="0"/>
            <w:vAlign w:val="center"/>
          </w:tcPr>
          <w:p w14:paraId="720C3D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20</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520243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风险管控</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-10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0FEA48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安全生产</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006841BA">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经应急管理部门、行业主管安全生产监管部门定性为安全生产责任事故的，实行一票否决制（当年度考核不合格，下同）；一般安全生产隐患或轻微责任事故，视整改及时性和造成影响程度，扣</w:t>
            </w:r>
            <w:r>
              <w:rPr>
                <w:rFonts w:hint="default" w:ascii="Times New Roman" w:hAnsi="Times New Roman" w:eastAsia="宋体" w:cs="Times New Roman"/>
                <w:i w:val="0"/>
                <w:iCs w:val="0"/>
                <w:color w:val="auto"/>
                <w:kern w:val="0"/>
                <w:sz w:val="20"/>
                <w:szCs w:val="20"/>
                <w:highlight w:val="none"/>
                <w:u w:val="none"/>
                <w:lang w:val="en-US" w:eastAsia="zh-CN" w:bidi="ar"/>
              </w:rPr>
              <w:t>1-2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2EF7A06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根据相关部门出具的认定书进行考核。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2199ACB">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73166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FE683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AFD3D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4CE1B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191629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违法乱纪</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D1F2DD5">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经公安等部门定性存在违法犯罪行为或严重违法违规问题的，实行一票否决制；存在轻微违规行为且被相关部门通报批评的，视情节严重程度，扣</w:t>
            </w:r>
            <w:r>
              <w:rPr>
                <w:rFonts w:hint="default" w:ascii="Times New Roman" w:hAnsi="Times New Roman" w:eastAsia="宋体" w:cs="Times New Roman"/>
                <w:i w:val="0"/>
                <w:iCs w:val="0"/>
                <w:color w:val="auto"/>
                <w:kern w:val="0"/>
                <w:sz w:val="20"/>
                <w:szCs w:val="20"/>
                <w:highlight w:val="none"/>
                <w:u w:val="none"/>
                <w:lang w:val="en-US" w:eastAsia="zh-CN" w:bidi="ar"/>
              </w:rPr>
              <w:t>1-2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182243D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根据相关部门出具的认定书进行考核。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3E793A3">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58F1E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DA1B7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A5B41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C35A0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511627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数据安全</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6C8331A2">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经网信部门、公安部门等定性存在重大数据泄露、违规处理数据等违反《数据安全法》《个人信息保护法》行为的，实行一票否决制；存在一般数据安全问题且被相关部门责令整改的，视数据敏感程度和影响范围，扣</w:t>
            </w:r>
            <w:r>
              <w:rPr>
                <w:rFonts w:hint="default" w:ascii="Times New Roman" w:hAnsi="Times New Roman" w:eastAsia="宋体" w:cs="Times New Roman"/>
                <w:i w:val="0"/>
                <w:iCs w:val="0"/>
                <w:color w:val="auto"/>
                <w:kern w:val="0"/>
                <w:sz w:val="20"/>
                <w:szCs w:val="20"/>
                <w:highlight w:val="none"/>
                <w:u w:val="none"/>
                <w:lang w:val="en-US" w:eastAsia="zh-CN" w:bidi="ar"/>
              </w:rPr>
              <w:t>1-2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46B92F4">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根据相关部门出具的认定书进行考核。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71E2695">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085E7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B3DBB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62B1E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4456E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6B6E97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负面舆情</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1B98C8D5">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经宣传部门、网信部门等定性因自身原因引发重大负面舆情，造成恶劣社会影响且处置不力的，实行一票否决制；引发一般负面舆情但及时有效处置的，视舆情传播范围和影响程度，扣</w:t>
            </w:r>
            <w:r>
              <w:rPr>
                <w:rFonts w:hint="default" w:ascii="Times New Roman" w:hAnsi="Times New Roman" w:eastAsia="宋体" w:cs="Times New Roman"/>
                <w:i w:val="0"/>
                <w:iCs w:val="0"/>
                <w:color w:val="auto"/>
                <w:kern w:val="0"/>
                <w:sz w:val="20"/>
                <w:szCs w:val="20"/>
                <w:highlight w:val="none"/>
                <w:u w:val="none"/>
                <w:lang w:val="en-US" w:eastAsia="zh-CN" w:bidi="ar"/>
              </w:rPr>
              <w:t>1-2</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313FC48B">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根据相关部门出具的认定书进行考核。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3CFACBB">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r w14:paraId="2FF5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4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B84AF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strike/>
                <w:color w:val="auto"/>
                <w:sz w:val="20"/>
                <w:szCs w:val="20"/>
                <w:highlight w:val="none"/>
              </w:rPr>
            </w:pPr>
          </w:p>
        </w:tc>
        <w:tc>
          <w:tcPr>
            <w:tcW w:w="3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FF22A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E906F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0"/>
                <w:szCs w:val="20"/>
                <w:highlight w:val="none"/>
                <w:u w:val="none"/>
              </w:rPr>
            </w:pPr>
          </w:p>
        </w:tc>
        <w:tc>
          <w:tcPr>
            <w:tcW w:w="1020" w:type="pct"/>
            <w:tcBorders>
              <w:top w:val="single" w:color="000000" w:sz="4" w:space="0"/>
              <w:left w:val="single" w:color="000000" w:sz="4" w:space="0"/>
              <w:bottom w:val="single" w:color="000000" w:sz="4" w:space="0"/>
              <w:right w:val="single" w:color="000000" w:sz="4" w:space="0"/>
            </w:tcBorders>
            <w:noWrap w:val="0"/>
            <w:vAlign w:val="center"/>
          </w:tcPr>
          <w:p w14:paraId="741349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仿宋_GB2312" w:hAnsi="Times New Roman" w:eastAsia="仿宋_GB2312" w:cs="仿宋_GB2312"/>
                <w:i w:val="0"/>
                <w:iCs w:val="0"/>
                <w:color w:val="auto"/>
                <w:kern w:val="0"/>
                <w:sz w:val="20"/>
                <w:szCs w:val="20"/>
                <w:highlight w:val="none"/>
                <w:u w:val="none"/>
                <w:lang w:val="en-US" w:eastAsia="zh-CN" w:bidi="ar"/>
              </w:rPr>
              <w:t>违规收费</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仿宋_GB2312" w:hAnsi="Times New Roman" w:eastAsia="仿宋_GB2312" w:cs="仿宋_GB2312"/>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 xml:space="preserve">-2 </w:t>
            </w:r>
            <w:r>
              <w:rPr>
                <w:rFonts w:hint="eastAsia" w:ascii="仿宋_GB2312" w:hAnsi="Times New Roman" w:eastAsia="仿宋_GB2312" w:cs="仿宋_GB2312"/>
                <w:i w:val="0"/>
                <w:iCs w:val="0"/>
                <w:color w:val="auto"/>
                <w:kern w:val="0"/>
                <w:sz w:val="20"/>
                <w:szCs w:val="20"/>
                <w:highlight w:val="none"/>
                <w:u w:val="none"/>
                <w:lang w:val="en-US" w:eastAsia="zh-CN" w:bidi="ar"/>
              </w:rPr>
              <w:t>分）</w:t>
            </w:r>
          </w:p>
        </w:tc>
        <w:tc>
          <w:tcPr>
            <w:tcW w:w="1363" w:type="pct"/>
            <w:tcBorders>
              <w:top w:val="single" w:color="000000" w:sz="4" w:space="0"/>
              <w:left w:val="single" w:color="000000" w:sz="4" w:space="0"/>
              <w:bottom w:val="single" w:color="000000" w:sz="4" w:space="0"/>
              <w:right w:val="single" w:color="000000" w:sz="4" w:space="0"/>
            </w:tcBorders>
            <w:noWrap w:val="0"/>
            <w:vAlign w:val="center"/>
          </w:tcPr>
          <w:p w14:paraId="27F9BBC5">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auto"/>
                <w:sz w:val="20"/>
                <w:szCs w:val="20"/>
                <w:highlight w:val="none"/>
                <w:u w:val="none"/>
              </w:rPr>
            </w:pPr>
            <w:r>
              <w:rPr>
                <w:rStyle w:val="111"/>
                <w:rFonts w:hint="default" w:hAnsi="Times New Roman"/>
                <w:color w:val="auto"/>
                <w:highlight w:val="none"/>
                <w:lang w:val="en-US" w:eastAsia="zh-CN" w:bidi="ar"/>
              </w:rPr>
              <w:t>经人社部门定性存在超范围收费、超标准收费、乱收费等严重违规收费行为的，实行一票否决制；存在轻微违规收费行为且已整改的，视违规收费金额和涉及范围，扣</w:t>
            </w:r>
            <w:r>
              <w:rPr>
                <w:rFonts w:hint="default" w:ascii="Times New Roman" w:hAnsi="Times New Roman" w:eastAsia="宋体" w:cs="Times New Roman"/>
                <w:i w:val="0"/>
                <w:iCs w:val="0"/>
                <w:color w:val="auto"/>
                <w:kern w:val="0"/>
                <w:sz w:val="20"/>
                <w:szCs w:val="20"/>
                <w:highlight w:val="none"/>
                <w:u w:val="none"/>
                <w:lang w:val="en-US" w:eastAsia="zh-CN" w:bidi="ar"/>
              </w:rPr>
              <w:t>1-2</w:t>
            </w:r>
            <w:r>
              <w:rPr>
                <w:rStyle w:val="111"/>
                <w:rFonts w:hint="default" w:hAnsi="Times New Roman"/>
                <w:color w:val="auto"/>
                <w:highlight w:val="none"/>
                <w:lang w:val="en-US" w:eastAsia="zh-CN" w:bidi="ar"/>
              </w:rPr>
              <w:t>分。</w:t>
            </w:r>
          </w:p>
        </w:tc>
        <w:tc>
          <w:tcPr>
            <w:tcW w:w="934" w:type="pct"/>
            <w:tcBorders>
              <w:top w:val="single" w:color="000000" w:sz="4" w:space="0"/>
              <w:left w:val="single" w:color="000000" w:sz="4" w:space="0"/>
              <w:bottom w:val="single" w:color="000000" w:sz="4" w:space="0"/>
              <w:right w:val="single" w:color="000000" w:sz="4" w:space="0"/>
            </w:tcBorders>
            <w:noWrap/>
            <w:vAlign w:val="center"/>
          </w:tcPr>
          <w:p w14:paraId="78A4ABD9">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根据相关部门出具的认定书进行考核。</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08B0840">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auto"/>
                <w:sz w:val="20"/>
                <w:szCs w:val="20"/>
                <w:highlight w:val="none"/>
                <w:u w:val="none"/>
              </w:rPr>
            </w:pPr>
          </w:p>
        </w:tc>
      </w:tr>
    </w:tbl>
    <w:p w14:paraId="5C61BD48">
      <w:pPr>
        <w:spacing w:line="528" w:lineRule="exact"/>
        <w:jc w:val="left"/>
        <w:rPr>
          <w:rFonts w:hint="eastAsia" w:ascii="Arial Unicode MS" w:hAnsi="Arial Unicode MS" w:eastAsia="Arial Unicode MS" w:cs="Arial Unicode MS"/>
          <w:color w:val="auto"/>
          <w:sz w:val="32"/>
          <w:szCs w:val="32"/>
          <w:highlight w:val="none"/>
        </w:rPr>
      </w:pPr>
    </w:p>
    <w:p w14:paraId="5AEB6B3E">
      <w:pPr>
        <w:spacing w:line="528" w:lineRule="exact"/>
        <w:jc w:val="left"/>
        <w:rPr>
          <w:rFonts w:hint="eastAsia" w:ascii="Arial Unicode MS" w:hAnsi="Arial Unicode MS" w:eastAsia="Arial Unicode MS" w:cs="Arial Unicode MS"/>
          <w:color w:val="auto"/>
          <w:sz w:val="32"/>
          <w:szCs w:val="32"/>
          <w:highlight w:val="none"/>
        </w:rPr>
      </w:pPr>
    </w:p>
    <w:p w14:paraId="0F745056">
      <w:pPr>
        <w:spacing w:line="528" w:lineRule="exact"/>
        <w:jc w:val="left"/>
        <w:rPr>
          <w:rFonts w:hint="eastAsia" w:ascii="Arial Unicode MS" w:hAnsi="Arial Unicode MS" w:eastAsia="Arial Unicode MS" w:cs="Arial Unicode MS"/>
          <w:color w:val="auto"/>
          <w:sz w:val="32"/>
          <w:szCs w:val="32"/>
          <w:highlight w:val="none"/>
        </w:rPr>
      </w:pPr>
    </w:p>
    <w:p w14:paraId="28404AA8">
      <w:pPr>
        <w:spacing w:line="528" w:lineRule="exact"/>
        <w:jc w:val="left"/>
        <w:rPr>
          <w:rFonts w:hint="eastAsia" w:ascii="Arial Unicode MS" w:hAnsi="Arial Unicode MS" w:eastAsia="Arial Unicode MS" w:cs="Arial Unicode MS"/>
          <w:color w:val="auto"/>
          <w:sz w:val="32"/>
          <w:szCs w:val="32"/>
          <w:highlight w:val="none"/>
        </w:rPr>
      </w:pPr>
    </w:p>
    <w:p w14:paraId="33E21F52">
      <w:pPr>
        <w:spacing w:line="528" w:lineRule="exact"/>
        <w:jc w:val="left"/>
        <w:rPr>
          <w:rFonts w:hint="eastAsia" w:ascii="Arial Unicode MS" w:hAnsi="Arial Unicode MS" w:eastAsia="Arial Unicode MS" w:cs="Arial Unicode MS"/>
          <w:color w:val="auto"/>
          <w:sz w:val="32"/>
          <w:szCs w:val="32"/>
          <w:highlight w:val="none"/>
        </w:rPr>
      </w:pPr>
    </w:p>
    <w:p w14:paraId="06E374CD">
      <w:pPr>
        <w:spacing w:line="528" w:lineRule="exact"/>
        <w:jc w:val="left"/>
        <w:rPr>
          <w:rFonts w:hint="eastAsia" w:ascii="Arial Unicode MS" w:hAnsi="Arial Unicode MS" w:eastAsia="Arial Unicode MS" w:cs="Arial Unicode MS"/>
          <w:color w:val="auto"/>
          <w:sz w:val="32"/>
          <w:szCs w:val="32"/>
          <w:highlight w:val="none"/>
        </w:rPr>
      </w:pPr>
    </w:p>
    <w:p w14:paraId="244EAA16">
      <w:pPr>
        <w:spacing w:line="528" w:lineRule="exact"/>
        <w:jc w:val="left"/>
        <w:rPr>
          <w:rFonts w:hint="eastAsia" w:ascii="Arial Unicode MS" w:hAnsi="Arial Unicode MS" w:eastAsia="Arial Unicode MS" w:cs="Arial Unicode MS"/>
          <w:color w:val="auto"/>
          <w:sz w:val="32"/>
          <w:szCs w:val="32"/>
          <w:highlight w:val="none"/>
        </w:rPr>
      </w:pPr>
    </w:p>
    <w:p w14:paraId="47F8F152">
      <w:pPr>
        <w:spacing w:line="528" w:lineRule="exact"/>
        <w:jc w:val="left"/>
        <w:rPr>
          <w:rFonts w:hint="eastAsia" w:ascii="Arial Unicode MS" w:hAnsi="Arial Unicode MS" w:eastAsia="Arial Unicode MS" w:cs="Arial Unicode MS"/>
          <w:color w:val="auto"/>
          <w:sz w:val="32"/>
          <w:szCs w:val="32"/>
          <w:highlight w:val="none"/>
        </w:rPr>
      </w:pPr>
    </w:p>
    <w:p w14:paraId="1AEFCC43">
      <w:pPr>
        <w:spacing w:line="528" w:lineRule="exact"/>
        <w:jc w:val="left"/>
        <w:rPr>
          <w:rFonts w:hint="eastAsia" w:ascii="Arial Unicode MS" w:hAnsi="Arial Unicode MS" w:eastAsia="Arial Unicode MS" w:cs="Arial Unicode MS"/>
          <w:color w:val="auto"/>
          <w:sz w:val="32"/>
          <w:szCs w:val="32"/>
          <w:highlight w:val="none"/>
        </w:rPr>
      </w:pPr>
    </w:p>
    <w:p w14:paraId="0AFBFD3F">
      <w:pPr>
        <w:spacing w:line="528" w:lineRule="exact"/>
        <w:jc w:val="left"/>
        <w:rPr>
          <w:rFonts w:hint="eastAsia" w:ascii="Arial Unicode MS" w:hAnsi="Arial Unicode MS" w:eastAsia="Arial Unicode MS" w:cs="Arial Unicode MS"/>
          <w:color w:val="auto"/>
          <w:sz w:val="32"/>
          <w:szCs w:val="32"/>
          <w:highlight w:val="none"/>
        </w:rPr>
      </w:pPr>
    </w:p>
    <w:p w14:paraId="312F1429">
      <w:pPr>
        <w:spacing w:line="528" w:lineRule="exact"/>
        <w:jc w:val="left"/>
        <w:rPr>
          <w:rFonts w:hint="eastAsia" w:ascii="Arial Unicode MS" w:hAnsi="Arial Unicode MS" w:eastAsia="Arial Unicode MS" w:cs="Arial Unicode MS"/>
          <w:color w:val="auto"/>
          <w:sz w:val="32"/>
          <w:szCs w:val="32"/>
          <w:highlight w:val="none"/>
        </w:rPr>
      </w:pPr>
    </w:p>
    <w:p w14:paraId="745944DE">
      <w:pPr>
        <w:spacing w:line="528" w:lineRule="exact"/>
        <w:jc w:val="left"/>
        <w:rPr>
          <w:rFonts w:hint="eastAsia" w:ascii="Arial Unicode MS" w:hAnsi="Arial Unicode MS" w:eastAsia="Arial Unicode MS" w:cs="Arial Unicode MS"/>
          <w:color w:val="auto"/>
          <w:sz w:val="32"/>
          <w:szCs w:val="32"/>
          <w:highlight w:val="none"/>
        </w:rPr>
      </w:pPr>
    </w:p>
    <w:p w14:paraId="696CE275">
      <w:pPr>
        <w:spacing w:line="528" w:lineRule="exact"/>
        <w:jc w:val="left"/>
        <w:rPr>
          <w:rFonts w:hint="eastAsia" w:ascii="Arial Unicode MS" w:hAnsi="Arial Unicode MS" w:eastAsia="Arial Unicode MS" w:cs="Arial Unicode MS"/>
          <w:color w:val="auto"/>
          <w:sz w:val="32"/>
          <w:szCs w:val="32"/>
          <w:highlight w:val="none"/>
        </w:rPr>
      </w:pPr>
    </w:p>
    <w:p w14:paraId="1145B548">
      <w:pPr>
        <w:spacing w:line="528" w:lineRule="exact"/>
        <w:jc w:val="left"/>
        <w:rPr>
          <w:rFonts w:hint="eastAsia" w:ascii="Arial Unicode MS" w:hAnsi="Arial Unicode MS" w:eastAsia="Arial Unicode MS" w:cs="Arial Unicode MS"/>
          <w:color w:val="auto"/>
          <w:sz w:val="32"/>
          <w:szCs w:val="32"/>
          <w:highlight w:val="none"/>
        </w:rPr>
      </w:pPr>
    </w:p>
    <w:p w14:paraId="6D9CD464">
      <w:pPr>
        <w:spacing w:line="528" w:lineRule="exact"/>
        <w:jc w:val="left"/>
        <w:rPr>
          <w:rFonts w:hint="eastAsia" w:ascii="Arial Unicode MS" w:hAnsi="Arial Unicode MS" w:eastAsia="Arial Unicode MS" w:cs="Arial Unicode MS"/>
          <w:color w:val="auto"/>
          <w:sz w:val="32"/>
          <w:szCs w:val="32"/>
          <w:highlight w:val="none"/>
        </w:rPr>
      </w:pPr>
    </w:p>
    <w:p w14:paraId="47C65143">
      <w:pPr>
        <w:spacing w:line="528" w:lineRule="exact"/>
        <w:jc w:val="left"/>
        <w:rPr>
          <w:rFonts w:hint="eastAsia" w:ascii="Arial Unicode MS" w:hAnsi="Arial Unicode MS" w:eastAsia="Arial Unicode MS" w:cs="Arial Unicode MS"/>
          <w:color w:val="auto"/>
          <w:sz w:val="32"/>
          <w:szCs w:val="32"/>
          <w:highlight w:val="none"/>
        </w:rPr>
      </w:pPr>
    </w:p>
    <w:p w14:paraId="794C3A07">
      <w:pPr>
        <w:spacing w:line="528" w:lineRule="exact"/>
        <w:jc w:val="left"/>
        <w:rPr>
          <w:rFonts w:hint="eastAsia" w:ascii="Arial Unicode MS" w:hAnsi="Arial Unicode MS" w:eastAsia="Arial Unicode MS" w:cs="Arial Unicode MS"/>
          <w:color w:val="auto"/>
          <w:sz w:val="32"/>
          <w:szCs w:val="32"/>
          <w:highlight w:val="none"/>
        </w:rPr>
      </w:pPr>
    </w:p>
    <w:p w14:paraId="57FA9F93">
      <w:pPr>
        <w:spacing w:line="528" w:lineRule="exact"/>
        <w:jc w:val="left"/>
        <w:rPr>
          <w:rFonts w:hint="eastAsia" w:ascii="Arial Unicode MS" w:hAnsi="Arial Unicode MS" w:eastAsia="Arial Unicode MS" w:cs="Arial Unicode MS"/>
          <w:color w:val="auto"/>
          <w:sz w:val="32"/>
          <w:szCs w:val="32"/>
          <w:highlight w:val="none"/>
        </w:rPr>
      </w:pPr>
    </w:p>
    <w:p w14:paraId="6AF1C310">
      <w:pPr>
        <w:spacing w:line="528" w:lineRule="exact"/>
        <w:jc w:val="left"/>
        <w:rPr>
          <w:rFonts w:hint="eastAsia" w:ascii="Arial Unicode MS" w:hAnsi="Arial Unicode MS" w:eastAsia="Arial Unicode MS" w:cs="Arial Unicode MS"/>
          <w:color w:val="auto"/>
          <w:sz w:val="32"/>
          <w:szCs w:val="32"/>
          <w:highlight w:val="none"/>
        </w:rPr>
      </w:pPr>
    </w:p>
    <w:p w14:paraId="75217C3D">
      <w:pPr>
        <w:spacing w:line="528" w:lineRule="exact"/>
        <w:jc w:val="left"/>
        <w:rPr>
          <w:rFonts w:hint="eastAsia" w:ascii="Arial Unicode MS" w:hAnsi="Arial Unicode MS" w:eastAsia="Arial Unicode MS" w:cs="Arial Unicode MS"/>
          <w:color w:val="auto"/>
          <w:sz w:val="32"/>
          <w:szCs w:val="32"/>
          <w:highlight w:val="none"/>
        </w:rPr>
      </w:pPr>
    </w:p>
    <w:p w14:paraId="7DD250E8">
      <w:pPr>
        <w:keepNext w:val="0"/>
        <w:keepLines w:val="0"/>
        <w:pageBreakBefore w:val="0"/>
        <w:widowControl w:val="0"/>
        <w:kinsoku/>
        <w:wordWrap/>
        <w:overflowPunct/>
        <w:topLinePunct w:val="0"/>
        <w:autoSpaceDE/>
        <w:autoSpaceDN/>
        <w:bidi w:val="0"/>
        <w:adjustRightInd/>
        <w:snapToGrid/>
        <w:spacing w:line="428" w:lineRule="exact"/>
        <w:textAlignment w:val="auto"/>
        <w:outlineLvl w:val="1"/>
        <w:rPr>
          <w:rFonts w:hint="eastAsia" w:ascii="仿宋_GB2312" w:hAnsi="仿宋_GB2312" w:eastAsia="仿宋_GB2312" w:cs="仿宋_GB2312"/>
          <w:color w:val="auto"/>
          <w:kern w:val="0"/>
          <w:sz w:val="32"/>
          <w:szCs w:val="32"/>
          <w:highlight w:val="none"/>
          <w:u w:val="none"/>
          <w:lang w:val="en-US" w:eastAsia="zh-CN"/>
        </w:rPr>
      </w:pPr>
      <w:bookmarkStart w:id="40" w:name="_Toc30743"/>
      <w:r>
        <w:rPr>
          <w:rFonts w:hint="eastAsia" w:ascii="仿宋_GB2312" w:hAnsi="仿宋_GB2312" w:eastAsia="仿宋_GB2312" w:cs="仿宋_GB2312"/>
          <w:color w:val="auto"/>
          <w:kern w:val="0"/>
          <w:sz w:val="32"/>
          <w:szCs w:val="32"/>
          <w:highlight w:val="none"/>
          <w:u w:val="none"/>
          <w:lang w:val="en-US" w:eastAsia="zh-CN"/>
        </w:rPr>
        <w:t>附件5</w:t>
      </w:r>
      <w:bookmarkEnd w:id="40"/>
    </w:p>
    <w:p w14:paraId="184F9AA5">
      <w:pPr>
        <w:spacing w:line="5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节能产品政府采购品目清单</w:t>
      </w:r>
    </w:p>
    <w:tbl>
      <w:tblPr>
        <w:tblStyle w:val="30"/>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5C812252">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noWrap w:val="0"/>
            <w:vAlign w:val="top"/>
          </w:tcPr>
          <w:p w14:paraId="76D81764">
            <w:pPr>
              <w:keepNext w:val="0"/>
              <w:keepLines w:val="0"/>
              <w:widowControl/>
              <w:suppressLineNumbers w:val="0"/>
              <w:spacing w:before="0" w:beforeAutospacing="0" w:after="0" w:afterAutospacing="0"/>
              <w:ind w:left="0" w:right="0"/>
              <w:jc w:val="center"/>
              <w:rPr>
                <w:rFonts w:hint="default"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790FAB2E">
            <w:pPr>
              <w:keepNext w:val="0"/>
              <w:keepLines w:val="0"/>
              <w:widowControl/>
              <w:suppressLineNumbers w:val="0"/>
              <w:spacing w:before="0" w:beforeAutospacing="0" w:after="0" w:afterAutospacing="0"/>
              <w:ind w:left="0" w:right="0"/>
              <w:jc w:val="center"/>
              <w:rPr>
                <w:rFonts w:hint="default"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5EE6B50D">
            <w:pPr>
              <w:keepNext w:val="0"/>
              <w:keepLines w:val="0"/>
              <w:widowControl/>
              <w:suppressLineNumbers w:val="0"/>
              <w:spacing w:before="0" w:beforeAutospacing="0" w:after="0" w:afterAutospacing="0"/>
              <w:ind w:left="0" w:right="0"/>
              <w:jc w:val="center"/>
              <w:rPr>
                <w:rFonts w:hint="default"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1E9D4AE9">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noWrap w:val="0"/>
            <w:vAlign w:val="center"/>
          </w:tcPr>
          <w:p w14:paraId="23C20CA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51E7451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490113D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779378E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495AD1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09906062">
        <w:tblPrEx>
          <w:tblCellMar>
            <w:top w:w="0" w:type="dxa"/>
            <w:left w:w="108" w:type="dxa"/>
            <w:bottom w:w="0" w:type="dxa"/>
            <w:right w:w="108" w:type="dxa"/>
          </w:tblCellMar>
        </w:tblPrEx>
        <w:trPr>
          <w:trHeight w:val="495" w:hRule="atLeast"/>
        </w:trPr>
        <w:tc>
          <w:tcPr>
            <w:tcW w:w="66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4C7590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FC1880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D7008F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271BE5A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33E07D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110AA9C3">
        <w:tblPrEx>
          <w:tblCellMar>
            <w:top w:w="0" w:type="dxa"/>
            <w:left w:w="108" w:type="dxa"/>
            <w:bottom w:w="0" w:type="dxa"/>
            <w:right w:w="108" w:type="dxa"/>
          </w:tblCellMar>
        </w:tblPrEx>
        <w:trPr>
          <w:trHeight w:val="735" w:hRule="atLeast"/>
        </w:trPr>
        <w:tc>
          <w:tcPr>
            <w:tcW w:w="660"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4BD37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5F8654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E8E9A5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78DCAD4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9F7D98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64D36788">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67A04F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0773A3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4354E4B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09D8765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273F724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B5C815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43EADE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00BAC7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1478C59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59BBC27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24BF4C6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9635AB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B0822E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39BC91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735A7A2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6DC1E5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2653F75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1BB307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5EFE225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BED3C5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2BFB6C7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17BC608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1E7C49F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7E1DE9A9">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32B1A7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33FC5C4">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D94EB1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50F1780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5A7FB96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12DB492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0B2D23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0"/>
            <w:vAlign w:val="center"/>
          </w:tcPr>
          <w:p w14:paraId="5930ADF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0"/>
            <w:vAlign w:val="center"/>
          </w:tcPr>
          <w:p w14:paraId="2778692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57B9023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AFF827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1098439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E4B19E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0"/>
            <w:vAlign w:val="center"/>
          </w:tcPr>
          <w:p w14:paraId="7399FB5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7599A5B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27A9349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7BD104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7BC448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BC5C7B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0"/>
            <w:vAlign w:val="center"/>
          </w:tcPr>
          <w:p w14:paraId="582A090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0"/>
            <w:vAlign w:val="center"/>
          </w:tcPr>
          <w:p w14:paraId="111EB20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0"/>
            <w:vAlign w:val="center"/>
          </w:tcPr>
          <w:p w14:paraId="7B16650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CB1E2A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5707621C">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644E3A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A554D8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768A5EC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0"/>
            <w:vAlign w:val="center"/>
          </w:tcPr>
          <w:p w14:paraId="0616042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0"/>
            <w:vAlign w:val="center"/>
          </w:tcPr>
          <w:p w14:paraId="7E1C828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1A3DF54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30D004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9DF612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74A3B44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7D0451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0"/>
            <w:vAlign w:val="center"/>
          </w:tcPr>
          <w:p w14:paraId="158F25A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143514C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F40E86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8A334C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5AEB5E9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C640A8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0"/>
            <w:vAlign w:val="center"/>
          </w:tcPr>
          <w:p w14:paraId="2CB598D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2F883F2E">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253497E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36EDDB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3CC9AD7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0"/>
            <w:vAlign w:val="center"/>
          </w:tcPr>
          <w:p w14:paraId="717B8CB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616EFD5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00F84F88">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CA0CFD4">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82A9BF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7BF8F0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DDE957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4EB23C2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348BB531">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504DFAB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7570FA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1A82FAE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0"/>
            <w:vAlign w:val="center"/>
          </w:tcPr>
          <w:p w14:paraId="28369E3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0"/>
            <w:vAlign w:val="center"/>
          </w:tcPr>
          <w:p w14:paraId="4B3E24A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5F41AFBD">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AC8821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1A5998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7CE8CCA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0"/>
            <w:vAlign w:val="center"/>
          </w:tcPr>
          <w:p w14:paraId="55A909F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0"/>
            <w:vAlign w:val="center"/>
          </w:tcPr>
          <w:p w14:paraId="28624F8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4AA9AC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B67DF4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0"/>
            <w:vAlign w:val="center"/>
          </w:tcPr>
          <w:p w14:paraId="5F4B1B3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0"/>
            <w:vAlign w:val="center"/>
          </w:tcPr>
          <w:p w14:paraId="70116F6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0381326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7E1A64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6934C48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7616FB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0"/>
            <w:vAlign w:val="center"/>
          </w:tcPr>
          <w:p w14:paraId="708ABD4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0"/>
            <w:vAlign w:val="center"/>
          </w:tcPr>
          <w:p w14:paraId="52D74FF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0"/>
            <w:vAlign w:val="center"/>
          </w:tcPr>
          <w:p w14:paraId="00BD25E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695ED66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341E0F2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904745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0"/>
            <w:vAlign w:val="center"/>
          </w:tcPr>
          <w:p w14:paraId="3D53EA2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0"/>
            <w:vAlign w:val="center"/>
          </w:tcPr>
          <w:p w14:paraId="03E8D55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58FDA81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013CB7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2054AE9">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05C0C8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CB2DA6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48110E4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49D28EA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832DBA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50A90240">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63CFF0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A446F0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4D7B83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41B0A73E">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5F6A4B6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6813F627">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2645DC4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048CB02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628091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5BE0EC3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363EEEF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5D962517">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2A08B9F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BA212E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64A12644">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729976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052BB66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0027EE1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06607B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EFF255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37AC5BC0">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525E267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64CD94A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6008A90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225F49A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40066E9">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3A76A6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0"/>
            <w:vAlign w:val="center"/>
          </w:tcPr>
          <w:p w14:paraId="77EC848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0"/>
            <w:vAlign w:val="center"/>
          </w:tcPr>
          <w:p w14:paraId="53335FE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5732652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FE9B8E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A28BC94">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1B78D0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4737F6E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0"/>
            <w:vAlign w:val="center"/>
          </w:tcPr>
          <w:p w14:paraId="3BB92A1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47C7233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372D50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288104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EADCE3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07169C0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0"/>
            <w:vAlign w:val="center"/>
          </w:tcPr>
          <w:p w14:paraId="60114D02">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1DDA466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B1F4EB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D5DD06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179290DA">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45C8A9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7A5AD1C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0BFE2492">
        <w:tblPrEx>
          <w:tblCellMar>
            <w:top w:w="0" w:type="dxa"/>
            <w:left w:w="108" w:type="dxa"/>
            <w:bottom w:w="0" w:type="dxa"/>
            <w:right w:w="108" w:type="dxa"/>
          </w:tblCellMar>
        </w:tblPrEx>
        <w:trPr>
          <w:trHeight w:val="49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21679C1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auto" w:sz="8" w:space="0"/>
              <w:bottom w:val="single" w:color="auto" w:sz="8" w:space="0"/>
              <w:right w:val="single" w:color="auto" w:sz="8" w:space="0"/>
            </w:tcBorders>
            <w:noWrap w:val="0"/>
            <w:vAlign w:val="center"/>
          </w:tcPr>
          <w:p w14:paraId="742B278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auto" w:sz="8" w:space="0"/>
              <w:right w:val="single" w:color="auto" w:sz="8" w:space="0"/>
            </w:tcBorders>
            <w:noWrap w:val="0"/>
            <w:vAlign w:val="center"/>
          </w:tcPr>
          <w:p w14:paraId="72263C3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auto" w:sz="8" w:space="0"/>
              <w:right w:val="single" w:color="auto" w:sz="8" w:space="0"/>
            </w:tcBorders>
            <w:noWrap w:val="0"/>
            <w:vAlign w:val="center"/>
          </w:tcPr>
          <w:p w14:paraId="7F2BD6A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37961F1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2E84AD56">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noWrap w:val="0"/>
            <w:vAlign w:val="center"/>
          </w:tcPr>
          <w:p w14:paraId="73473B7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auto" w:sz="8" w:space="0"/>
              <w:bottom w:val="single" w:color="auto" w:sz="8" w:space="0"/>
              <w:right w:val="single" w:color="auto" w:sz="8" w:space="0"/>
            </w:tcBorders>
            <w:noWrap w:val="0"/>
            <w:vAlign w:val="center"/>
          </w:tcPr>
          <w:p w14:paraId="5D2B3A9C">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687FB4F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auto" w:sz="8" w:space="0"/>
              <w:right w:val="single" w:color="auto" w:sz="8" w:space="0"/>
            </w:tcBorders>
            <w:noWrap w:val="0"/>
            <w:vAlign w:val="center"/>
          </w:tcPr>
          <w:p w14:paraId="452CF77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2EAB14EF">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73A01B8A">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noWrap w:val="0"/>
            <w:vAlign w:val="center"/>
          </w:tcPr>
          <w:p w14:paraId="127DED17">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auto" w:sz="8" w:space="0"/>
              <w:bottom w:val="single" w:color="auto" w:sz="8" w:space="0"/>
              <w:right w:val="single" w:color="auto" w:sz="8" w:space="0"/>
            </w:tcBorders>
            <w:noWrap w:val="0"/>
            <w:vAlign w:val="center"/>
          </w:tcPr>
          <w:p w14:paraId="6EC93EC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0DF24A3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auto" w:sz="8" w:space="0"/>
              <w:right w:val="single" w:color="auto" w:sz="8" w:space="0"/>
            </w:tcBorders>
            <w:noWrap w:val="0"/>
            <w:vAlign w:val="center"/>
          </w:tcPr>
          <w:p w14:paraId="1E13DD5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0E53DAA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57C3CD0F">
        <w:tblPrEx>
          <w:tblCellMar>
            <w:top w:w="0" w:type="dxa"/>
            <w:left w:w="108" w:type="dxa"/>
            <w:bottom w:w="0" w:type="dxa"/>
            <w:right w:w="108" w:type="dxa"/>
          </w:tblCellMar>
        </w:tblPrEx>
        <w:trPr>
          <w:trHeight w:val="735" w:hRule="atLeast"/>
        </w:trPr>
        <w:tc>
          <w:tcPr>
            <w:tcW w:w="660" w:type="dxa"/>
            <w:vMerge w:val="continue"/>
            <w:tcBorders>
              <w:top w:val="nil"/>
              <w:left w:val="single" w:color="auto" w:sz="8" w:space="0"/>
              <w:bottom w:val="single" w:color="auto" w:sz="8" w:space="0"/>
              <w:right w:val="single" w:color="auto" w:sz="8" w:space="0"/>
            </w:tcBorders>
            <w:noWrap w:val="0"/>
            <w:vAlign w:val="center"/>
          </w:tcPr>
          <w:p w14:paraId="7F2D2B4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auto" w:sz="8" w:space="0"/>
              <w:bottom w:val="single" w:color="auto" w:sz="8" w:space="0"/>
              <w:right w:val="single" w:color="auto" w:sz="8" w:space="0"/>
            </w:tcBorders>
            <w:noWrap w:val="0"/>
            <w:vAlign w:val="center"/>
          </w:tcPr>
          <w:p w14:paraId="1E5EC99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3F2311D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auto" w:sz="8" w:space="0"/>
              <w:right w:val="single" w:color="auto" w:sz="8" w:space="0"/>
            </w:tcBorders>
            <w:noWrap w:val="0"/>
            <w:vAlign w:val="center"/>
          </w:tcPr>
          <w:p w14:paraId="352C7F0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2DD24BBD">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02EF6B44">
        <w:tblPrEx>
          <w:tblCellMar>
            <w:top w:w="0" w:type="dxa"/>
            <w:left w:w="108" w:type="dxa"/>
            <w:bottom w:w="0" w:type="dxa"/>
            <w:right w:w="108" w:type="dxa"/>
          </w:tblCellMar>
        </w:tblPrEx>
        <w:trPr>
          <w:trHeight w:val="735" w:hRule="atLeast"/>
        </w:trPr>
        <w:tc>
          <w:tcPr>
            <w:tcW w:w="660" w:type="dxa"/>
            <w:tcBorders>
              <w:top w:val="nil"/>
              <w:left w:val="single" w:color="auto" w:sz="8" w:space="0"/>
              <w:bottom w:val="single" w:color="auto" w:sz="8" w:space="0"/>
              <w:right w:val="single" w:color="auto" w:sz="8" w:space="0"/>
            </w:tcBorders>
            <w:noWrap w:val="0"/>
            <w:vAlign w:val="center"/>
          </w:tcPr>
          <w:p w14:paraId="10C09FD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auto" w:sz="8" w:space="0"/>
              <w:right w:val="single" w:color="auto" w:sz="8" w:space="0"/>
            </w:tcBorders>
            <w:noWrap w:val="0"/>
            <w:vAlign w:val="center"/>
          </w:tcPr>
          <w:p w14:paraId="357B23C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auto" w:sz="8" w:space="0"/>
              <w:right w:val="single" w:color="auto" w:sz="8" w:space="0"/>
            </w:tcBorders>
            <w:noWrap w:val="0"/>
            <w:vAlign w:val="center"/>
          </w:tcPr>
          <w:p w14:paraId="52245F6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auto" w:sz="8" w:space="0"/>
              <w:right w:val="single" w:color="auto" w:sz="8" w:space="0"/>
            </w:tcBorders>
            <w:noWrap w:val="0"/>
            <w:vAlign w:val="center"/>
          </w:tcPr>
          <w:p w14:paraId="00BCDA5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51D1484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5E2058B6">
        <w:tblPrEx>
          <w:tblCellMar>
            <w:top w:w="0" w:type="dxa"/>
            <w:left w:w="108" w:type="dxa"/>
            <w:bottom w:w="0" w:type="dxa"/>
            <w:right w:w="108" w:type="dxa"/>
          </w:tblCellMar>
        </w:tblPrEx>
        <w:trPr>
          <w:trHeight w:val="975" w:hRule="atLeast"/>
        </w:trPr>
        <w:tc>
          <w:tcPr>
            <w:tcW w:w="660" w:type="dxa"/>
            <w:tcBorders>
              <w:top w:val="nil"/>
              <w:left w:val="single" w:color="auto" w:sz="8" w:space="0"/>
              <w:bottom w:val="single" w:color="auto" w:sz="8" w:space="0"/>
              <w:right w:val="single" w:color="auto" w:sz="8" w:space="0"/>
            </w:tcBorders>
            <w:noWrap w:val="0"/>
            <w:vAlign w:val="center"/>
          </w:tcPr>
          <w:p w14:paraId="5BE4E97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auto" w:sz="8" w:space="0"/>
              <w:right w:val="single" w:color="auto" w:sz="8" w:space="0"/>
            </w:tcBorders>
            <w:noWrap w:val="0"/>
            <w:vAlign w:val="center"/>
          </w:tcPr>
          <w:p w14:paraId="1AC75DE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auto" w:sz="8" w:space="0"/>
              <w:right w:val="single" w:color="auto" w:sz="8" w:space="0"/>
            </w:tcBorders>
            <w:noWrap w:val="0"/>
            <w:vAlign w:val="center"/>
          </w:tcPr>
          <w:p w14:paraId="75CB9C7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auto" w:sz="8" w:space="0"/>
              <w:right w:val="single" w:color="auto" w:sz="8" w:space="0"/>
            </w:tcBorders>
            <w:noWrap w:val="0"/>
            <w:vAlign w:val="center"/>
          </w:tcPr>
          <w:p w14:paraId="1F10B1E5">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auto" w:sz="8" w:space="0"/>
              <w:right w:val="single" w:color="auto" w:sz="8" w:space="0"/>
            </w:tcBorders>
            <w:noWrap w:val="0"/>
            <w:vAlign w:val="center"/>
          </w:tcPr>
          <w:p w14:paraId="31F82BD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6B25FD92">
        <w:tblPrEx>
          <w:tblCellMar>
            <w:top w:w="0" w:type="dxa"/>
            <w:left w:w="108" w:type="dxa"/>
            <w:bottom w:w="0" w:type="dxa"/>
            <w:right w:w="108" w:type="dxa"/>
          </w:tblCellMar>
        </w:tblPrEx>
        <w:trPr>
          <w:trHeight w:val="495" w:hRule="atLeast"/>
        </w:trPr>
        <w:tc>
          <w:tcPr>
            <w:tcW w:w="660" w:type="dxa"/>
            <w:tcBorders>
              <w:top w:val="nil"/>
              <w:left w:val="single" w:color="auto" w:sz="8" w:space="0"/>
              <w:bottom w:val="single" w:color="auto" w:sz="8" w:space="0"/>
              <w:right w:val="single" w:color="auto" w:sz="8" w:space="0"/>
            </w:tcBorders>
            <w:noWrap w:val="0"/>
            <w:vAlign w:val="center"/>
          </w:tcPr>
          <w:p w14:paraId="60751019">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auto" w:sz="8" w:space="0"/>
              <w:right w:val="single" w:color="auto" w:sz="8" w:space="0"/>
            </w:tcBorders>
            <w:noWrap w:val="0"/>
            <w:vAlign w:val="center"/>
          </w:tcPr>
          <w:p w14:paraId="6551397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auto" w:sz="8" w:space="0"/>
              <w:right w:val="single" w:color="auto" w:sz="8" w:space="0"/>
            </w:tcBorders>
            <w:noWrap w:val="0"/>
            <w:vAlign w:val="center"/>
          </w:tcPr>
          <w:p w14:paraId="66123AA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auto" w:sz="8" w:space="0"/>
              <w:right w:val="single" w:color="auto" w:sz="8" w:space="0"/>
            </w:tcBorders>
            <w:noWrap w:val="0"/>
            <w:vAlign w:val="center"/>
          </w:tcPr>
          <w:p w14:paraId="2F0E0F98">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53DBFBC1">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6256D507">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41606B9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auto" w:sz="8" w:space="0"/>
              <w:bottom w:val="single" w:color="000000" w:sz="8" w:space="0"/>
              <w:right w:val="single" w:color="auto" w:sz="8" w:space="0"/>
            </w:tcBorders>
            <w:noWrap w:val="0"/>
            <w:vAlign w:val="center"/>
          </w:tcPr>
          <w:p w14:paraId="7FEC0CB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auto" w:sz="8" w:space="0"/>
              <w:right w:val="single" w:color="auto" w:sz="8" w:space="0"/>
            </w:tcBorders>
            <w:noWrap w:val="0"/>
            <w:vAlign w:val="center"/>
          </w:tcPr>
          <w:p w14:paraId="66DF93A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auto" w:sz="8" w:space="0"/>
              <w:right w:val="single" w:color="auto" w:sz="8" w:space="0"/>
            </w:tcBorders>
            <w:noWrap w:val="0"/>
            <w:vAlign w:val="center"/>
          </w:tcPr>
          <w:p w14:paraId="1D848BC4">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1F73461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68A6C180">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noWrap w:val="0"/>
            <w:vAlign w:val="center"/>
          </w:tcPr>
          <w:p w14:paraId="5C368245">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auto" w:sz="8" w:space="0"/>
              <w:bottom w:val="single" w:color="000000" w:sz="8" w:space="0"/>
              <w:right w:val="single" w:color="auto" w:sz="8" w:space="0"/>
            </w:tcBorders>
            <w:noWrap w:val="0"/>
            <w:vAlign w:val="center"/>
          </w:tcPr>
          <w:p w14:paraId="2715B160">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369D8FF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auto" w:sz="8" w:space="0"/>
              <w:right w:val="single" w:color="auto" w:sz="8" w:space="0"/>
            </w:tcBorders>
            <w:noWrap w:val="0"/>
            <w:vAlign w:val="center"/>
          </w:tcPr>
          <w:p w14:paraId="3CB0005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1D8B706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26C3047B">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noWrap w:val="0"/>
            <w:vAlign w:val="center"/>
          </w:tcPr>
          <w:p w14:paraId="2DE36268">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080" w:type="dxa"/>
            <w:vMerge w:val="continue"/>
            <w:tcBorders>
              <w:top w:val="nil"/>
              <w:left w:val="single" w:color="auto" w:sz="8" w:space="0"/>
              <w:bottom w:val="single" w:color="000000" w:sz="8" w:space="0"/>
              <w:right w:val="single" w:color="auto" w:sz="8" w:space="0"/>
            </w:tcBorders>
            <w:noWrap w:val="0"/>
            <w:vAlign w:val="center"/>
          </w:tcPr>
          <w:p w14:paraId="69F15D93">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7AB7E7D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auto" w:sz="8" w:space="0"/>
              <w:right w:val="single" w:color="auto" w:sz="8" w:space="0"/>
            </w:tcBorders>
            <w:noWrap w:val="0"/>
            <w:vAlign w:val="center"/>
          </w:tcPr>
          <w:p w14:paraId="1BFB4606">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708BF1EE">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AA6881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839E22F">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0"/>
            <w:vAlign w:val="center"/>
          </w:tcPr>
          <w:p w14:paraId="4CBEEAC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0"/>
            <w:vAlign w:val="center"/>
          </w:tcPr>
          <w:p w14:paraId="6488777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7556D27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04BDE2B">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79B77F6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5E129E2">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0"/>
            <w:vAlign w:val="center"/>
          </w:tcPr>
          <w:p w14:paraId="6AF1CEAB">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29FFE6DD">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08F9488A">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6176F92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11994A9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5E4DDF1">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0"/>
            <w:vAlign w:val="center"/>
          </w:tcPr>
          <w:p w14:paraId="20DCA377">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0"/>
            <w:vAlign w:val="center"/>
          </w:tcPr>
          <w:p w14:paraId="4064DA53">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4E7F3EEC">
            <w:pPr>
              <w:keepNext w:val="0"/>
              <w:keepLines w:val="0"/>
              <w:widowControl/>
              <w:suppressLineNumbers w:val="0"/>
              <w:spacing w:before="0" w:beforeAutospacing="0" w:after="0" w:afterAutospacing="0"/>
              <w:ind w:left="0" w:right="0"/>
              <w:jc w:val="center"/>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0098286">
            <w:pPr>
              <w:keepNext w:val="0"/>
              <w:keepLines w:val="0"/>
              <w:widowControl/>
              <w:suppressLineNumbers w:val="0"/>
              <w:spacing w:before="0" w:beforeAutospacing="0" w:after="0" w:afterAutospacing="0"/>
              <w:ind w:left="0" w:right="0"/>
              <w:jc w:val="left"/>
              <w:rPr>
                <w:rFonts w:hint="default"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591E6155">
      <w:pPr>
        <w:widowControl/>
        <w:rPr>
          <w:rFonts w:ascii="宋体" w:hAnsi="宋体" w:cs="宋体"/>
          <w:color w:val="auto"/>
          <w:sz w:val="20"/>
          <w:szCs w:val="20"/>
          <w:highlight w:val="none"/>
        </w:rPr>
      </w:pPr>
    </w:p>
    <w:p w14:paraId="41538C84">
      <w:pPr>
        <w:pStyle w:val="13"/>
        <w:spacing w:line="360" w:lineRule="auto"/>
        <w:rPr>
          <w:rFonts w:hint="eastAsia" w:ascii="宋体" w:hAnsi="宋体"/>
          <w:color w:val="auto"/>
          <w:szCs w:val="21"/>
          <w:highlight w:val="none"/>
        </w:rPr>
      </w:pPr>
      <w:r>
        <w:rPr>
          <w:rFonts w:hint="eastAsia"/>
          <w:color w:val="auto"/>
          <w:spacing w:val="-3"/>
          <w:szCs w:val="21"/>
          <w:highlight w:val="none"/>
        </w:rPr>
        <w:t>注：1.节能产品认证应依据相关国家标准的最新版本，依据国家标准中二级能效（水效）</w:t>
      </w:r>
      <w:r>
        <w:rPr>
          <w:rFonts w:hint="eastAsia"/>
          <w:color w:val="auto"/>
          <w:szCs w:val="21"/>
          <w:highlight w:val="none"/>
        </w:rPr>
        <w:t>指标。</w:t>
      </w:r>
    </w:p>
    <w:p w14:paraId="67A0CE3A">
      <w:pPr>
        <w:pStyle w:val="13"/>
        <w:spacing w:line="360" w:lineRule="auto"/>
        <w:rPr>
          <w:rFonts w:hint="eastAsia"/>
          <w:b/>
          <w:bCs/>
          <w:color w:val="auto"/>
          <w:szCs w:val="21"/>
          <w:highlight w:val="none"/>
        </w:rPr>
      </w:pPr>
      <w:r>
        <w:rPr>
          <w:rFonts w:hint="eastAsia" w:ascii="宋体" w:hAnsi="宋体"/>
          <w:color w:val="auto"/>
          <w:szCs w:val="21"/>
          <w:highlight w:val="none"/>
        </w:rPr>
        <w:t xml:space="preserve">    </w:t>
      </w:r>
      <w:r>
        <w:rPr>
          <w:rFonts w:hint="eastAsia"/>
          <w:color w:val="auto"/>
          <w:szCs w:val="21"/>
          <w:highlight w:val="none"/>
        </w:rPr>
        <w:t>2</w:t>
      </w:r>
      <w:r>
        <w:rPr>
          <w:b/>
          <w:bCs/>
          <w:color w:val="auto"/>
          <w:szCs w:val="21"/>
          <w:highlight w:val="none"/>
        </w:rPr>
        <w:t>.</w:t>
      </w:r>
      <w:r>
        <w:rPr>
          <w:rFonts w:hint="eastAsia"/>
          <w:b/>
          <w:bCs/>
          <w:color w:val="auto"/>
          <w:szCs w:val="21"/>
          <w:highlight w:val="none"/>
        </w:rPr>
        <w:t>以</w:t>
      </w:r>
      <w:r>
        <w:rPr>
          <w:b/>
          <w:bCs/>
          <w:color w:val="auto"/>
          <w:szCs w:val="21"/>
          <w:highlight w:val="none"/>
        </w:rPr>
        <w:t>“</w:t>
      </w:r>
      <w:r>
        <w:rPr>
          <w:rFonts w:hint="eastAsia"/>
          <w:b/>
          <w:bCs/>
          <w:color w:val="auto"/>
          <w:szCs w:val="21"/>
          <w:highlight w:val="none"/>
        </w:rPr>
        <w:t>★</w:t>
      </w:r>
      <w:r>
        <w:rPr>
          <w:b/>
          <w:bCs/>
          <w:color w:val="auto"/>
          <w:szCs w:val="21"/>
          <w:highlight w:val="none"/>
        </w:rPr>
        <w:t>”</w:t>
      </w:r>
      <w:r>
        <w:rPr>
          <w:rFonts w:hint="eastAsia"/>
          <w:b/>
          <w:bCs/>
          <w:color w:val="auto"/>
          <w:szCs w:val="21"/>
          <w:highlight w:val="none"/>
        </w:rPr>
        <w:t>标注的为政府强制采购产品。</w:t>
      </w:r>
    </w:p>
    <w:p w14:paraId="23435B55">
      <w:pPr>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br w:type="page"/>
      </w:r>
    </w:p>
    <w:p w14:paraId="2F23B8BB">
      <w:pPr>
        <w:keepNext w:val="0"/>
        <w:keepLines w:val="0"/>
        <w:pageBreakBefore w:val="0"/>
        <w:widowControl w:val="0"/>
        <w:kinsoku/>
        <w:wordWrap/>
        <w:overflowPunct/>
        <w:topLinePunct w:val="0"/>
        <w:autoSpaceDE/>
        <w:autoSpaceDN/>
        <w:bidi w:val="0"/>
        <w:adjustRightInd/>
        <w:snapToGrid/>
        <w:spacing w:line="428" w:lineRule="exact"/>
        <w:textAlignment w:val="auto"/>
        <w:outlineLvl w:val="1"/>
        <w:rPr>
          <w:rFonts w:hint="eastAsia" w:ascii="仿宋_GB2312" w:hAnsi="仿宋_GB2312" w:eastAsia="仿宋_GB2312" w:cs="仿宋_GB2312"/>
          <w:color w:val="auto"/>
          <w:kern w:val="0"/>
          <w:sz w:val="32"/>
          <w:szCs w:val="32"/>
          <w:highlight w:val="none"/>
          <w:u w:val="none"/>
          <w:lang w:val="en-US" w:eastAsia="zh-CN"/>
        </w:rPr>
      </w:pPr>
      <w:bookmarkStart w:id="41" w:name="_Toc16987"/>
      <w:r>
        <w:rPr>
          <w:rFonts w:hint="eastAsia" w:ascii="仿宋_GB2312" w:hAnsi="仿宋_GB2312" w:eastAsia="仿宋_GB2312" w:cs="仿宋_GB2312"/>
          <w:color w:val="auto"/>
          <w:kern w:val="0"/>
          <w:sz w:val="32"/>
          <w:szCs w:val="32"/>
          <w:highlight w:val="none"/>
          <w:u w:val="none"/>
          <w:lang w:val="en-US" w:eastAsia="zh-CN"/>
        </w:rPr>
        <w:t>附件6</w:t>
      </w:r>
      <w:bookmarkEnd w:id="41"/>
    </w:p>
    <w:p w14:paraId="2CF55C26">
      <w:pPr>
        <w:spacing w:line="528" w:lineRule="exact"/>
        <w:ind w:left="1871" w:firstLine="1200" w:firstLineChars="300"/>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30"/>
        <w:tblW w:w="9018" w:type="dxa"/>
        <w:tblInd w:w="250" w:type="dxa"/>
        <w:tblLayout w:type="fixed"/>
        <w:tblCellMar>
          <w:top w:w="0" w:type="dxa"/>
          <w:left w:w="108" w:type="dxa"/>
          <w:bottom w:w="0" w:type="dxa"/>
          <w:right w:w="108" w:type="dxa"/>
        </w:tblCellMar>
      </w:tblPr>
      <w:tblGrid>
        <w:gridCol w:w="1885"/>
        <w:gridCol w:w="1884"/>
        <w:gridCol w:w="808"/>
        <w:gridCol w:w="1749"/>
        <w:gridCol w:w="1615"/>
        <w:gridCol w:w="1077"/>
      </w:tblGrid>
      <w:tr w14:paraId="1A128F58">
        <w:tblPrEx>
          <w:tblCellMar>
            <w:top w:w="0" w:type="dxa"/>
            <w:left w:w="108" w:type="dxa"/>
            <w:bottom w:w="0" w:type="dxa"/>
            <w:right w:w="108" w:type="dxa"/>
          </w:tblCellMar>
        </w:tblPrEx>
        <w:trPr>
          <w:trHeight w:val="285" w:hRule="atLeast"/>
        </w:trPr>
        <w:tc>
          <w:tcPr>
            <w:tcW w:w="1885" w:type="dxa"/>
            <w:tcBorders>
              <w:top w:val="single" w:color="auto" w:sz="4" w:space="0"/>
              <w:left w:val="single" w:color="auto" w:sz="4" w:space="0"/>
              <w:bottom w:val="single" w:color="auto" w:sz="4" w:space="0"/>
              <w:right w:val="single" w:color="auto" w:sz="4" w:space="0"/>
            </w:tcBorders>
            <w:noWrap w:val="0"/>
            <w:vAlign w:val="center"/>
          </w:tcPr>
          <w:p w14:paraId="348E147D">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884" w:type="dxa"/>
            <w:tcBorders>
              <w:top w:val="single" w:color="auto" w:sz="4" w:space="0"/>
              <w:left w:val="nil"/>
              <w:bottom w:val="single" w:color="auto" w:sz="4" w:space="0"/>
              <w:right w:val="single" w:color="auto" w:sz="4" w:space="0"/>
            </w:tcBorders>
            <w:noWrap w:val="0"/>
            <w:vAlign w:val="center"/>
          </w:tcPr>
          <w:p w14:paraId="06575D44">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08" w:type="dxa"/>
            <w:tcBorders>
              <w:top w:val="single" w:color="auto" w:sz="4" w:space="0"/>
              <w:left w:val="nil"/>
              <w:bottom w:val="single" w:color="auto" w:sz="4" w:space="0"/>
              <w:right w:val="single" w:color="auto" w:sz="4" w:space="0"/>
            </w:tcBorders>
            <w:noWrap w:val="0"/>
            <w:vAlign w:val="center"/>
          </w:tcPr>
          <w:p w14:paraId="00675920">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749" w:type="dxa"/>
            <w:tcBorders>
              <w:top w:val="single" w:color="auto" w:sz="4" w:space="0"/>
              <w:left w:val="nil"/>
              <w:bottom w:val="single" w:color="auto" w:sz="4" w:space="0"/>
              <w:right w:val="single" w:color="auto" w:sz="4" w:space="0"/>
            </w:tcBorders>
            <w:noWrap w:val="0"/>
            <w:vAlign w:val="center"/>
          </w:tcPr>
          <w:p w14:paraId="17FE28E2">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615" w:type="dxa"/>
            <w:tcBorders>
              <w:top w:val="single" w:color="auto" w:sz="4" w:space="0"/>
              <w:left w:val="nil"/>
              <w:bottom w:val="single" w:color="auto" w:sz="4" w:space="0"/>
              <w:right w:val="single" w:color="auto" w:sz="4" w:space="0"/>
            </w:tcBorders>
            <w:noWrap w:val="0"/>
            <w:vAlign w:val="center"/>
          </w:tcPr>
          <w:p w14:paraId="46F397D4">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077" w:type="dxa"/>
            <w:tcBorders>
              <w:top w:val="single" w:color="auto" w:sz="4" w:space="0"/>
              <w:left w:val="nil"/>
              <w:bottom w:val="single" w:color="auto" w:sz="4" w:space="0"/>
              <w:right w:val="single" w:color="auto" w:sz="4" w:space="0"/>
            </w:tcBorders>
            <w:noWrap w:val="0"/>
            <w:vAlign w:val="center"/>
          </w:tcPr>
          <w:p w14:paraId="4CD4CA4C">
            <w:pPr>
              <w:keepNext w:val="0"/>
              <w:keepLines w:val="0"/>
              <w:widowControl/>
              <w:suppressLineNumbers w:val="0"/>
              <w:spacing w:before="0" w:beforeAutospacing="0" w:after="0" w:afterAutospacing="0"/>
              <w:ind w:left="0" w:right="0"/>
              <w:jc w:val="left"/>
              <w:rPr>
                <w:rFonts w:hint="default"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0B18E97C">
        <w:tblPrEx>
          <w:tblCellMar>
            <w:top w:w="0" w:type="dxa"/>
            <w:left w:w="108" w:type="dxa"/>
            <w:bottom w:w="0" w:type="dxa"/>
            <w:right w:w="108" w:type="dxa"/>
          </w:tblCellMar>
        </w:tblPrEx>
        <w:trPr>
          <w:trHeight w:val="225" w:hRule="atLeast"/>
        </w:trPr>
        <w:tc>
          <w:tcPr>
            <w:tcW w:w="1885" w:type="dxa"/>
            <w:tcBorders>
              <w:top w:val="nil"/>
              <w:left w:val="single" w:color="auto" w:sz="4" w:space="0"/>
              <w:bottom w:val="single" w:color="auto" w:sz="4" w:space="0"/>
              <w:right w:val="single" w:color="auto" w:sz="4" w:space="0"/>
            </w:tcBorders>
            <w:noWrap w:val="0"/>
            <w:vAlign w:val="bottom"/>
          </w:tcPr>
          <w:p w14:paraId="4E8EC079">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884" w:type="dxa"/>
            <w:tcBorders>
              <w:top w:val="nil"/>
              <w:left w:val="nil"/>
              <w:bottom w:val="single" w:color="auto" w:sz="4" w:space="0"/>
              <w:right w:val="single" w:color="auto" w:sz="4" w:space="0"/>
            </w:tcBorders>
            <w:noWrap w:val="0"/>
            <w:vAlign w:val="center"/>
          </w:tcPr>
          <w:p w14:paraId="5AA978F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0AA0E5C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21D0438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15" w:type="dxa"/>
            <w:tcBorders>
              <w:top w:val="nil"/>
              <w:left w:val="nil"/>
              <w:bottom w:val="single" w:color="auto" w:sz="4" w:space="0"/>
              <w:right w:val="single" w:color="auto" w:sz="4" w:space="0"/>
            </w:tcBorders>
            <w:noWrap w:val="0"/>
            <w:vAlign w:val="center"/>
          </w:tcPr>
          <w:p w14:paraId="7F478B9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077" w:type="dxa"/>
            <w:tcBorders>
              <w:top w:val="nil"/>
              <w:left w:val="nil"/>
              <w:bottom w:val="single" w:color="auto" w:sz="4" w:space="0"/>
              <w:right w:val="single" w:color="auto" w:sz="4" w:space="0"/>
            </w:tcBorders>
            <w:noWrap w:val="0"/>
            <w:vAlign w:val="center"/>
          </w:tcPr>
          <w:p w14:paraId="5E6A45A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79B45D6">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57A58B28">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884" w:type="dxa"/>
            <w:tcBorders>
              <w:top w:val="nil"/>
              <w:left w:val="nil"/>
              <w:bottom w:val="single" w:color="auto" w:sz="4" w:space="0"/>
              <w:right w:val="single" w:color="auto" w:sz="4" w:space="0"/>
            </w:tcBorders>
            <w:noWrap w:val="0"/>
            <w:vAlign w:val="center"/>
          </w:tcPr>
          <w:p w14:paraId="500B7B6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61D1C23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19D5202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15" w:type="dxa"/>
            <w:tcBorders>
              <w:top w:val="nil"/>
              <w:left w:val="nil"/>
              <w:bottom w:val="single" w:color="auto" w:sz="4" w:space="0"/>
              <w:right w:val="single" w:color="auto" w:sz="4" w:space="0"/>
            </w:tcBorders>
            <w:noWrap w:val="0"/>
            <w:vAlign w:val="center"/>
          </w:tcPr>
          <w:p w14:paraId="463B295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77" w:type="dxa"/>
            <w:tcBorders>
              <w:top w:val="nil"/>
              <w:left w:val="nil"/>
              <w:bottom w:val="single" w:color="auto" w:sz="4" w:space="0"/>
              <w:right w:val="single" w:color="auto" w:sz="4" w:space="0"/>
            </w:tcBorders>
            <w:noWrap w:val="0"/>
            <w:vAlign w:val="center"/>
          </w:tcPr>
          <w:p w14:paraId="78344E6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E29183E">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22C72B6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75DAA6E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23D2FD2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08742F0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615" w:type="dxa"/>
            <w:tcBorders>
              <w:top w:val="nil"/>
              <w:left w:val="nil"/>
              <w:bottom w:val="single" w:color="auto" w:sz="4" w:space="0"/>
              <w:right w:val="single" w:color="auto" w:sz="4" w:space="0"/>
            </w:tcBorders>
            <w:noWrap w:val="0"/>
            <w:vAlign w:val="center"/>
          </w:tcPr>
          <w:p w14:paraId="436F466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077" w:type="dxa"/>
            <w:tcBorders>
              <w:top w:val="nil"/>
              <w:left w:val="nil"/>
              <w:bottom w:val="single" w:color="auto" w:sz="4" w:space="0"/>
              <w:right w:val="single" w:color="auto" w:sz="4" w:space="0"/>
            </w:tcBorders>
            <w:noWrap w:val="0"/>
            <w:vAlign w:val="center"/>
          </w:tcPr>
          <w:p w14:paraId="3578592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0AC811B2">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2F70D7C7">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884" w:type="dxa"/>
            <w:tcBorders>
              <w:top w:val="nil"/>
              <w:left w:val="nil"/>
              <w:bottom w:val="single" w:color="auto" w:sz="4" w:space="0"/>
              <w:right w:val="single" w:color="auto" w:sz="4" w:space="0"/>
            </w:tcBorders>
            <w:noWrap w:val="0"/>
            <w:vAlign w:val="center"/>
          </w:tcPr>
          <w:p w14:paraId="584B47D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6E97DD2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6BFC7EC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615" w:type="dxa"/>
            <w:tcBorders>
              <w:top w:val="nil"/>
              <w:left w:val="nil"/>
              <w:bottom w:val="single" w:color="auto" w:sz="4" w:space="0"/>
              <w:right w:val="single" w:color="auto" w:sz="4" w:space="0"/>
            </w:tcBorders>
            <w:noWrap w:val="0"/>
            <w:vAlign w:val="center"/>
          </w:tcPr>
          <w:p w14:paraId="49B2B2B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077" w:type="dxa"/>
            <w:tcBorders>
              <w:top w:val="nil"/>
              <w:left w:val="nil"/>
              <w:bottom w:val="single" w:color="auto" w:sz="4" w:space="0"/>
              <w:right w:val="single" w:color="auto" w:sz="4" w:space="0"/>
            </w:tcBorders>
            <w:noWrap w:val="0"/>
            <w:vAlign w:val="center"/>
          </w:tcPr>
          <w:p w14:paraId="0C1321B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2A0ABC51">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6F694FBE">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5834EB7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08" w:type="dxa"/>
            <w:tcBorders>
              <w:top w:val="nil"/>
              <w:left w:val="nil"/>
              <w:bottom w:val="single" w:color="auto" w:sz="4" w:space="0"/>
              <w:right w:val="single" w:color="auto" w:sz="4" w:space="0"/>
            </w:tcBorders>
            <w:noWrap w:val="0"/>
            <w:vAlign w:val="center"/>
          </w:tcPr>
          <w:p w14:paraId="4F95A73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40E1BBC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615" w:type="dxa"/>
            <w:tcBorders>
              <w:top w:val="nil"/>
              <w:left w:val="nil"/>
              <w:bottom w:val="single" w:color="auto" w:sz="4" w:space="0"/>
              <w:right w:val="single" w:color="auto" w:sz="4" w:space="0"/>
            </w:tcBorders>
            <w:noWrap w:val="0"/>
            <w:vAlign w:val="center"/>
          </w:tcPr>
          <w:p w14:paraId="46BCD09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077" w:type="dxa"/>
            <w:tcBorders>
              <w:top w:val="nil"/>
              <w:left w:val="nil"/>
              <w:bottom w:val="single" w:color="auto" w:sz="4" w:space="0"/>
              <w:right w:val="single" w:color="auto" w:sz="4" w:space="0"/>
            </w:tcBorders>
            <w:noWrap w:val="0"/>
            <w:vAlign w:val="center"/>
          </w:tcPr>
          <w:p w14:paraId="6C54108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4E618F17">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42B09A31">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884" w:type="dxa"/>
            <w:tcBorders>
              <w:top w:val="nil"/>
              <w:left w:val="nil"/>
              <w:bottom w:val="single" w:color="auto" w:sz="4" w:space="0"/>
              <w:right w:val="single" w:color="auto" w:sz="4" w:space="0"/>
            </w:tcBorders>
            <w:noWrap w:val="0"/>
            <w:vAlign w:val="center"/>
          </w:tcPr>
          <w:p w14:paraId="6D8459D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1CA0089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760C630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615" w:type="dxa"/>
            <w:tcBorders>
              <w:top w:val="nil"/>
              <w:left w:val="nil"/>
              <w:bottom w:val="single" w:color="auto" w:sz="4" w:space="0"/>
              <w:right w:val="single" w:color="auto" w:sz="4" w:space="0"/>
            </w:tcBorders>
            <w:noWrap w:val="0"/>
            <w:vAlign w:val="center"/>
          </w:tcPr>
          <w:p w14:paraId="751E227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077" w:type="dxa"/>
            <w:tcBorders>
              <w:top w:val="nil"/>
              <w:left w:val="nil"/>
              <w:bottom w:val="single" w:color="auto" w:sz="4" w:space="0"/>
              <w:right w:val="single" w:color="auto" w:sz="4" w:space="0"/>
            </w:tcBorders>
            <w:noWrap w:val="0"/>
            <w:vAlign w:val="center"/>
          </w:tcPr>
          <w:p w14:paraId="69B83FE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309942FE">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26F492AA">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2433CB5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2120B1C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035DE2B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615" w:type="dxa"/>
            <w:tcBorders>
              <w:top w:val="nil"/>
              <w:left w:val="nil"/>
              <w:bottom w:val="single" w:color="auto" w:sz="4" w:space="0"/>
              <w:right w:val="single" w:color="auto" w:sz="4" w:space="0"/>
            </w:tcBorders>
            <w:noWrap w:val="0"/>
            <w:vAlign w:val="center"/>
          </w:tcPr>
          <w:p w14:paraId="7984D14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077" w:type="dxa"/>
            <w:tcBorders>
              <w:top w:val="nil"/>
              <w:left w:val="nil"/>
              <w:bottom w:val="single" w:color="auto" w:sz="4" w:space="0"/>
              <w:right w:val="single" w:color="auto" w:sz="4" w:space="0"/>
            </w:tcBorders>
            <w:noWrap w:val="0"/>
            <w:vAlign w:val="center"/>
          </w:tcPr>
          <w:p w14:paraId="4537EAF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5DE6BB66">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45D7E07F">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884" w:type="dxa"/>
            <w:tcBorders>
              <w:top w:val="nil"/>
              <w:left w:val="nil"/>
              <w:bottom w:val="single" w:color="auto" w:sz="4" w:space="0"/>
              <w:right w:val="single" w:color="auto" w:sz="4" w:space="0"/>
            </w:tcBorders>
            <w:noWrap w:val="0"/>
            <w:vAlign w:val="center"/>
          </w:tcPr>
          <w:p w14:paraId="60D06FE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2F6A79E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0FDC7AC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615" w:type="dxa"/>
            <w:tcBorders>
              <w:top w:val="nil"/>
              <w:left w:val="nil"/>
              <w:bottom w:val="single" w:color="auto" w:sz="4" w:space="0"/>
              <w:right w:val="single" w:color="auto" w:sz="4" w:space="0"/>
            </w:tcBorders>
            <w:noWrap w:val="0"/>
            <w:vAlign w:val="center"/>
          </w:tcPr>
          <w:p w14:paraId="2389B35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077" w:type="dxa"/>
            <w:tcBorders>
              <w:top w:val="nil"/>
              <w:left w:val="nil"/>
              <w:bottom w:val="single" w:color="auto" w:sz="4" w:space="0"/>
              <w:right w:val="single" w:color="auto" w:sz="4" w:space="0"/>
            </w:tcBorders>
            <w:noWrap w:val="0"/>
            <w:vAlign w:val="center"/>
          </w:tcPr>
          <w:p w14:paraId="114D9F3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C2045F7">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0E5DD26E">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23F07FF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13C4588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223098C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15" w:type="dxa"/>
            <w:tcBorders>
              <w:top w:val="nil"/>
              <w:left w:val="nil"/>
              <w:bottom w:val="single" w:color="auto" w:sz="4" w:space="0"/>
              <w:right w:val="single" w:color="auto" w:sz="4" w:space="0"/>
            </w:tcBorders>
            <w:noWrap w:val="0"/>
            <w:vAlign w:val="center"/>
          </w:tcPr>
          <w:p w14:paraId="1706F16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077" w:type="dxa"/>
            <w:tcBorders>
              <w:top w:val="nil"/>
              <w:left w:val="nil"/>
              <w:bottom w:val="single" w:color="auto" w:sz="4" w:space="0"/>
              <w:right w:val="single" w:color="auto" w:sz="4" w:space="0"/>
            </w:tcBorders>
            <w:noWrap w:val="0"/>
            <w:vAlign w:val="center"/>
          </w:tcPr>
          <w:p w14:paraId="79099A8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F5487E7">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40DD84E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884" w:type="dxa"/>
            <w:tcBorders>
              <w:top w:val="nil"/>
              <w:left w:val="nil"/>
              <w:bottom w:val="single" w:color="auto" w:sz="4" w:space="0"/>
              <w:right w:val="single" w:color="auto" w:sz="4" w:space="0"/>
            </w:tcBorders>
            <w:noWrap w:val="0"/>
            <w:vAlign w:val="center"/>
          </w:tcPr>
          <w:p w14:paraId="51A9533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1B6A171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18E6CD9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15" w:type="dxa"/>
            <w:tcBorders>
              <w:top w:val="nil"/>
              <w:left w:val="nil"/>
              <w:bottom w:val="single" w:color="auto" w:sz="4" w:space="0"/>
              <w:right w:val="single" w:color="auto" w:sz="4" w:space="0"/>
            </w:tcBorders>
            <w:noWrap w:val="0"/>
            <w:vAlign w:val="center"/>
          </w:tcPr>
          <w:p w14:paraId="48DC96B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77" w:type="dxa"/>
            <w:tcBorders>
              <w:top w:val="nil"/>
              <w:left w:val="nil"/>
              <w:bottom w:val="single" w:color="auto" w:sz="4" w:space="0"/>
              <w:right w:val="single" w:color="auto" w:sz="4" w:space="0"/>
            </w:tcBorders>
            <w:noWrap w:val="0"/>
            <w:vAlign w:val="center"/>
          </w:tcPr>
          <w:p w14:paraId="642E2DF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CDDAB53">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16B56BF3">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28BAC11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05E2049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20215F4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615" w:type="dxa"/>
            <w:tcBorders>
              <w:top w:val="nil"/>
              <w:left w:val="nil"/>
              <w:bottom w:val="single" w:color="auto" w:sz="4" w:space="0"/>
              <w:right w:val="single" w:color="auto" w:sz="4" w:space="0"/>
            </w:tcBorders>
            <w:noWrap w:val="0"/>
            <w:vAlign w:val="center"/>
          </w:tcPr>
          <w:p w14:paraId="0CBA3BB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077" w:type="dxa"/>
            <w:tcBorders>
              <w:top w:val="nil"/>
              <w:left w:val="nil"/>
              <w:bottom w:val="single" w:color="auto" w:sz="4" w:space="0"/>
              <w:right w:val="single" w:color="auto" w:sz="4" w:space="0"/>
            </w:tcBorders>
            <w:noWrap w:val="0"/>
            <w:vAlign w:val="center"/>
          </w:tcPr>
          <w:p w14:paraId="2B10CE8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6FBDF4A1">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021563F7">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884" w:type="dxa"/>
            <w:tcBorders>
              <w:top w:val="nil"/>
              <w:left w:val="nil"/>
              <w:bottom w:val="single" w:color="auto" w:sz="4" w:space="0"/>
              <w:right w:val="single" w:color="auto" w:sz="4" w:space="0"/>
            </w:tcBorders>
            <w:noWrap w:val="0"/>
            <w:vAlign w:val="center"/>
          </w:tcPr>
          <w:p w14:paraId="2299387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3E92268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0CFE89B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615" w:type="dxa"/>
            <w:tcBorders>
              <w:top w:val="nil"/>
              <w:left w:val="nil"/>
              <w:bottom w:val="single" w:color="auto" w:sz="4" w:space="0"/>
              <w:right w:val="single" w:color="auto" w:sz="4" w:space="0"/>
            </w:tcBorders>
            <w:noWrap w:val="0"/>
            <w:vAlign w:val="center"/>
          </w:tcPr>
          <w:p w14:paraId="3D13212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077" w:type="dxa"/>
            <w:tcBorders>
              <w:top w:val="nil"/>
              <w:left w:val="nil"/>
              <w:bottom w:val="single" w:color="auto" w:sz="4" w:space="0"/>
              <w:right w:val="single" w:color="auto" w:sz="4" w:space="0"/>
            </w:tcBorders>
            <w:noWrap w:val="0"/>
            <w:vAlign w:val="center"/>
          </w:tcPr>
          <w:p w14:paraId="539D13E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037F0C7">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725DDC61">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4B80813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5661D10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23B5407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615" w:type="dxa"/>
            <w:tcBorders>
              <w:top w:val="nil"/>
              <w:left w:val="nil"/>
              <w:bottom w:val="single" w:color="auto" w:sz="4" w:space="0"/>
              <w:right w:val="single" w:color="auto" w:sz="4" w:space="0"/>
            </w:tcBorders>
            <w:noWrap w:val="0"/>
            <w:vAlign w:val="center"/>
          </w:tcPr>
          <w:p w14:paraId="3A6660D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77" w:type="dxa"/>
            <w:tcBorders>
              <w:top w:val="nil"/>
              <w:left w:val="nil"/>
              <w:bottom w:val="single" w:color="auto" w:sz="4" w:space="0"/>
              <w:right w:val="single" w:color="auto" w:sz="4" w:space="0"/>
            </w:tcBorders>
            <w:noWrap w:val="0"/>
            <w:vAlign w:val="center"/>
          </w:tcPr>
          <w:p w14:paraId="1AD5480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D9305FC">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459168BD">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884" w:type="dxa"/>
            <w:tcBorders>
              <w:top w:val="nil"/>
              <w:left w:val="nil"/>
              <w:bottom w:val="single" w:color="auto" w:sz="4" w:space="0"/>
              <w:right w:val="single" w:color="auto" w:sz="4" w:space="0"/>
            </w:tcBorders>
            <w:noWrap w:val="0"/>
            <w:vAlign w:val="center"/>
          </w:tcPr>
          <w:p w14:paraId="5009706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5A24DFF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4457A3C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15" w:type="dxa"/>
            <w:tcBorders>
              <w:top w:val="nil"/>
              <w:left w:val="nil"/>
              <w:bottom w:val="single" w:color="auto" w:sz="4" w:space="0"/>
              <w:right w:val="single" w:color="auto" w:sz="4" w:space="0"/>
            </w:tcBorders>
            <w:noWrap w:val="0"/>
            <w:vAlign w:val="center"/>
          </w:tcPr>
          <w:p w14:paraId="3803431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77" w:type="dxa"/>
            <w:tcBorders>
              <w:top w:val="nil"/>
              <w:left w:val="nil"/>
              <w:bottom w:val="single" w:color="auto" w:sz="4" w:space="0"/>
              <w:right w:val="single" w:color="auto" w:sz="4" w:space="0"/>
            </w:tcBorders>
            <w:noWrap w:val="0"/>
            <w:vAlign w:val="center"/>
          </w:tcPr>
          <w:p w14:paraId="2E458F2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E400FAF">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74DE747A">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4C5CAAD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5C3B6C8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4151996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615" w:type="dxa"/>
            <w:tcBorders>
              <w:top w:val="nil"/>
              <w:left w:val="nil"/>
              <w:bottom w:val="single" w:color="auto" w:sz="4" w:space="0"/>
              <w:right w:val="single" w:color="auto" w:sz="4" w:space="0"/>
            </w:tcBorders>
            <w:noWrap w:val="0"/>
            <w:vAlign w:val="center"/>
          </w:tcPr>
          <w:p w14:paraId="41D6F9E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77" w:type="dxa"/>
            <w:tcBorders>
              <w:top w:val="nil"/>
              <w:left w:val="nil"/>
              <w:bottom w:val="single" w:color="auto" w:sz="4" w:space="0"/>
              <w:right w:val="single" w:color="auto" w:sz="4" w:space="0"/>
            </w:tcBorders>
            <w:noWrap w:val="0"/>
            <w:vAlign w:val="center"/>
          </w:tcPr>
          <w:p w14:paraId="0CAFA8B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272F99A">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223351DD">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884" w:type="dxa"/>
            <w:tcBorders>
              <w:top w:val="nil"/>
              <w:left w:val="nil"/>
              <w:bottom w:val="single" w:color="auto" w:sz="4" w:space="0"/>
              <w:right w:val="single" w:color="auto" w:sz="4" w:space="0"/>
            </w:tcBorders>
            <w:noWrap w:val="0"/>
            <w:vAlign w:val="center"/>
          </w:tcPr>
          <w:p w14:paraId="164E664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78F0CD8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37685C8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15" w:type="dxa"/>
            <w:tcBorders>
              <w:top w:val="nil"/>
              <w:left w:val="nil"/>
              <w:bottom w:val="single" w:color="auto" w:sz="4" w:space="0"/>
              <w:right w:val="single" w:color="auto" w:sz="4" w:space="0"/>
            </w:tcBorders>
            <w:noWrap w:val="0"/>
            <w:vAlign w:val="center"/>
          </w:tcPr>
          <w:p w14:paraId="45C49533">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77" w:type="dxa"/>
            <w:tcBorders>
              <w:top w:val="nil"/>
              <w:left w:val="nil"/>
              <w:bottom w:val="single" w:color="auto" w:sz="4" w:space="0"/>
              <w:right w:val="single" w:color="auto" w:sz="4" w:space="0"/>
            </w:tcBorders>
            <w:noWrap w:val="0"/>
            <w:vAlign w:val="center"/>
          </w:tcPr>
          <w:p w14:paraId="2898F0B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4FE969D">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3D76660A">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3220316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690ABC7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26EA860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15" w:type="dxa"/>
            <w:tcBorders>
              <w:top w:val="nil"/>
              <w:left w:val="nil"/>
              <w:bottom w:val="single" w:color="auto" w:sz="4" w:space="0"/>
              <w:right w:val="single" w:color="auto" w:sz="4" w:space="0"/>
            </w:tcBorders>
            <w:noWrap w:val="0"/>
            <w:vAlign w:val="center"/>
          </w:tcPr>
          <w:p w14:paraId="3D238F9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77" w:type="dxa"/>
            <w:tcBorders>
              <w:top w:val="nil"/>
              <w:left w:val="nil"/>
              <w:bottom w:val="single" w:color="auto" w:sz="4" w:space="0"/>
              <w:right w:val="single" w:color="auto" w:sz="4" w:space="0"/>
            </w:tcBorders>
            <w:noWrap w:val="0"/>
            <w:vAlign w:val="center"/>
          </w:tcPr>
          <w:p w14:paraId="006D22C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A6270F7">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47A01F1C">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884" w:type="dxa"/>
            <w:tcBorders>
              <w:top w:val="nil"/>
              <w:left w:val="nil"/>
              <w:bottom w:val="single" w:color="auto" w:sz="4" w:space="0"/>
              <w:right w:val="single" w:color="auto" w:sz="4" w:space="0"/>
            </w:tcBorders>
            <w:noWrap w:val="0"/>
            <w:vAlign w:val="center"/>
          </w:tcPr>
          <w:p w14:paraId="048EA8F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3FD67BB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3E759A2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15" w:type="dxa"/>
            <w:tcBorders>
              <w:top w:val="nil"/>
              <w:left w:val="nil"/>
              <w:bottom w:val="single" w:color="auto" w:sz="4" w:space="0"/>
              <w:right w:val="single" w:color="auto" w:sz="4" w:space="0"/>
            </w:tcBorders>
            <w:noWrap w:val="0"/>
            <w:vAlign w:val="center"/>
          </w:tcPr>
          <w:p w14:paraId="5C7E27C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77" w:type="dxa"/>
            <w:tcBorders>
              <w:top w:val="nil"/>
              <w:left w:val="nil"/>
              <w:bottom w:val="single" w:color="auto" w:sz="4" w:space="0"/>
              <w:right w:val="single" w:color="auto" w:sz="4" w:space="0"/>
            </w:tcBorders>
            <w:noWrap w:val="0"/>
            <w:vAlign w:val="center"/>
          </w:tcPr>
          <w:p w14:paraId="5E8D568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C0E4D60">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74387E58">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20C5420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06D96CC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6DEE4DB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15" w:type="dxa"/>
            <w:tcBorders>
              <w:top w:val="nil"/>
              <w:left w:val="nil"/>
              <w:bottom w:val="single" w:color="auto" w:sz="4" w:space="0"/>
              <w:right w:val="single" w:color="auto" w:sz="4" w:space="0"/>
            </w:tcBorders>
            <w:noWrap w:val="0"/>
            <w:vAlign w:val="center"/>
          </w:tcPr>
          <w:p w14:paraId="0504C67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77" w:type="dxa"/>
            <w:tcBorders>
              <w:top w:val="nil"/>
              <w:left w:val="nil"/>
              <w:bottom w:val="single" w:color="auto" w:sz="4" w:space="0"/>
              <w:right w:val="single" w:color="auto" w:sz="4" w:space="0"/>
            </w:tcBorders>
            <w:noWrap w:val="0"/>
            <w:vAlign w:val="center"/>
          </w:tcPr>
          <w:p w14:paraId="30C6EA6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BE15255">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00F49BC4">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884" w:type="dxa"/>
            <w:tcBorders>
              <w:top w:val="nil"/>
              <w:left w:val="nil"/>
              <w:bottom w:val="single" w:color="auto" w:sz="4" w:space="0"/>
              <w:right w:val="single" w:color="auto" w:sz="4" w:space="0"/>
            </w:tcBorders>
            <w:noWrap w:val="0"/>
            <w:vAlign w:val="center"/>
          </w:tcPr>
          <w:p w14:paraId="0622B4F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53597ED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3AC2485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615" w:type="dxa"/>
            <w:tcBorders>
              <w:top w:val="nil"/>
              <w:left w:val="nil"/>
              <w:bottom w:val="single" w:color="auto" w:sz="4" w:space="0"/>
              <w:right w:val="single" w:color="auto" w:sz="4" w:space="0"/>
            </w:tcBorders>
            <w:noWrap w:val="0"/>
            <w:vAlign w:val="center"/>
          </w:tcPr>
          <w:p w14:paraId="30965C4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77" w:type="dxa"/>
            <w:tcBorders>
              <w:top w:val="nil"/>
              <w:left w:val="nil"/>
              <w:bottom w:val="single" w:color="auto" w:sz="4" w:space="0"/>
              <w:right w:val="single" w:color="auto" w:sz="4" w:space="0"/>
            </w:tcBorders>
            <w:noWrap w:val="0"/>
            <w:vAlign w:val="center"/>
          </w:tcPr>
          <w:p w14:paraId="7A6267F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E3631F7">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58FB4CDA">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237B21C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62F0DE3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2B7528A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615" w:type="dxa"/>
            <w:tcBorders>
              <w:top w:val="nil"/>
              <w:left w:val="nil"/>
              <w:bottom w:val="single" w:color="auto" w:sz="4" w:space="0"/>
              <w:right w:val="single" w:color="auto" w:sz="4" w:space="0"/>
            </w:tcBorders>
            <w:noWrap w:val="0"/>
            <w:vAlign w:val="center"/>
          </w:tcPr>
          <w:p w14:paraId="2377EE0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77" w:type="dxa"/>
            <w:tcBorders>
              <w:top w:val="nil"/>
              <w:left w:val="nil"/>
              <w:bottom w:val="single" w:color="auto" w:sz="4" w:space="0"/>
              <w:right w:val="single" w:color="auto" w:sz="4" w:space="0"/>
            </w:tcBorders>
            <w:noWrap w:val="0"/>
            <w:vAlign w:val="center"/>
          </w:tcPr>
          <w:p w14:paraId="4D4D86E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D605567">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7AFF6B82">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884" w:type="dxa"/>
            <w:tcBorders>
              <w:top w:val="nil"/>
              <w:left w:val="nil"/>
              <w:bottom w:val="single" w:color="auto" w:sz="4" w:space="0"/>
              <w:right w:val="single" w:color="auto" w:sz="4" w:space="0"/>
            </w:tcBorders>
            <w:noWrap w:val="0"/>
            <w:vAlign w:val="center"/>
          </w:tcPr>
          <w:p w14:paraId="54EFEA7E">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1831F06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27A555F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15" w:type="dxa"/>
            <w:tcBorders>
              <w:top w:val="nil"/>
              <w:left w:val="nil"/>
              <w:bottom w:val="single" w:color="auto" w:sz="4" w:space="0"/>
              <w:right w:val="single" w:color="auto" w:sz="4" w:space="0"/>
            </w:tcBorders>
            <w:noWrap w:val="0"/>
            <w:vAlign w:val="center"/>
          </w:tcPr>
          <w:p w14:paraId="3CDE487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77" w:type="dxa"/>
            <w:tcBorders>
              <w:top w:val="nil"/>
              <w:left w:val="nil"/>
              <w:bottom w:val="single" w:color="auto" w:sz="4" w:space="0"/>
              <w:right w:val="single" w:color="auto" w:sz="4" w:space="0"/>
            </w:tcBorders>
            <w:noWrap w:val="0"/>
            <w:vAlign w:val="center"/>
          </w:tcPr>
          <w:p w14:paraId="191DA5F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E246C93">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0FCEA5D5">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305053F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7F892E88">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69A25B0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615" w:type="dxa"/>
            <w:tcBorders>
              <w:top w:val="nil"/>
              <w:left w:val="nil"/>
              <w:bottom w:val="single" w:color="auto" w:sz="4" w:space="0"/>
              <w:right w:val="single" w:color="auto" w:sz="4" w:space="0"/>
            </w:tcBorders>
            <w:noWrap w:val="0"/>
            <w:vAlign w:val="center"/>
          </w:tcPr>
          <w:p w14:paraId="05D77D3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077" w:type="dxa"/>
            <w:tcBorders>
              <w:top w:val="nil"/>
              <w:left w:val="nil"/>
              <w:bottom w:val="single" w:color="auto" w:sz="4" w:space="0"/>
              <w:right w:val="single" w:color="auto" w:sz="4" w:space="0"/>
            </w:tcBorders>
            <w:noWrap w:val="0"/>
            <w:vAlign w:val="center"/>
          </w:tcPr>
          <w:p w14:paraId="094CE47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0CD8D4F0">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4486D829">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884" w:type="dxa"/>
            <w:tcBorders>
              <w:top w:val="nil"/>
              <w:left w:val="nil"/>
              <w:bottom w:val="single" w:color="auto" w:sz="4" w:space="0"/>
              <w:right w:val="single" w:color="auto" w:sz="4" w:space="0"/>
            </w:tcBorders>
            <w:noWrap w:val="0"/>
            <w:vAlign w:val="center"/>
          </w:tcPr>
          <w:p w14:paraId="394570A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29B9196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301EE92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615" w:type="dxa"/>
            <w:tcBorders>
              <w:top w:val="nil"/>
              <w:left w:val="nil"/>
              <w:bottom w:val="single" w:color="auto" w:sz="4" w:space="0"/>
              <w:right w:val="single" w:color="auto" w:sz="4" w:space="0"/>
            </w:tcBorders>
            <w:noWrap w:val="0"/>
            <w:vAlign w:val="center"/>
          </w:tcPr>
          <w:p w14:paraId="125C3B4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077" w:type="dxa"/>
            <w:tcBorders>
              <w:top w:val="nil"/>
              <w:left w:val="nil"/>
              <w:bottom w:val="single" w:color="auto" w:sz="4" w:space="0"/>
              <w:right w:val="single" w:color="auto" w:sz="4" w:space="0"/>
            </w:tcBorders>
            <w:noWrap w:val="0"/>
            <w:vAlign w:val="center"/>
          </w:tcPr>
          <w:p w14:paraId="209FF14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3B7D1405">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459A4CA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6E80457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08" w:type="dxa"/>
            <w:tcBorders>
              <w:top w:val="nil"/>
              <w:left w:val="nil"/>
              <w:bottom w:val="single" w:color="auto" w:sz="4" w:space="0"/>
              <w:right w:val="single" w:color="auto" w:sz="4" w:space="0"/>
            </w:tcBorders>
            <w:noWrap w:val="0"/>
            <w:vAlign w:val="center"/>
          </w:tcPr>
          <w:p w14:paraId="639C501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6AB54F8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615" w:type="dxa"/>
            <w:tcBorders>
              <w:top w:val="nil"/>
              <w:left w:val="nil"/>
              <w:bottom w:val="single" w:color="auto" w:sz="4" w:space="0"/>
              <w:right w:val="single" w:color="auto" w:sz="4" w:space="0"/>
            </w:tcBorders>
            <w:noWrap w:val="0"/>
            <w:vAlign w:val="center"/>
          </w:tcPr>
          <w:p w14:paraId="134AD2A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077" w:type="dxa"/>
            <w:tcBorders>
              <w:top w:val="nil"/>
              <w:left w:val="nil"/>
              <w:bottom w:val="single" w:color="auto" w:sz="4" w:space="0"/>
              <w:right w:val="single" w:color="auto" w:sz="4" w:space="0"/>
            </w:tcBorders>
            <w:noWrap w:val="0"/>
            <w:vAlign w:val="center"/>
          </w:tcPr>
          <w:p w14:paraId="10ECA3D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0DA46C04">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794CCA79">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884" w:type="dxa"/>
            <w:tcBorders>
              <w:top w:val="nil"/>
              <w:left w:val="nil"/>
              <w:bottom w:val="single" w:color="auto" w:sz="4" w:space="0"/>
              <w:right w:val="single" w:color="auto" w:sz="4" w:space="0"/>
            </w:tcBorders>
            <w:noWrap w:val="0"/>
            <w:vAlign w:val="center"/>
          </w:tcPr>
          <w:p w14:paraId="6C4AAB6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4CCCB02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030EE424">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15" w:type="dxa"/>
            <w:tcBorders>
              <w:top w:val="nil"/>
              <w:left w:val="nil"/>
              <w:bottom w:val="single" w:color="auto" w:sz="4" w:space="0"/>
              <w:right w:val="single" w:color="auto" w:sz="4" w:space="0"/>
            </w:tcBorders>
            <w:noWrap w:val="0"/>
            <w:vAlign w:val="center"/>
          </w:tcPr>
          <w:p w14:paraId="713173B6">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077" w:type="dxa"/>
            <w:tcBorders>
              <w:top w:val="nil"/>
              <w:left w:val="nil"/>
              <w:bottom w:val="single" w:color="auto" w:sz="4" w:space="0"/>
              <w:right w:val="single" w:color="auto" w:sz="4" w:space="0"/>
            </w:tcBorders>
            <w:noWrap w:val="0"/>
            <w:vAlign w:val="center"/>
          </w:tcPr>
          <w:p w14:paraId="7A65F9EC">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733E967">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4E2F988F">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5FD6818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08" w:type="dxa"/>
            <w:tcBorders>
              <w:top w:val="nil"/>
              <w:left w:val="nil"/>
              <w:bottom w:val="single" w:color="auto" w:sz="4" w:space="0"/>
              <w:right w:val="single" w:color="auto" w:sz="4" w:space="0"/>
            </w:tcBorders>
            <w:noWrap w:val="0"/>
            <w:vAlign w:val="center"/>
          </w:tcPr>
          <w:p w14:paraId="1FE7196A">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3E7381F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615" w:type="dxa"/>
            <w:tcBorders>
              <w:top w:val="nil"/>
              <w:left w:val="nil"/>
              <w:bottom w:val="single" w:color="auto" w:sz="4" w:space="0"/>
              <w:right w:val="single" w:color="auto" w:sz="4" w:space="0"/>
            </w:tcBorders>
            <w:noWrap w:val="0"/>
            <w:vAlign w:val="center"/>
          </w:tcPr>
          <w:p w14:paraId="1B7E66D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077" w:type="dxa"/>
            <w:tcBorders>
              <w:top w:val="nil"/>
              <w:left w:val="nil"/>
              <w:bottom w:val="single" w:color="auto" w:sz="4" w:space="0"/>
              <w:right w:val="single" w:color="auto" w:sz="4" w:space="0"/>
            </w:tcBorders>
            <w:noWrap w:val="0"/>
            <w:vAlign w:val="center"/>
          </w:tcPr>
          <w:p w14:paraId="600F88CD">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27FC9697">
        <w:tblPrEx>
          <w:tblCellMar>
            <w:top w:w="0" w:type="dxa"/>
            <w:left w:w="108" w:type="dxa"/>
            <w:bottom w:w="0" w:type="dxa"/>
            <w:right w:w="108" w:type="dxa"/>
          </w:tblCellMar>
        </w:tblPrEx>
        <w:trPr>
          <w:trHeight w:val="225" w:hRule="atLeast"/>
        </w:trPr>
        <w:tc>
          <w:tcPr>
            <w:tcW w:w="1885" w:type="dxa"/>
            <w:vMerge w:val="restart"/>
            <w:tcBorders>
              <w:top w:val="nil"/>
              <w:left w:val="single" w:color="auto" w:sz="4" w:space="0"/>
              <w:bottom w:val="single" w:color="auto" w:sz="4" w:space="0"/>
              <w:right w:val="single" w:color="auto" w:sz="4" w:space="0"/>
            </w:tcBorders>
            <w:noWrap w:val="0"/>
            <w:vAlign w:val="bottom"/>
          </w:tcPr>
          <w:p w14:paraId="5EBF8C8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884" w:type="dxa"/>
            <w:tcBorders>
              <w:top w:val="nil"/>
              <w:left w:val="nil"/>
              <w:bottom w:val="single" w:color="auto" w:sz="4" w:space="0"/>
              <w:right w:val="single" w:color="auto" w:sz="4" w:space="0"/>
            </w:tcBorders>
            <w:noWrap w:val="0"/>
            <w:vAlign w:val="center"/>
          </w:tcPr>
          <w:p w14:paraId="6DE29AD2">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6D5DF18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53303F09">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15" w:type="dxa"/>
            <w:tcBorders>
              <w:top w:val="nil"/>
              <w:left w:val="nil"/>
              <w:bottom w:val="single" w:color="auto" w:sz="4" w:space="0"/>
              <w:right w:val="single" w:color="auto" w:sz="4" w:space="0"/>
            </w:tcBorders>
            <w:noWrap w:val="0"/>
            <w:vAlign w:val="center"/>
          </w:tcPr>
          <w:p w14:paraId="561BE5A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77" w:type="dxa"/>
            <w:tcBorders>
              <w:top w:val="nil"/>
              <w:left w:val="nil"/>
              <w:bottom w:val="single" w:color="auto" w:sz="4" w:space="0"/>
              <w:right w:val="single" w:color="auto" w:sz="4" w:space="0"/>
            </w:tcBorders>
            <w:noWrap w:val="0"/>
            <w:vAlign w:val="center"/>
          </w:tcPr>
          <w:p w14:paraId="54A0A94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83FD09D">
        <w:tblPrEx>
          <w:tblCellMar>
            <w:top w:w="0" w:type="dxa"/>
            <w:left w:w="108" w:type="dxa"/>
            <w:bottom w:w="0" w:type="dxa"/>
            <w:right w:w="108" w:type="dxa"/>
          </w:tblCellMar>
        </w:tblPrEx>
        <w:trPr>
          <w:trHeight w:val="225" w:hRule="atLeast"/>
        </w:trPr>
        <w:tc>
          <w:tcPr>
            <w:tcW w:w="1885" w:type="dxa"/>
            <w:vMerge w:val="continue"/>
            <w:tcBorders>
              <w:top w:val="nil"/>
              <w:left w:val="single" w:color="auto" w:sz="4" w:space="0"/>
              <w:bottom w:val="single" w:color="auto" w:sz="4" w:space="0"/>
              <w:right w:val="single" w:color="auto" w:sz="4" w:space="0"/>
            </w:tcBorders>
            <w:noWrap w:val="0"/>
            <w:vAlign w:val="center"/>
          </w:tcPr>
          <w:p w14:paraId="060F29FC">
            <w:pPr>
              <w:keepNext w:val="0"/>
              <w:keepLines w:val="0"/>
              <w:widowControl/>
              <w:suppressLineNumbers w:val="0"/>
              <w:spacing w:before="0" w:beforeAutospacing="0" w:after="0" w:afterAutospacing="0"/>
              <w:ind w:left="0" w:right="0"/>
              <w:jc w:val="left"/>
              <w:rPr>
                <w:rFonts w:hint="default" w:ascii="仿宋_GB2312" w:hAnsi="仿宋" w:eastAsia="仿宋_GB2312" w:cs="宋体"/>
                <w:b/>
                <w:bCs/>
                <w:color w:val="auto"/>
                <w:kern w:val="0"/>
                <w:sz w:val="18"/>
                <w:szCs w:val="18"/>
                <w:highlight w:val="none"/>
              </w:rPr>
            </w:pPr>
          </w:p>
        </w:tc>
        <w:tc>
          <w:tcPr>
            <w:tcW w:w="1884" w:type="dxa"/>
            <w:tcBorders>
              <w:top w:val="nil"/>
              <w:left w:val="nil"/>
              <w:bottom w:val="single" w:color="auto" w:sz="4" w:space="0"/>
              <w:right w:val="single" w:color="auto" w:sz="4" w:space="0"/>
            </w:tcBorders>
            <w:noWrap w:val="0"/>
            <w:vAlign w:val="center"/>
          </w:tcPr>
          <w:p w14:paraId="06F0238F">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08" w:type="dxa"/>
            <w:tcBorders>
              <w:top w:val="nil"/>
              <w:left w:val="nil"/>
              <w:bottom w:val="single" w:color="auto" w:sz="4" w:space="0"/>
              <w:right w:val="single" w:color="auto" w:sz="4" w:space="0"/>
            </w:tcBorders>
            <w:noWrap w:val="0"/>
            <w:vAlign w:val="center"/>
          </w:tcPr>
          <w:p w14:paraId="1270EA7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749" w:type="dxa"/>
            <w:tcBorders>
              <w:top w:val="nil"/>
              <w:left w:val="nil"/>
              <w:bottom w:val="single" w:color="auto" w:sz="4" w:space="0"/>
              <w:right w:val="single" w:color="auto" w:sz="4" w:space="0"/>
            </w:tcBorders>
            <w:noWrap w:val="0"/>
            <w:vAlign w:val="center"/>
          </w:tcPr>
          <w:p w14:paraId="4FDD044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615" w:type="dxa"/>
            <w:tcBorders>
              <w:top w:val="nil"/>
              <w:left w:val="nil"/>
              <w:bottom w:val="single" w:color="auto" w:sz="4" w:space="0"/>
              <w:right w:val="single" w:color="auto" w:sz="4" w:space="0"/>
            </w:tcBorders>
            <w:noWrap w:val="0"/>
            <w:vAlign w:val="center"/>
          </w:tcPr>
          <w:p w14:paraId="2624720B">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077" w:type="dxa"/>
            <w:tcBorders>
              <w:top w:val="nil"/>
              <w:left w:val="nil"/>
              <w:bottom w:val="single" w:color="auto" w:sz="4" w:space="0"/>
              <w:right w:val="single" w:color="auto" w:sz="4" w:space="0"/>
            </w:tcBorders>
            <w:noWrap w:val="0"/>
            <w:vAlign w:val="center"/>
          </w:tcPr>
          <w:p w14:paraId="6F4EFBC0">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E690DB9">
        <w:tblPrEx>
          <w:tblCellMar>
            <w:top w:w="0" w:type="dxa"/>
            <w:left w:w="108" w:type="dxa"/>
            <w:bottom w:w="0" w:type="dxa"/>
            <w:right w:w="108" w:type="dxa"/>
          </w:tblCellMar>
        </w:tblPrEx>
        <w:trPr>
          <w:trHeight w:val="225" w:hRule="atLeast"/>
        </w:trPr>
        <w:tc>
          <w:tcPr>
            <w:tcW w:w="1885" w:type="dxa"/>
            <w:tcBorders>
              <w:top w:val="nil"/>
              <w:left w:val="single" w:color="auto" w:sz="4" w:space="0"/>
              <w:bottom w:val="single" w:color="auto" w:sz="4" w:space="0"/>
              <w:right w:val="single" w:color="auto" w:sz="4" w:space="0"/>
            </w:tcBorders>
            <w:noWrap w:val="0"/>
            <w:vAlign w:val="bottom"/>
          </w:tcPr>
          <w:p w14:paraId="4B0D1F54">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884" w:type="dxa"/>
            <w:tcBorders>
              <w:top w:val="nil"/>
              <w:left w:val="nil"/>
              <w:bottom w:val="single" w:color="auto" w:sz="4" w:space="0"/>
              <w:right w:val="single" w:color="auto" w:sz="4" w:space="0"/>
            </w:tcBorders>
            <w:noWrap w:val="0"/>
            <w:vAlign w:val="center"/>
          </w:tcPr>
          <w:p w14:paraId="02A3650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08" w:type="dxa"/>
            <w:tcBorders>
              <w:top w:val="nil"/>
              <w:left w:val="nil"/>
              <w:bottom w:val="single" w:color="auto" w:sz="4" w:space="0"/>
              <w:right w:val="single" w:color="auto" w:sz="4" w:space="0"/>
            </w:tcBorders>
            <w:noWrap w:val="0"/>
            <w:vAlign w:val="center"/>
          </w:tcPr>
          <w:p w14:paraId="2DDBDD1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749" w:type="dxa"/>
            <w:tcBorders>
              <w:top w:val="nil"/>
              <w:left w:val="nil"/>
              <w:bottom w:val="single" w:color="auto" w:sz="4" w:space="0"/>
              <w:right w:val="single" w:color="auto" w:sz="4" w:space="0"/>
            </w:tcBorders>
            <w:noWrap w:val="0"/>
            <w:vAlign w:val="center"/>
          </w:tcPr>
          <w:p w14:paraId="633E5EB5">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15" w:type="dxa"/>
            <w:tcBorders>
              <w:top w:val="nil"/>
              <w:left w:val="nil"/>
              <w:bottom w:val="single" w:color="auto" w:sz="4" w:space="0"/>
              <w:right w:val="single" w:color="auto" w:sz="4" w:space="0"/>
            </w:tcBorders>
            <w:noWrap w:val="0"/>
            <w:vAlign w:val="center"/>
          </w:tcPr>
          <w:p w14:paraId="59CFDB47">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77" w:type="dxa"/>
            <w:tcBorders>
              <w:top w:val="nil"/>
              <w:left w:val="nil"/>
              <w:bottom w:val="single" w:color="auto" w:sz="4" w:space="0"/>
              <w:right w:val="single" w:color="auto" w:sz="4" w:space="0"/>
            </w:tcBorders>
            <w:noWrap w:val="0"/>
            <w:vAlign w:val="center"/>
          </w:tcPr>
          <w:p w14:paraId="3951F311">
            <w:pPr>
              <w:keepNext w:val="0"/>
              <w:keepLines w:val="0"/>
              <w:widowControl/>
              <w:suppressLineNumbers w:val="0"/>
              <w:spacing w:before="0" w:beforeAutospacing="0" w:after="0" w:afterAutospacing="0"/>
              <w:ind w:left="0" w:right="0"/>
              <w:jc w:val="left"/>
              <w:rPr>
                <w:rFonts w:hint="default"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3AD2102A">
      <w:pPr>
        <w:spacing w:line="560" w:lineRule="exact"/>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BEB7149">
      <w:pPr>
        <w:pStyle w:val="17"/>
        <w:jc w:val="center"/>
        <w:outlineLvl w:val="0"/>
        <w:rPr>
          <w:rFonts w:hAnsi="宋体"/>
          <w:color w:val="auto"/>
          <w:highlight w:val="none"/>
        </w:rPr>
        <w:sectPr>
          <w:pgSz w:w="11906" w:h="16838"/>
          <w:pgMar w:top="1134" w:right="1474" w:bottom="1134" w:left="1587" w:header="720" w:footer="720" w:gutter="0"/>
          <w:pgNumType w:fmt="decimal"/>
          <w:cols w:space="720" w:num="1"/>
          <w:docGrid w:type="lines" w:linePitch="331" w:charSpace="0"/>
        </w:sectPr>
      </w:pPr>
    </w:p>
    <w:p w14:paraId="3A635344">
      <w:pPr>
        <w:pStyle w:val="2"/>
        <w:spacing w:line="360" w:lineRule="auto"/>
        <w:jc w:val="center"/>
        <w:rPr>
          <w:rFonts w:hint="eastAsia"/>
          <w:color w:val="auto"/>
          <w:highlight w:val="none"/>
        </w:rPr>
      </w:pPr>
      <w:bookmarkStart w:id="42" w:name="_Toc29813"/>
      <w:r>
        <w:rPr>
          <w:rFonts w:hint="eastAsia" w:ascii="Cambria" w:hAnsi="Cambria"/>
          <w:bCs w:val="0"/>
          <w:color w:val="auto"/>
          <w:sz w:val="32"/>
          <w:szCs w:val="32"/>
          <w:highlight w:val="none"/>
        </w:rPr>
        <w:t>第三章 供应商须知</w:t>
      </w:r>
      <w:bookmarkEnd w:id="42"/>
    </w:p>
    <w:p w14:paraId="2CE8E27E">
      <w:pPr>
        <w:pStyle w:val="3"/>
        <w:jc w:val="center"/>
        <w:rPr>
          <w:rFonts w:hint="eastAsia" w:ascii="宋体" w:hAnsi="宋体"/>
          <w:b w:val="0"/>
          <w:color w:val="auto"/>
          <w:highlight w:val="none"/>
        </w:rPr>
      </w:pPr>
      <w:bookmarkStart w:id="43" w:name="_Toc9253"/>
      <w:r>
        <w:rPr>
          <w:rFonts w:hint="eastAsia" w:ascii="宋体" w:hAnsi="宋体"/>
          <w:b w:val="0"/>
          <w:color w:val="auto"/>
          <w:highlight w:val="none"/>
          <w:lang w:eastAsia="zh-CN"/>
        </w:rPr>
        <w:t xml:space="preserve">第一节 </w:t>
      </w:r>
      <w:r>
        <w:rPr>
          <w:rFonts w:hint="eastAsia" w:ascii="宋体" w:hAnsi="宋体"/>
          <w:b w:val="0"/>
          <w:color w:val="auto"/>
          <w:highlight w:val="none"/>
        </w:rPr>
        <w:t>供应商须知前附表</w:t>
      </w:r>
      <w:bookmarkEnd w:id="43"/>
    </w:p>
    <w:tbl>
      <w:tblPr>
        <w:tblStyle w:val="30"/>
        <w:tblW w:w="10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6"/>
        <w:gridCol w:w="2625"/>
        <w:gridCol w:w="6853"/>
      </w:tblGrid>
      <w:tr w14:paraId="484BA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86" w:type="dxa"/>
            <w:noWrap w:val="0"/>
            <w:vAlign w:val="top"/>
          </w:tcPr>
          <w:p w14:paraId="76EFC94F">
            <w:pPr>
              <w:keepNext w:val="0"/>
              <w:keepLines w:val="0"/>
              <w:suppressLineNumbers w:val="0"/>
              <w:spacing w:before="0" w:beforeAutospacing="0" w:after="0" w:afterAutospacing="0" w:line="360" w:lineRule="auto"/>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625" w:type="dxa"/>
            <w:noWrap w:val="0"/>
            <w:vAlign w:val="center"/>
          </w:tcPr>
          <w:p w14:paraId="21A2D1BB">
            <w:pPr>
              <w:keepNext w:val="0"/>
              <w:keepLines w:val="0"/>
              <w:suppressLineNumbers w:val="0"/>
              <w:spacing w:before="0" w:beforeAutospacing="0" w:after="0" w:afterAutospacing="0" w:line="360" w:lineRule="auto"/>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853" w:type="dxa"/>
            <w:noWrap w:val="0"/>
            <w:vAlign w:val="top"/>
          </w:tcPr>
          <w:p w14:paraId="32269749">
            <w:pPr>
              <w:keepNext w:val="0"/>
              <w:keepLines w:val="0"/>
              <w:suppressLineNumbers w:val="0"/>
              <w:spacing w:before="0" w:beforeAutospacing="0" w:after="0" w:afterAutospacing="0" w:line="360" w:lineRule="auto"/>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75D33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21E4E60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2625" w:type="dxa"/>
            <w:noWrap w:val="0"/>
            <w:vAlign w:val="center"/>
          </w:tcPr>
          <w:p w14:paraId="636842D1">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853" w:type="dxa"/>
            <w:noWrap w:val="0"/>
            <w:vAlign w:val="top"/>
          </w:tcPr>
          <w:p w14:paraId="1ED213C3">
            <w:pPr>
              <w:keepNext w:val="0"/>
              <w:keepLines w:val="0"/>
              <w:suppressLineNumbers w:val="0"/>
              <w:spacing w:before="0" w:beforeAutospacing="0" w:after="0" w:afterAutospacing="0" w:line="360" w:lineRule="auto"/>
              <w:ind w:left="0" w:right="0"/>
              <w:rPr>
                <w:rFonts w:hint="eastAsia" w:ascii="宋体" w:hAnsi="宋体" w:cs="Calibri"/>
                <w:color w:val="auto"/>
                <w:szCs w:val="21"/>
                <w:highlight w:val="none"/>
              </w:rPr>
            </w:pPr>
            <w:r>
              <w:rPr>
                <w:rFonts w:hint="eastAsia" w:ascii="宋体" w:hAnsi="宋体" w:cs="Calibri"/>
                <w:color w:val="auto"/>
                <w:szCs w:val="21"/>
                <w:highlight w:val="none"/>
              </w:rPr>
              <w:t>供应商资格条件要求详见公告。</w:t>
            </w:r>
          </w:p>
        </w:tc>
      </w:tr>
      <w:tr w14:paraId="7249C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3697A939">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625" w:type="dxa"/>
            <w:noWrap w:val="0"/>
            <w:vAlign w:val="center"/>
          </w:tcPr>
          <w:p w14:paraId="6931D801">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853" w:type="dxa"/>
            <w:noWrap w:val="0"/>
            <w:vAlign w:val="center"/>
          </w:tcPr>
          <w:p w14:paraId="06D6ED17">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bookmarkStart w:id="44" w:name="PO_3000001868_PM007"/>
            <w:r>
              <w:rPr>
                <w:rFonts w:hint="eastAsia" w:ascii="宋体" w:hAnsi="宋体" w:cs="Calibri"/>
                <w:color w:val="auto"/>
                <w:szCs w:val="21"/>
                <w:highlight w:val="none"/>
              </w:rPr>
              <w:t>不允许联合体</w:t>
            </w:r>
            <w:r>
              <w:rPr>
                <w:rFonts w:hint="eastAsia" w:ascii="宋体" w:hAnsi="宋体" w:cs="Calibri"/>
                <w:color w:val="auto"/>
                <w:szCs w:val="21"/>
                <w:highlight w:val="none"/>
                <w:lang w:eastAsia="zh-CN"/>
              </w:rPr>
              <w:t>竞</w:t>
            </w:r>
            <w:r>
              <w:rPr>
                <w:rFonts w:hint="eastAsia" w:ascii="宋体" w:hAnsi="宋体" w:cs="Calibri"/>
                <w:color w:val="auto"/>
                <w:szCs w:val="21"/>
                <w:highlight w:val="none"/>
              </w:rPr>
              <w:t>标</w:t>
            </w:r>
            <w:bookmarkEnd w:id="44"/>
          </w:p>
        </w:tc>
      </w:tr>
      <w:tr w14:paraId="1537A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3CA949AA">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hint="default" w:ascii="宋体" w:hAnsi="宋体" w:cs="宋体"/>
                <w:color w:val="auto"/>
                <w:szCs w:val="21"/>
                <w:highlight w:val="none"/>
              </w:rPr>
              <w:t>.2</w:t>
            </w:r>
          </w:p>
        </w:tc>
        <w:tc>
          <w:tcPr>
            <w:tcW w:w="2625" w:type="dxa"/>
            <w:noWrap w:val="0"/>
            <w:vAlign w:val="center"/>
          </w:tcPr>
          <w:p w14:paraId="7D0E3A59">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Calibri"/>
                <w:color w:val="auto"/>
                <w:szCs w:val="21"/>
                <w:highlight w:val="none"/>
              </w:rPr>
              <w:t>联合体竞标要求</w:t>
            </w:r>
          </w:p>
        </w:tc>
        <w:tc>
          <w:tcPr>
            <w:tcW w:w="6853" w:type="dxa"/>
            <w:noWrap w:val="0"/>
            <w:vAlign w:val="center"/>
          </w:tcPr>
          <w:p w14:paraId="2532F821">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Calibri"/>
                <w:color w:val="auto"/>
                <w:szCs w:val="21"/>
                <w:highlight w:val="none"/>
              </w:rPr>
              <w:t>无</w:t>
            </w:r>
          </w:p>
        </w:tc>
      </w:tr>
      <w:tr w14:paraId="2A5B3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16663C15">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2625" w:type="dxa"/>
            <w:noWrap w:val="0"/>
            <w:vAlign w:val="center"/>
          </w:tcPr>
          <w:p w14:paraId="219BE8F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853" w:type="dxa"/>
            <w:noWrap w:val="0"/>
            <w:vAlign w:val="center"/>
          </w:tcPr>
          <w:p w14:paraId="0AB5E7E9">
            <w:pPr>
              <w:pStyle w:val="11"/>
              <w:keepNext w:val="0"/>
              <w:keepLines w:val="0"/>
              <w:suppressLineNumbers w:val="0"/>
              <w:spacing w:before="0" w:beforeAutospacing="0" w:after="0" w:afterAutospacing="0" w:line="360" w:lineRule="auto"/>
              <w:ind w:left="0" w:right="0"/>
              <w:rPr>
                <w:rFonts w:hint="eastAsia" w:ascii="宋体" w:hAnsi="宋体" w:cs="Calibri"/>
                <w:color w:val="auto"/>
                <w:szCs w:val="21"/>
                <w:highlight w:val="none"/>
                <w:lang w:val="en-US" w:eastAsia="zh-CN"/>
              </w:rPr>
            </w:pPr>
            <w:r>
              <w:rPr>
                <w:rFonts w:hint="eastAsia" w:ascii="宋体" w:hAnsi="宋体" w:cs="Calibri"/>
                <w:color w:val="auto"/>
                <w:szCs w:val="21"/>
                <w:highlight w:val="none"/>
                <w:lang w:val="en-US" w:eastAsia="zh-CN"/>
              </w:rPr>
              <w:t>☑不允许分包</w:t>
            </w:r>
          </w:p>
          <w:p w14:paraId="11DFAC9D">
            <w:pPr>
              <w:pStyle w:val="11"/>
              <w:keepNext w:val="0"/>
              <w:keepLines w:val="0"/>
              <w:suppressLineNumbers w:val="0"/>
              <w:spacing w:before="0" w:beforeAutospacing="0" w:after="0" w:afterAutospacing="0" w:line="360" w:lineRule="auto"/>
              <w:ind w:left="0" w:right="0"/>
              <w:rPr>
                <w:rFonts w:hint="eastAsia" w:ascii="宋体" w:hAnsi="宋体" w:cs="Calibri"/>
                <w:color w:val="auto"/>
                <w:szCs w:val="21"/>
                <w:highlight w:val="none"/>
                <w:lang w:val="en-US" w:eastAsia="zh-CN"/>
              </w:rPr>
            </w:pPr>
            <w:r>
              <w:rPr>
                <w:rFonts w:hint="eastAsia" w:ascii="宋体" w:hAnsi="宋体" w:cs="Calibri"/>
                <w:color w:val="auto"/>
                <w:szCs w:val="21"/>
                <w:highlight w:val="none"/>
                <w:lang w:val="en-US" w:eastAsia="zh-CN"/>
              </w:rPr>
              <w:t>□允许分包</w:t>
            </w:r>
          </w:p>
          <w:p w14:paraId="155E2ABC">
            <w:pPr>
              <w:pStyle w:val="11"/>
              <w:keepNext w:val="0"/>
              <w:keepLines w:val="0"/>
              <w:suppressLineNumbers w:val="0"/>
              <w:spacing w:before="0" w:beforeAutospacing="0" w:after="0" w:afterAutospacing="0" w:line="360" w:lineRule="auto"/>
              <w:ind w:left="0" w:right="0"/>
              <w:rPr>
                <w:rFonts w:hint="eastAsia" w:ascii="宋体" w:hAnsi="宋体" w:cs="Calibri"/>
                <w:color w:val="auto"/>
                <w:szCs w:val="21"/>
                <w:highlight w:val="none"/>
                <w:u w:val="single"/>
                <w:lang w:val="en-US" w:eastAsia="zh-CN"/>
              </w:rPr>
            </w:pPr>
            <w:r>
              <w:rPr>
                <w:rFonts w:hint="eastAsia" w:ascii="宋体" w:hAnsi="宋体" w:cs="Calibri"/>
                <w:color w:val="auto"/>
                <w:szCs w:val="21"/>
                <w:highlight w:val="none"/>
                <w:lang w:val="en-US" w:eastAsia="zh-CN"/>
              </w:rPr>
              <w:t>分包内容：</w:t>
            </w:r>
            <w:r>
              <w:rPr>
                <w:rFonts w:hint="eastAsia" w:ascii="宋体" w:hAnsi="宋体" w:cs="Calibri"/>
                <w:color w:val="auto"/>
                <w:szCs w:val="21"/>
                <w:highlight w:val="none"/>
                <w:u w:val="single"/>
                <w:lang w:val="en-US" w:eastAsia="zh-CN"/>
              </w:rPr>
              <w:t xml:space="preserve">        /                             。</w:t>
            </w:r>
          </w:p>
          <w:p w14:paraId="02DBAB62">
            <w:pPr>
              <w:pStyle w:val="11"/>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lang w:val="en-US" w:eastAsia="zh-CN"/>
              </w:rPr>
            </w:pPr>
            <w:r>
              <w:rPr>
                <w:rFonts w:hint="eastAsia" w:ascii="宋体" w:hAnsi="宋体" w:cs="Calibri"/>
                <w:color w:val="auto"/>
                <w:szCs w:val="21"/>
                <w:highlight w:val="none"/>
                <w:lang w:val="en-US" w:eastAsia="zh-CN"/>
              </w:rPr>
              <w:t>分包金额或者比例：</w:t>
            </w:r>
            <w:r>
              <w:rPr>
                <w:rFonts w:hint="eastAsia" w:ascii="宋体" w:hAnsi="宋体" w:cs="Calibri"/>
                <w:color w:val="auto"/>
                <w:szCs w:val="21"/>
                <w:highlight w:val="none"/>
                <w:u w:val="single"/>
                <w:lang w:val="en-US" w:eastAsia="zh-CN"/>
              </w:rPr>
              <w:t xml:space="preserve">        /                             。</w:t>
            </w:r>
          </w:p>
        </w:tc>
      </w:tr>
      <w:tr w14:paraId="323FC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4097F501">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hint="default" w:ascii="宋体" w:hAnsi="宋体" w:cs="宋体"/>
                <w:color w:val="auto"/>
                <w:szCs w:val="21"/>
                <w:highlight w:val="none"/>
              </w:rPr>
              <w:t>1</w:t>
            </w:r>
          </w:p>
        </w:tc>
        <w:tc>
          <w:tcPr>
            <w:tcW w:w="2625" w:type="dxa"/>
            <w:noWrap w:val="0"/>
            <w:vAlign w:val="center"/>
          </w:tcPr>
          <w:p w14:paraId="77851A80">
            <w:pPr>
              <w:keepNext w:val="0"/>
              <w:keepLines w:val="0"/>
              <w:suppressLineNumbers w:val="0"/>
              <w:snapToGrid w:val="0"/>
              <w:spacing w:before="0" w:beforeAutospacing="0" w:after="0" w:afterAutospacing="0" w:line="360" w:lineRule="auto"/>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0658FD27">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6853" w:type="dxa"/>
            <w:noWrap w:val="0"/>
            <w:vAlign w:val="center"/>
          </w:tcPr>
          <w:p w14:paraId="09827C2A">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Calibri"/>
                <w:color w:val="auto"/>
                <w:szCs w:val="21"/>
                <w:highlight w:val="none"/>
                <w:lang w:val="en-US" w:eastAsia="zh-CN"/>
              </w:rPr>
            </w:pPr>
            <w:r>
              <w:rPr>
                <w:rFonts w:hint="eastAsia" w:ascii="宋体" w:hAnsi="宋体" w:cs="宋体"/>
                <w:color w:val="auto"/>
                <w:szCs w:val="21"/>
                <w:highlight w:val="none"/>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3BDEC6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Calibri"/>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b/>
                <w:bCs/>
                <w:color w:val="auto"/>
                <w:szCs w:val="21"/>
                <w:highlight w:val="none"/>
                <w:u w:val="single"/>
                <w:lang w:val="en-US" w:eastAsia="zh-CN"/>
              </w:rPr>
              <w:t>响应文件递交截止日前半年</w:t>
            </w:r>
            <w:r>
              <w:rPr>
                <w:rFonts w:hint="eastAsia" w:ascii="宋体" w:hAnsi="宋体" w:cs="宋体"/>
                <w:b/>
                <w:bCs/>
                <w:color w:val="auto"/>
                <w:szCs w:val="21"/>
                <w:highlight w:val="none"/>
                <w:u w:val="single"/>
                <w:lang w:eastAsia="zh-CN"/>
              </w:rPr>
              <w:t>内</w:t>
            </w:r>
            <w:r>
              <w:rPr>
                <w:rFonts w:hint="eastAsia" w:ascii="宋体" w:hAnsi="宋体" w:cs="宋体"/>
                <w:b/>
                <w:bCs/>
                <w:color w:val="auto"/>
                <w:szCs w:val="21"/>
                <w:highlight w:val="none"/>
                <w:u w:val="single"/>
              </w:rPr>
              <w:t>连续3个月</w:t>
            </w:r>
            <w:r>
              <w:rPr>
                <w:rFonts w:hint="eastAsia" w:ascii="宋体" w:hAnsi="宋体" w:cs="宋体"/>
                <w:color w:val="auto"/>
                <w:szCs w:val="21"/>
                <w:highlight w:val="none"/>
              </w:rPr>
              <w:t>的依法缴纳税收的凭据复印件；依</w:t>
            </w:r>
            <w:r>
              <w:rPr>
                <w:rFonts w:hint="eastAsia" w:ascii="宋体" w:hAnsi="宋体" w:cs="Calibri"/>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s="Calibri"/>
                <w:color w:val="auto"/>
                <w:szCs w:val="21"/>
                <w:highlight w:val="none"/>
              </w:rPr>
              <w:t>相应证明文件</w:t>
            </w:r>
            <w:r>
              <w:rPr>
                <w:rFonts w:hint="eastAsia" w:ascii="宋体" w:hAnsi="宋体" w:cs="宋体"/>
                <w:color w:val="auto"/>
                <w:szCs w:val="21"/>
                <w:highlight w:val="none"/>
              </w:rPr>
              <w:t>）</w:t>
            </w:r>
            <w:r>
              <w:rPr>
                <w:rFonts w:hint="eastAsia" w:ascii="宋体" w:hAnsi="宋体" w:cs="Calibri"/>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Calibri"/>
                <w:color w:val="auto"/>
                <w:szCs w:val="21"/>
                <w:highlight w:val="none"/>
              </w:rPr>
              <w:t>）</w:t>
            </w:r>
          </w:p>
          <w:p w14:paraId="1DACE2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Calibri"/>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b/>
                <w:bCs/>
                <w:color w:val="auto"/>
                <w:szCs w:val="21"/>
                <w:highlight w:val="none"/>
                <w:u w:val="single"/>
                <w:lang w:val="en-US" w:eastAsia="zh-CN"/>
              </w:rPr>
              <w:t>响应文件递交截止日前半年</w:t>
            </w:r>
            <w:r>
              <w:rPr>
                <w:rFonts w:hint="eastAsia" w:ascii="宋体" w:hAnsi="宋体" w:cs="宋体"/>
                <w:b/>
                <w:bCs/>
                <w:color w:val="auto"/>
                <w:szCs w:val="21"/>
                <w:highlight w:val="none"/>
                <w:u w:val="single"/>
                <w:lang w:eastAsia="zh-CN"/>
              </w:rPr>
              <w:t>内</w:t>
            </w:r>
            <w:r>
              <w:rPr>
                <w:rFonts w:hint="eastAsia" w:ascii="宋体" w:hAnsi="宋体" w:cs="宋体"/>
                <w:b/>
                <w:bCs/>
                <w:color w:val="auto"/>
                <w:szCs w:val="21"/>
                <w:highlight w:val="none"/>
                <w:u w:val="single"/>
              </w:rPr>
              <w:t>连续3个月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s="Calibri"/>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s="Calibri"/>
                <w:color w:val="auto"/>
                <w:szCs w:val="21"/>
                <w:highlight w:val="none"/>
              </w:rPr>
              <w:t>相应证明文件；（</w:t>
            </w:r>
            <w:r>
              <w:rPr>
                <w:rFonts w:hint="eastAsia" w:ascii="宋体" w:hAnsi="宋体" w:cs="宋体"/>
                <w:b/>
                <w:color w:val="auto"/>
                <w:szCs w:val="21"/>
                <w:highlight w:val="none"/>
              </w:rPr>
              <w:t>必须提供，否则响应文件按无效响应处理</w:t>
            </w:r>
            <w:r>
              <w:rPr>
                <w:rFonts w:hint="eastAsia" w:ascii="宋体" w:hAnsi="宋体" w:cs="Calibri"/>
                <w:color w:val="auto"/>
                <w:szCs w:val="21"/>
                <w:highlight w:val="none"/>
              </w:rPr>
              <w:t>）</w:t>
            </w:r>
          </w:p>
          <w:p w14:paraId="11732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Calibri"/>
                <w:color w:val="auto"/>
                <w:szCs w:val="21"/>
                <w:highlight w:val="none"/>
              </w:rPr>
            </w:pPr>
            <w:r>
              <w:rPr>
                <w:rFonts w:hint="eastAsia" w:ascii="宋体" w:hAnsi="宋体" w:cs="宋体"/>
                <w:color w:val="auto"/>
                <w:szCs w:val="21"/>
                <w:highlight w:val="none"/>
              </w:rPr>
              <w:t>4.供应商财务状况报告：</w:t>
            </w:r>
            <w:r>
              <w:rPr>
                <w:rFonts w:hint="eastAsia" w:ascii="宋体" w:hAnsi="宋体" w:cs="Calibri"/>
                <w:b/>
                <w:bCs/>
                <w:color w:val="auto"/>
                <w:szCs w:val="21"/>
                <w:highlight w:val="none"/>
                <w:u w:val="single"/>
                <w:lang w:val="en-US" w:eastAsia="zh-CN"/>
              </w:rPr>
              <w:t>2025年</w:t>
            </w:r>
            <w:r>
              <w:rPr>
                <w:rFonts w:hint="eastAsia" w:ascii="宋体" w:hAnsi="宋体" w:cs="Calibri"/>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必须提供，否则响应文件按无效响应处理</w:t>
            </w:r>
            <w:r>
              <w:rPr>
                <w:rFonts w:hint="eastAsia" w:ascii="宋体" w:hAnsi="宋体" w:cs="Calibri"/>
                <w:color w:val="auto"/>
                <w:szCs w:val="21"/>
                <w:highlight w:val="none"/>
              </w:rPr>
              <w:t>）</w:t>
            </w:r>
          </w:p>
          <w:p w14:paraId="4208C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3C3F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6.资格声明；（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34507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Calibri"/>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Times New Roman" w:hAnsi="宋体" w:eastAsia="宋体" w:cs="宋体"/>
                <w:color w:val="auto"/>
                <w:spacing w:val="6"/>
                <w:kern w:val="48"/>
                <w:sz w:val="21"/>
                <w:szCs w:val="21"/>
                <w:highlight w:val="none"/>
                <w:lang w:eastAsia="zh-CN"/>
              </w:rPr>
              <w:t>供应商须具备人力资源和社会保障部门颁发的有效的《人力资源服务许可证》</w:t>
            </w:r>
            <w:r>
              <w:rPr>
                <w:rFonts w:hint="eastAsia" w:ascii="宋体" w:hAnsi="宋体" w:cs="宋体"/>
                <w:color w:val="auto"/>
                <w:szCs w:val="21"/>
                <w:highlight w:val="none"/>
              </w:rPr>
              <w:t>；</w:t>
            </w:r>
            <w:r>
              <w:rPr>
                <w:rFonts w:hint="eastAsia" w:ascii="宋体" w:hAnsi="宋体" w:cs="Calibri"/>
                <w:color w:val="auto"/>
                <w:szCs w:val="21"/>
                <w:highlight w:val="none"/>
              </w:rPr>
              <w:t>（</w:t>
            </w:r>
            <w:r>
              <w:rPr>
                <w:rFonts w:hint="eastAsia" w:ascii="宋体" w:hAnsi="宋体" w:cs="Calibri"/>
                <w:b/>
                <w:color w:val="auto"/>
                <w:szCs w:val="21"/>
                <w:highlight w:val="none"/>
              </w:rPr>
              <w:t>必须提供，否则响应文件按无效响应处理</w:t>
            </w:r>
            <w:r>
              <w:rPr>
                <w:rFonts w:hint="eastAsia" w:ascii="宋体" w:hAnsi="宋体" w:cs="Calibri"/>
                <w:color w:val="auto"/>
                <w:szCs w:val="21"/>
                <w:highlight w:val="none"/>
              </w:rPr>
              <w:t>）</w:t>
            </w:r>
          </w:p>
          <w:p w14:paraId="2E416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Calibri"/>
                <w:color w:val="auto"/>
                <w:szCs w:val="21"/>
                <w:highlight w:val="none"/>
                <w:lang w:val="en-US" w:eastAsia="zh-CN"/>
              </w:rPr>
            </w:pPr>
            <w:r>
              <w:rPr>
                <w:rFonts w:hint="eastAsia" w:ascii="宋体" w:hAnsi="宋体" w:cs="Calibri"/>
                <w:color w:val="auto"/>
                <w:szCs w:val="21"/>
                <w:highlight w:val="none"/>
                <w:lang w:val="en-US" w:eastAsia="zh-CN"/>
              </w:rPr>
              <w:t>8.</w:t>
            </w:r>
            <w:r>
              <w:rPr>
                <w:rFonts w:hint="eastAsia" w:ascii="宋体" w:hAnsi="宋体" w:cs="宋体"/>
                <w:color w:val="auto"/>
                <w:szCs w:val="21"/>
                <w:highlight w:val="none"/>
              </w:rPr>
              <w:t>中小企业声明函或残疾人福利性单位声明函或投标人属于监狱企业的证明材料</w:t>
            </w:r>
            <w:r>
              <w:rPr>
                <w:rFonts w:hint="eastAsia" w:ascii="宋体" w:hAnsi="宋体" w:cs="Calibri"/>
                <w:color w:val="auto"/>
                <w:szCs w:val="21"/>
                <w:highlight w:val="none"/>
              </w:rPr>
              <w:t>。（</w:t>
            </w:r>
            <w:r>
              <w:rPr>
                <w:rFonts w:hint="eastAsia" w:ascii="宋体" w:hAnsi="宋体" w:cs="Calibri"/>
                <w:b/>
                <w:color w:val="auto"/>
                <w:szCs w:val="21"/>
                <w:highlight w:val="none"/>
              </w:rPr>
              <w:t>必须提供，则响应文件按无效响应处理</w:t>
            </w:r>
            <w:r>
              <w:rPr>
                <w:rFonts w:hint="eastAsia" w:ascii="宋体" w:hAnsi="宋体" w:cs="Calibri"/>
                <w:color w:val="auto"/>
                <w:szCs w:val="21"/>
                <w:highlight w:val="none"/>
              </w:rPr>
              <w:t>）</w:t>
            </w:r>
          </w:p>
          <w:p w14:paraId="68BD30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.除磋商文件规定必须提供以外，供应商认为需要提供的其他证明材料；</w:t>
            </w:r>
          </w:p>
          <w:p w14:paraId="71075B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注：</w:t>
            </w:r>
          </w:p>
          <w:p w14:paraId="345BA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jc w:val="left"/>
              <w:textAlignment w:val="auto"/>
              <w:rPr>
                <w:rFonts w:hint="eastAsia" w:ascii="宋体" w:hAnsi="宋体" w:cs="宋体"/>
                <w:b/>
                <w:color w:val="auto"/>
                <w:szCs w:val="21"/>
                <w:highlight w:val="none"/>
                <w:lang w:val="en-US" w:eastAsia="zh-CN"/>
              </w:rPr>
            </w:pPr>
            <w:r>
              <w:rPr>
                <w:rFonts w:hint="eastAsia" w:ascii="宋体" w:hAnsi="宋体" w:cs="宋体"/>
                <w:b/>
                <w:color w:val="auto"/>
                <w:szCs w:val="21"/>
                <w:highlight w:val="none"/>
              </w:rPr>
              <w:t>以上标明“必须提供”的材料属于复印件的扫描件的，必须加盖供应商电子公章，否则响应文件按无效响应处理。</w:t>
            </w:r>
          </w:p>
        </w:tc>
      </w:tr>
      <w:tr w14:paraId="63EAE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vMerge w:val="restart"/>
            <w:noWrap w:val="0"/>
            <w:vAlign w:val="center"/>
          </w:tcPr>
          <w:p w14:paraId="4B287C2F">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hint="default" w:ascii="宋体" w:hAnsi="宋体" w:cs="宋体"/>
                <w:color w:val="auto"/>
                <w:szCs w:val="21"/>
                <w:highlight w:val="none"/>
              </w:rPr>
              <w:t>1</w:t>
            </w:r>
            <w:r>
              <w:rPr>
                <w:rFonts w:hint="eastAsia" w:ascii="宋体" w:hAnsi="宋体" w:cs="宋体"/>
                <w:color w:val="auto"/>
                <w:szCs w:val="21"/>
                <w:highlight w:val="none"/>
              </w:rPr>
              <w:t>.</w:t>
            </w:r>
            <w:r>
              <w:rPr>
                <w:rFonts w:hint="default" w:ascii="宋体" w:hAnsi="宋体" w:cs="宋体"/>
                <w:color w:val="auto"/>
                <w:szCs w:val="21"/>
                <w:highlight w:val="none"/>
              </w:rPr>
              <w:t>2</w:t>
            </w:r>
          </w:p>
        </w:tc>
        <w:tc>
          <w:tcPr>
            <w:tcW w:w="2625" w:type="dxa"/>
            <w:noWrap w:val="0"/>
            <w:vAlign w:val="center"/>
          </w:tcPr>
          <w:p w14:paraId="61B1E65E">
            <w:pPr>
              <w:keepNext w:val="0"/>
              <w:keepLines w:val="0"/>
              <w:suppressLineNumbers w:val="0"/>
              <w:spacing w:before="0" w:beforeAutospacing="0" w:after="0" w:afterAutospacing="0" w:line="360" w:lineRule="auto"/>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53" w:type="dxa"/>
            <w:noWrap w:val="0"/>
            <w:vAlign w:val="center"/>
          </w:tcPr>
          <w:p w14:paraId="459BC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E873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8527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0E5085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0C4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5.竞标人情况介绍；</w:t>
            </w:r>
          </w:p>
          <w:p w14:paraId="37505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08105A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747D9E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13" w:firstLineChars="196"/>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42A1CD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13" w:firstLineChars="196"/>
              <w:textAlignment w:val="auto"/>
              <w:rPr>
                <w:rFonts w:hint="eastAsia" w:ascii="宋体" w:hAnsi="宋体" w:cs="宋体"/>
                <w:b/>
                <w:color w:val="auto"/>
                <w:szCs w:val="21"/>
                <w:highlight w:val="none"/>
              </w:rPr>
            </w:pPr>
            <w:r>
              <w:rPr>
                <w:rFonts w:hint="default" w:ascii="宋体" w:hAnsi="宋体" w:cs="宋体"/>
                <w:b/>
                <w:color w:val="auto"/>
                <w:szCs w:val="21"/>
                <w:highlight w:val="none"/>
              </w:rPr>
              <w:t>2</w:t>
            </w:r>
            <w:r>
              <w:rPr>
                <w:rFonts w:hint="eastAsia" w:ascii="宋体" w:hAnsi="宋体" w:cs="宋体"/>
                <w:b/>
                <w:color w:val="auto"/>
                <w:szCs w:val="21"/>
                <w:highlight w:val="none"/>
              </w:rPr>
              <w:t>.以上标明“必须提供”的材料属于复印件的扫描件的，必须加盖供应商电子公章，否则响应文件按无效响应处理。</w:t>
            </w:r>
          </w:p>
        </w:tc>
      </w:tr>
      <w:tr w14:paraId="598B6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vMerge w:val="continue"/>
            <w:noWrap w:val="0"/>
            <w:vAlign w:val="center"/>
          </w:tcPr>
          <w:p w14:paraId="37DE3253">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2625" w:type="dxa"/>
            <w:noWrap w:val="0"/>
            <w:vAlign w:val="center"/>
          </w:tcPr>
          <w:p w14:paraId="74DAC36C">
            <w:pPr>
              <w:keepNext w:val="0"/>
              <w:keepLines w:val="0"/>
              <w:suppressLineNumbers w:val="0"/>
              <w:spacing w:before="0" w:beforeAutospacing="0" w:after="0" w:afterAutospacing="0" w:line="360" w:lineRule="auto"/>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53" w:type="dxa"/>
            <w:noWrap w:val="0"/>
            <w:vAlign w:val="center"/>
          </w:tcPr>
          <w:p w14:paraId="1607C6A4">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1.服务需求偏离表；（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1EA0BB">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2.组织服务方案；（</w:t>
            </w:r>
            <w:r>
              <w:rPr>
                <w:rFonts w:hint="eastAsia" w:ascii="宋体" w:hAnsi="宋体" w:eastAsia="宋体" w:cs="Times New Roman"/>
                <w:b/>
                <w:color w:val="auto"/>
                <w:szCs w:val="21"/>
                <w:highlight w:val="none"/>
                <w:lang w:val="en-US" w:eastAsia="zh-CN"/>
              </w:rPr>
              <w:t>由竞标人自行结合“项目采购需求”及“评标办法”编制。必须提供，否则作无效投标处理</w:t>
            </w:r>
            <w:r>
              <w:rPr>
                <w:rFonts w:hint="eastAsia" w:ascii="宋体" w:hAnsi="宋体" w:cs="宋体"/>
                <w:color w:val="auto"/>
                <w:szCs w:val="21"/>
                <w:highlight w:val="none"/>
              </w:rPr>
              <w:t>）</w:t>
            </w:r>
          </w:p>
          <w:p w14:paraId="7B61B2EA">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.售后服务承诺；（</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9D5E29A">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4.项目实施人员一览表；（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p w14:paraId="55B0AB2A">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5.对应采购需求的服务需求、商务条款提供的其他文件资料；</w:t>
            </w:r>
          </w:p>
          <w:p w14:paraId="0DA045AF">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6866D846">
            <w:pPr>
              <w:keepNext w:val="0"/>
              <w:keepLines w:val="0"/>
              <w:suppressLineNumbers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1E53F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2678DF6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hint="default" w:ascii="宋体" w:hAnsi="宋体" w:cs="宋体"/>
                <w:color w:val="auto"/>
                <w:szCs w:val="21"/>
                <w:highlight w:val="none"/>
              </w:rPr>
              <w:t>1</w:t>
            </w:r>
            <w:r>
              <w:rPr>
                <w:rFonts w:hint="eastAsia" w:ascii="宋体" w:hAnsi="宋体" w:cs="宋体"/>
                <w:color w:val="auto"/>
                <w:szCs w:val="21"/>
                <w:highlight w:val="none"/>
              </w:rPr>
              <w:t>.2</w:t>
            </w:r>
          </w:p>
        </w:tc>
        <w:tc>
          <w:tcPr>
            <w:tcW w:w="2625" w:type="dxa"/>
            <w:noWrap w:val="0"/>
            <w:vAlign w:val="center"/>
          </w:tcPr>
          <w:p w14:paraId="243A877F">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853" w:type="dxa"/>
            <w:noWrap w:val="0"/>
            <w:vAlign w:val="center"/>
          </w:tcPr>
          <w:p w14:paraId="173F8DE7">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bCs/>
                <w:color w:val="auto"/>
                <w:szCs w:val="21"/>
                <w:highlight w:val="none"/>
              </w:rPr>
              <w:t>（必须提供，否则作无效响应处理）</w:t>
            </w:r>
          </w:p>
          <w:p w14:paraId="6E69E9DB">
            <w:pPr>
              <w:keepNext w:val="0"/>
              <w:keepLines w:val="0"/>
              <w:suppressLineNumbers w:val="0"/>
              <w:snapToGrid w:val="0"/>
              <w:spacing w:before="0" w:beforeAutospacing="0" w:after="0" w:afterAutospacing="0" w:line="360" w:lineRule="auto"/>
              <w:ind w:left="0" w:right="0"/>
              <w:jc w:val="left"/>
              <w:rPr>
                <w:rFonts w:hint="eastAsia" w:ascii="Calibri" w:hAnsi="Calibri" w:cs="Calibri"/>
                <w:color w:val="auto"/>
                <w:highlight w:val="none"/>
                <w:lang w:eastAsia="zh-CN"/>
              </w:rPr>
            </w:pPr>
            <w:r>
              <w:rPr>
                <w:rFonts w:hint="eastAsia" w:ascii="宋体" w:hAnsi="宋体" w:eastAsia="宋体" w:cs="宋体"/>
                <w:color w:val="auto"/>
                <w:szCs w:val="21"/>
                <w:highlight w:val="none"/>
              </w:rPr>
              <w:t>2.响应报价表；</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b/>
                <w:bCs/>
                <w:color w:val="auto"/>
                <w:szCs w:val="21"/>
                <w:highlight w:val="none"/>
                <w:lang w:val="en-US" w:eastAsia="zh-CN"/>
              </w:rPr>
              <w:t xml:space="preserve">            </w:t>
            </w:r>
          </w:p>
        </w:tc>
      </w:tr>
      <w:tr w14:paraId="76A56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603CCC4C">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hint="default" w:ascii="宋体" w:hAnsi="宋体" w:cs="宋体"/>
                <w:color w:val="auto"/>
                <w:szCs w:val="21"/>
                <w:highlight w:val="none"/>
              </w:rPr>
              <w:t>2</w:t>
            </w:r>
          </w:p>
        </w:tc>
        <w:tc>
          <w:tcPr>
            <w:tcW w:w="2625" w:type="dxa"/>
            <w:noWrap w:val="0"/>
            <w:vAlign w:val="center"/>
          </w:tcPr>
          <w:p w14:paraId="26705264">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853" w:type="dxa"/>
            <w:noWrap w:val="0"/>
            <w:vAlign w:val="center"/>
          </w:tcPr>
          <w:p w14:paraId="1EC8FC42">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s="Calibri"/>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AC045B6">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w:t>
            </w:r>
            <w:r>
              <w:rPr>
                <w:rFonts w:hint="eastAsia" w:ascii="宋体" w:hAnsi="宋体" w:eastAsia="宋体" w:cs="宋体"/>
                <w:color w:val="auto"/>
                <w:kern w:val="0"/>
                <w:szCs w:val="21"/>
                <w:highlight w:val="none"/>
              </w:rPr>
              <w:t>广西政府采购</w:t>
            </w:r>
            <w:r>
              <w:rPr>
                <w:rFonts w:hint="eastAsia" w:ascii="宋体" w:hAnsi="宋体" w:cs="Courier New"/>
                <w:color w:val="auto"/>
                <w:szCs w:val="21"/>
                <w:highlight w:val="none"/>
              </w:rPr>
              <w:t>云”平台投送。（操作方式见公告附件“</w:t>
            </w:r>
            <w:r>
              <w:rPr>
                <w:rFonts w:hint="eastAsia" w:ascii="宋体" w:hAnsi="宋体" w:cs="Calibri"/>
                <w:color w:val="auto"/>
                <w:szCs w:val="21"/>
                <w:highlight w:val="none"/>
              </w:rPr>
              <w:t>电子响应文件制作与投送教程</w:t>
            </w:r>
            <w:r>
              <w:rPr>
                <w:rFonts w:hint="eastAsia" w:ascii="宋体" w:hAnsi="宋体" w:cs="Courier New"/>
                <w:color w:val="auto"/>
                <w:szCs w:val="21"/>
                <w:highlight w:val="none"/>
              </w:rPr>
              <w:t>” ）</w:t>
            </w:r>
          </w:p>
        </w:tc>
      </w:tr>
      <w:tr w14:paraId="3F107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06447834">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2625" w:type="dxa"/>
            <w:noWrap w:val="0"/>
            <w:vAlign w:val="center"/>
          </w:tcPr>
          <w:p w14:paraId="57F6B0BB">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6853" w:type="dxa"/>
            <w:noWrap w:val="0"/>
            <w:vAlign w:val="center"/>
          </w:tcPr>
          <w:p w14:paraId="7A181390">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Calibri"/>
                <w:b/>
                <w:color w:val="auto"/>
                <w:szCs w:val="21"/>
                <w:highlight w:val="none"/>
              </w:rPr>
              <w:t>（采购需求另有约定的，从其约定。）</w:t>
            </w:r>
          </w:p>
        </w:tc>
      </w:tr>
      <w:tr w14:paraId="77932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17EE95B2">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hint="default" w:ascii="宋体" w:hAnsi="宋体" w:cs="宋体"/>
                <w:color w:val="auto"/>
                <w:szCs w:val="21"/>
                <w:highlight w:val="none"/>
              </w:rPr>
              <w:t>2</w:t>
            </w:r>
          </w:p>
        </w:tc>
        <w:tc>
          <w:tcPr>
            <w:tcW w:w="2625" w:type="dxa"/>
            <w:noWrap w:val="0"/>
            <w:vAlign w:val="center"/>
          </w:tcPr>
          <w:p w14:paraId="7C5D0205">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853" w:type="dxa"/>
            <w:noWrap w:val="0"/>
            <w:vAlign w:val="center"/>
          </w:tcPr>
          <w:p w14:paraId="67A2782F">
            <w:pPr>
              <w:pStyle w:val="10"/>
              <w:keepNext w:val="0"/>
              <w:keepLines w:val="0"/>
              <w:widowControl w:val="0"/>
              <w:suppressLineNumbers w:val="0"/>
              <w:tabs>
                <w:tab w:val="clear" w:pos="454"/>
              </w:tabs>
              <w:snapToGrid w:val="0"/>
              <w:spacing w:before="0" w:beforeAutospacing="0" w:afterLines="0" w:afterAutospacing="0" w:line="360" w:lineRule="auto"/>
              <w:ind w:left="283" w:right="0"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bookmarkStart w:id="45" w:name="PO_3000001868_PM046"/>
            <w:r>
              <w:rPr>
                <w:rFonts w:hint="eastAsia" w:ascii="宋体" w:hAnsi="宋体" w:cs="宋体"/>
                <w:color w:val="auto"/>
                <w:kern w:val="2"/>
                <w:sz w:val="21"/>
                <w:szCs w:val="21"/>
                <w:highlight w:val="none"/>
                <w:u w:val="single"/>
              </w:rPr>
              <w:t>60日历天</w:t>
            </w:r>
            <w:bookmarkEnd w:id="45"/>
            <w:r>
              <w:rPr>
                <w:rFonts w:hint="eastAsia" w:ascii="宋体" w:hAnsi="宋体" w:cs="宋体"/>
                <w:color w:val="auto"/>
                <w:kern w:val="2"/>
                <w:sz w:val="21"/>
                <w:szCs w:val="21"/>
                <w:highlight w:val="none"/>
              </w:rPr>
              <w:t>日。</w:t>
            </w:r>
          </w:p>
        </w:tc>
      </w:tr>
      <w:tr w14:paraId="27B21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4FE54D7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2625" w:type="dxa"/>
            <w:noWrap w:val="0"/>
            <w:vAlign w:val="center"/>
          </w:tcPr>
          <w:p w14:paraId="5A7D74D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853" w:type="dxa"/>
            <w:noWrap w:val="0"/>
            <w:vAlign w:val="center"/>
          </w:tcPr>
          <w:p w14:paraId="3521E7C9">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cs="Calibri"/>
                <w:color w:val="auto"/>
                <w:szCs w:val="21"/>
                <w:highlight w:val="none"/>
              </w:rPr>
            </w:pPr>
            <w:r>
              <w:rPr>
                <w:rFonts w:hint="eastAsia" w:ascii="宋体" w:hAnsi="宋体" w:cs="Calibri"/>
                <w:color w:val="auto"/>
                <w:szCs w:val="21"/>
                <w:highlight w:val="none"/>
              </w:rPr>
              <w:t>本项目不收取磋商保证金。</w:t>
            </w:r>
          </w:p>
        </w:tc>
      </w:tr>
      <w:tr w14:paraId="6F9B2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86" w:type="dxa"/>
            <w:vMerge w:val="restart"/>
            <w:noWrap w:val="0"/>
            <w:vAlign w:val="center"/>
          </w:tcPr>
          <w:p w14:paraId="1402061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2625" w:type="dxa"/>
            <w:noWrap w:val="0"/>
            <w:vAlign w:val="center"/>
          </w:tcPr>
          <w:p w14:paraId="414F1584">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3" w:type="dxa"/>
            <w:noWrap w:val="0"/>
            <w:vAlign w:val="center"/>
          </w:tcPr>
          <w:p w14:paraId="0C9C43CA">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17FE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86" w:type="dxa"/>
            <w:vMerge w:val="continue"/>
            <w:noWrap w:val="0"/>
            <w:vAlign w:val="center"/>
          </w:tcPr>
          <w:p w14:paraId="6BD96D71">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2625" w:type="dxa"/>
            <w:noWrap w:val="0"/>
            <w:vAlign w:val="center"/>
          </w:tcPr>
          <w:p w14:paraId="459A0102">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3" w:type="dxa"/>
            <w:noWrap w:val="0"/>
            <w:vAlign w:val="center"/>
          </w:tcPr>
          <w:p w14:paraId="3F26E834">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9191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86" w:type="dxa"/>
            <w:noWrap w:val="0"/>
            <w:vAlign w:val="center"/>
          </w:tcPr>
          <w:p w14:paraId="4CF79B40">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20.6</w:t>
            </w:r>
          </w:p>
        </w:tc>
        <w:tc>
          <w:tcPr>
            <w:tcW w:w="2625" w:type="dxa"/>
            <w:noWrap w:val="0"/>
            <w:vAlign w:val="center"/>
          </w:tcPr>
          <w:p w14:paraId="2095DAAD">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6853" w:type="dxa"/>
            <w:noWrap w:val="0"/>
            <w:vAlign w:val="center"/>
          </w:tcPr>
          <w:p w14:paraId="5035BD2C">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Calibri"/>
                <w:color w:val="auto"/>
                <w:szCs w:val="21"/>
                <w:highlight w:val="none"/>
              </w:rPr>
              <w:t>本项目不接受备份响应文件。</w:t>
            </w:r>
          </w:p>
        </w:tc>
      </w:tr>
      <w:tr w14:paraId="5E773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86" w:type="dxa"/>
            <w:noWrap w:val="0"/>
            <w:vAlign w:val="center"/>
          </w:tcPr>
          <w:p w14:paraId="3F83DA59">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2625" w:type="dxa"/>
            <w:noWrap w:val="0"/>
            <w:vAlign w:val="center"/>
          </w:tcPr>
          <w:p w14:paraId="057CCFC1">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首次响应文件的退回</w:t>
            </w:r>
          </w:p>
        </w:tc>
        <w:tc>
          <w:tcPr>
            <w:tcW w:w="6853" w:type="dxa"/>
            <w:noWrap w:val="0"/>
            <w:vAlign w:val="center"/>
          </w:tcPr>
          <w:p w14:paraId="2BB7584D">
            <w:pPr>
              <w:keepNext w:val="0"/>
              <w:keepLines w:val="0"/>
              <w:suppressLineNumbers w:val="0"/>
              <w:snapToGrid w:val="0"/>
              <w:spacing w:before="0" w:beforeAutospacing="0" w:after="0" w:afterAutospacing="0" w:line="360" w:lineRule="auto"/>
              <w:ind w:left="0" w:right="0"/>
              <w:jc w:val="left"/>
              <w:rPr>
                <w:rFonts w:hint="eastAsia" w:ascii="宋体" w:hAnsi="宋体" w:cs="Calibri"/>
                <w:color w:val="auto"/>
                <w:szCs w:val="21"/>
                <w:highlight w:val="none"/>
              </w:rPr>
            </w:pPr>
            <w:r>
              <w:rPr>
                <w:rFonts w:hint="eastAsia" w:ascii="宋体" w:hAnsi="宋体" w:cs="宋体"/>
                <w:color w:val="auto"/>
                <w:szCs w:val="21"/>
                <w:highlight w:val="none"/>
              </w:rPr>
              <w:t>详见竞争性磋商公告。</w:t>
            </w:r>
          </w:p>
        </w:tc>
      </w:tr>
      <w:tr w14:paraId="04B24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86" w:type="dxa"/>
            <w:vMerge w:val="restart"/>
            <w:noWrap w:val="0"/>
            <w:vAlign w:val="center"/>
          </w:tcPr>
          <w:p w14:paraId="68D9E9B3">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hint="default" w:ascii="宋体" w:hAnsi="宋体" w:cs="宋体"/>
                <w:color w:val="auto"/>
                <w:szCs w:val="21"/>
                <w:highlight w:val="none"/>
              </w:rPr>
              <w:t>6.2</w:t>
            </w:r>
          </w:p>
        </w:tc>
        <w:tc>
          <w:tcPr>
            <w:tcW w:w="2625" w:type="dxa"/>
            <w:noWrap w:val="0"/>
            <w:vAlign w:val="center"/>
          </w:tcPr>
          <w:p w14:paraId="42C9F8ED">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6853" w:type="dxa"/>
            <w:noWrap w:val="0"/>
            <w:vAlign w:val="center"/>
          </w:tcPr>
          <w:p w14:paraId="0DFA40AB">
            <w:pPr>
              <w:keepNext w:val="0"/>
              <w:keepLines w:val="0"/>
              <w:suppressLineNumbers w:val="0"/>
              <w:snapToGrid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4E0B8468">
            <w:pPr>
              <w:keepNext w:val="0"/>
              <w:keepLines w:val="0"/>
              <w:suppressLineNumbers w:val="0"/>
              <w:snapToGrid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26886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vMerge w:val="continue"/>
            <w:noWrap w:val="0"/>
            <w:vAlign w:val="center"/>
          </w:tcPr>
          <w:p w14:paraId="2296FFDA">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2625" w:type="dxa"/>
            <w:noWrap w:val="0"/>
            <w:vAlign w:val="center"/>
          </w:tcPr>
          <w:p w14:paraId="59995290">
            <w:pPr>
              <w:keepNext w:val="0"/>
              <w:keepLines w:val="0"/>
              <w:suppressLineNumbers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3622466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6853" w:type="dxa"/>
            <w:noWrap w:val="0"/>
            <w:vAlign w:val="center"/>
          </w:tcPr>
          <w:p w14:paraId="66477CBD">
            <w:pPr>
              <w:pStyle w:val="11"/>
              <w:keepNext w:val="0"/>
              <w:keepLines w:val="0"/>
              <w:suppressLineNumbers w:val="0"/>
              <w:spacing w:before="0" w:beforeAutospacing="0" w:after="0" w:afterAutospacing="0" w:line="360" w:lineRule="auto"/>
              <w:ind w:left="0" w:right="0"/>
              <w:rPr>
                <w:rFonts w:hint="eastAsia" w:ascii="宋体" w:hAnsi="宋体" w:cs="Calibri"/>
                <w:color w:val="auto"/>
                <w:szCs w:val="21"/>
                <w:highlight w:val="none"/>
                <w:lang w:val="en-US" w:eastAsia="zh-CN"/>
              </w:rPr>
            </w:pPr>
            <w:r>
              <w:rPr>
                <w:rFonts w:hint="eastAsia" w:ascii="宋体" w:hAnsi="宋体" w:cs="宋体"/>
                <w:color w:val="auto"/>
                <w:szCs w:val="21"/>
                <w:highlight w:val="none"/>
                <w:lang w:val="en-US" w:eastAsia="zh-CN"/>
              </w:rPr>
              <w:t>□</w:t>
            </w:r>
            <w:r>
              <w:rPr>
                <w:rFonts w:hint="eastAsia" w:ascii="宋体" w:hAnsi="宋体" w:cs="Calibri"/>
                <w:color w:val="auto"/>
                <w:szCs w:val="21"/>
                <w:highlight w:val="none"/>
                <w:lang w:val="en-US" w:eastAsia="zh-CN"/>
              </w:rPr>
              <w:t>按照</w:t>
            </w:r>
            <w:r>
              <w:rPr>
                <w:rFonts w:hint="eastAsia" w:ascii="宋体" w:hAnsi="宋体" w:cs="宋体"/>
                <w:color w:val="auto"/>
                <w:szCs w:val="21"/>
                <w:highlight w:val="none"/>
                <w:lang w:val="en-US" w:eastAsia="zh-CN"/>
              </w:rPr>
              <w:t>提交首次响应文件的顺序，通知磋商时，若某供应商不在通知现场时，该供应商排序到最后磋商，按照签到的顺序由其下一位供应商先参与磋商。</w:t>
            </w:r>
          </w:p>
          <w:p w14:paraId="5ABF7235">
            <w:pPr>
              <w:keepNext w:val="0"/>
              <w:keepLines w:val="0"/>
              <w:suppressLineNumbers w:val="0"/>
              <w:snapToGrid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☑随机排序。</w:t>
            </w:r>
          </w:p>
          <w:p w14:paraId="670C7637">
            <w:pPr>
              <w:pStyle w:val="11"/>
              <w:keepNext w:val="0"/>
              <w:keepLines w:val="0"/>
              <w:suppressLineNumbers w:val="0"/>
              <w:spacing w:before="0" w:beforeAutospacing="0" w:after="0" w:afterAutospacing="0" w:line="360" w:lineRule="auto"/>
              <w:ind w:left="0" w:right="0"/>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参与磋商前，供应商法定代表人或者委托代理人必须向磋商小组出示本人有效证件原件</w:t>
            </w:r>
            <w:r>
              <w:rPr>
                <w:rFonts w:hint="default" w:ascii="宋体" w:hAnsi="宋体" w:cs="宋体"/>
                <w:b/>
                <w:color w:val="auto"/>
                <w:szCs w:val="21"/>
                <w:highlight w:val="none"/>
                <w:lang w:val="en-US" w:eastAsia="zh-CN"/>
              </w:rPr>
              <w:t>[</w:t>
            </w:r>
            <w:r>
              <w:rPr>
                <w:rFonts w:hint="eastAsia" w:ascii="宋体" w:hAnsi="宋体" w:cs="宋体"/>
                <w:b/>
                <w:color w:val="auto"/>
                <w:szCs w:val="21"/>
                <w:highlight w:val="none"/>
                <w:lang w:val="en-US" w:eastAsia="zh-CN"/>
              </w:rPr>
              <w:t>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49193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18C2B59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default" w:ascii="宋体" w:hAnsi="宋体" w:cs="宋体"/>
                <w:color w:val="auto"/>
                <w:szCs w:val="21"/>
                <w:highlight w:val="none"/>
              </w:rPr>
              <w:t>28</w:t>
            </w:r>
          </w:p>
        </w:tc>
        <w:tc>
          <w:tcPr>
            <w:tcW w:w="2625" w:type="dxa"/>
            <w:noWrap w:val="0"/>
            <w:vAlign w:val="center"/>
          </w:tcPr>
          <w:p w14:paraId="1ED14CEB">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853" w:type="dxa"/>
            <w:noWrap w:val="0"/>
            <w:vAlign w:val="center"/>
          </w:tcPr>
          <w:p w14:paraId="3AD4AB43">
            <w:pPr>
              <w:keepNext w:val="0"/>
              <w:keepLines w:val="0"/>
              <w:suppressLineNumbers w:val="0"/>
              <w:snapToGrid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7C901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6975CE3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default" w:ascii="宋体" w:hAnsi="宋体" w:cs="宋体"/>
                <w:color w:val="auto"/>
                <w:szCs w:val="21"/>
                <w:highlight w:val="none"/>
              </w:rPr>
              <w:t>29.</w:t>
            </w:r>
            <w:r>
              <w:rPr>
                <w:rFonts w:hint="eastAsia" w:ascii="宋体" w:hAnsi="宋体" w:cs="宋体"/>
                <w:color w:val="auto"/>
                <w:szCs w:val="21"/>
                <w:highlight w:val="none"/>
              </w:rPr>
              <w:t>5</w:t>
            </w:r>
          </w:p>
        </w:tc>
        <w:tc>
          <w:tcPr>
            <w:tcW w:w="2625" w:type="dxa"/>
            <w:noWrap w:val="0"/>
            <w:vAlign w:val="center"/>
          </w:tcPr>
          <w:p w14:paraId="0F877279">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Calibri"/>
                <w:color w:val="auto"/>
                <w:szCs w:val="21"/>
                <w:highlight w:val="none"/>
              </w:rPr>
              <w:t>签订合同携带的材料</w:t>
            </w:r>
          </w:p>
        </w:tc>
        <w:tc>
          <w:tcPr>
            <w:tcW w:w="6853" w:type="dxa"/>
            <w:noWrap w:val="0"/>
            <w:vAlign w:val="center"/>
          </w:tcPr>
          <w:p w14:paraId="7F0B386E">
            <w:pPr>
              <w:keepNext w:val="0"/>
              <w:keepLines w:val="0"/>
              <w:suppressLineNumbers w:val="0"/>
              <w:snapToGrid w:val="0"/>
              <w:spacing w:before="0" w:beforeAutospacing="0" w:after="0" w:afterAutospacing="0" w:line="360" w:lineRule="auto"/>
              <w:ind w:left="0" w:right="0"/>
              <w:rPr>
                <w:rFonts w:hint="eastAsia" w:ascii="宋体" w:hAnsi="宋体" w:cs="宋体"/>
                <w:color w:val="auto"/>
                <w:szCs w:val="21"/>
                <w:highlight w:val="none"/>
              </w:rPr>
            </w:pPr>
            <w:r>
              <w:rPr>
                <w:rFonts w:hint="eastAsia" w:ascii="宋体" w:hAnsi="宋体" w:cs="Calibri"/>
                <w:color w:val="auto"/>
                <w:szCs w:val="21"/>
                <w:highlight w:val="none"/>
              </w:rPr>
              <w:t>使用的有效CA证书加盖单位电子公章</w:t>
            </w:r>
          </w:p>
        </w:tc>
      </w:tr>
      <w:tr w14:paraId="488D6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vMerge w:val="restart"/>
            <w:noWrap w:val="0"/>
            <w:vAlign w:val="center"/>
          </w:tcPr>
          <w:p w14:paraId="32FE6D3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hint="default" w:ascii="宋体" w:hAnsi="宋体" w:cs="宋体"/>
                <w:color w:val="auto"/>
                <w:szCs w:val="21"/>
                <w:highlight w:val="none"/>
              </w:rPr>
              <w:t>1.2</w:t>
            </w:r>
          </w:p>
        </w:tc>
        <w:tc>
          <w:tcPr>
            <w:tcW w:w="2625" w:type="dxa"/>
            <w:noWrap w:val="0"/>
            <w:vAlign w:val="center"/>
          </w:tcPr>
          <w:p w14:paraId="654DF589">
            <w:pPr>
              <w:keepNext w:val="0"/>
              <w:keepLines w:val="0"/>
              <w:suppressLineNumbers w:val="0"/>
              <w:spacing w:before="0" w:beforeAutospacing="0" w:after="0" w:afterAutospacing="0" w:line="380" w:lineRule="exact"/>
              <w:ind w:left="0" w:right="0"/>
              <w:jc w:val="center"/>
              <w:rPr>
                <w:rFonts w:hint="eastAsia" w:ascii="宋体" w:hAnsi="宋体" w:cs="Calibri"/>
                <w:color w:val="auto"/>
                <w:szCs w:val="21"/>
                <w:highlight w:val="none"/>
              </w:rPr>
            </w:pPr>
            <w:r>
              <w:rPr>
                <w:rFonts w:hint="eastAsia" w:ascii="宋体" w:hAnsi="宋体" w:cs="Calibri"/>
                <w:color w:val="auto"/>
                <w:szCs w:val="21"/>
                <w:highlight w:val="none"/>
              </w:rPr>
              <w:t>接收质疑函方式</w:t>
            </w:r>
          </w:p>
        </w:tc>
        <w:tc>
          <w:tcPr>
            <w:tcW w:w="6853" w:type="dxa"/>
            <w:noWrap w:val="0"/>
            <w:vAlign w:val="center"/>
          </w:tcPr>
          <w:p w14:paraId="1AEBA1ED">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eastAsia" w:ascii="宋体" w:hAnsi="宋体" w:cs="Calibri"/>
                <w:color w:val="auto"/>
                <w:szCs w:val="21"/>
                <w:highlight w:val="none"/>
              </w:rPr>
              <w:t>以书面形式</w:t>
            </w:r>
          </w:p>
        </w:tc>
      </w:tr>
      <w:tr w14:paraId="00F2E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5" w:hRule="atLeast"/>
          <w:jc w:val="center"/>
        </w:trPr>
        <w:tc>
          <w:tcPr>
            <w:tcW w:w="886" w:type="dxa"/>
            <w:vMerge w:val="continue"/>
            <w:noWrap w:val="0"/>
            <w:vAlign w:val="center"/>
          </w:tcPr>
          <w:p w14:paraId="60162CA9">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2625" w:type="dxa"/>
            <w:noWrap w:val="0"/>
            <w:vAlign w:val="center"/>
          </w:tcPr>
          <w:p w14:paraId="4F770566">
            <w:pPr>
              <w:keepNext w:val="0"/>
              <w:keepLines w:val="0"/>
              <w:suppressLineNumbers w:val="0"/>
              <w:spacing w:before="0" w:beforeAutospacing="0" w:after="0" w:afterAutospacing="0" w:line="380" w:lineRule="exact"/>
              <w:ind w:left="0" w:right="0"/>
              <w:jc w:val="center"/>
              <w:rPr>
                <w:rFonts w:hint="eastAsia" w:ascii="宋体" w:hAnsi="宋体" w:cs="Calibri"/>
                <w:color w:val="auto"/>
                <w:szCs w:val="21"/>
                <w:highlight w:val="none"/>
              </w:rPr>
            </w:pPr>
            <w:r>
              <w:rPr>
                <w:rFonts w:hint="eastAsia" w:ascii="宋体" w:hAnsi="宋体" w:cs="Calibri"/>
                <w:color w:val="auto"/>
                <w:szCs w:val="21"/>
                <w:highlight w:val="none"/>
              </w:rPr>
              <w:t>质疑联系部门及联系方式</w:t>
            </w:r>
          </w:p>
        </w:tc>
        <w:tc>
          <w:tcPr>
            <w:tcW w:w="6853" w:type="dxa"/>
            <w:noWrap w:val="0"/>
            <w:vAlign w:val="center"/>
          </w:tcPr>
          <w:p w14:paraId="490330EE">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eastAsia" w:ascii="宋体" w:hAnsi="宋体" w:cs="Calibri"/>
                <w:color w:val="auto"/>
                <w:szCs w:val="21"/>
                <w:highlight w:val="none"/>
                <w:u w:val="single"/>
              </w:rPr>
              <w:t>（1）</w:t>
            </w:r>
            <w:bookmarkStart w:id="46" w:name="PO_3000001868_PM031_3"/>
            <w:r>
              <w:rPr>
                <w:rFonts w:hint="eastAsia" w:ascii="宋体" w:hAnsi="宋体" w:cs="Calibri"/>
                <w:color w:val="auto"/>
                <w:szCs w:val="21"/>
                <w:highlight w:val="none"/>
                <w:u w:val="single"/>
              </w:rPr>
              <w:t>广西翔正项目管理有限公司</w:t>
            </w:r>
            <w:bookmarkEnd w:id="46"/>
            <w:r>
              <w:rPr>
                <w:rFonts w:hint="eastAsia" w:ascii="宋体" w:hAnsi="宋体" w:cs="Calibri"/>
                <w:color w:val="auto"/>
                <w:szCs w:val="21"/>
                <w:highlight w:val="none"/>
              </w:rPr>
              <w:t>；</w:t>
            </w:r>
          </w:p>
          <w:p w14:paraId="0AD19FAB">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default" w:ascii="宋体" w:hAnsi="宋体" w:cs="Calibri"/>
                <w:color w:val="auto"/>
                <w:szCs w:val="21"/>
                <w:highlight w:val="none"/>
              </w:rPr>
              <w:t>联系电话</w:t>
            </w:r>
            <w:r>
              <w:rPr>
                <w:rFonts w:hint="eastAsia" w:ascii="宋体" w:hAnsi="宋体" w:cs="Calibri"/>
                <w:color w:val="auto"/>
                <w:szCs w:val="21"/>
                <w:highlight w:val="none"/>
                <w:u w:val="none"/>
              </w:rPr>
              <w:t>：</w:t>
            </w:r>
            <w:bookmarkStart w:id="47" w:name="PO_3000001868_PM033_1"/>
            <w:r>
              <w:rPr>
                <w:rFonts w:hint="eastAsia" w:ascii="宋体" w:hAnsi="宋体" w:cs="Calibri"/>
                <w:color w:val="auto"/>
                <w:szCs w:val="21"/>
                <w:highlight w:val="none"/>
                <w:u w:val="single"/>
              </w:rPr>
              <w:t>0771-3925351</w:t>
            </w:r>
            <w:bookmarkEnd w:id="47"/>
            <w:r>
              <w:rPr>
                <w:rFonts w:hint="eastAsia" w:ascii="宋体" w:hAnsi="宋体" w:cs="Calibri"/>
                <w:color w:val="auto"/>
                <w:szCs w:val="21"/>
                <w:highlight w:val="none"/>
              </w:rPr>
              <w:t>，</w:t>
            </w:r>
          </w:p>
          <w:p w14:paraId="2387B293">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default" w:ascii="宋体" w:hAnsi="宋体" w:cs="Calibri"/>
                <w:color w:val="auto"/>
                <w:szCs w:val="21"/>
                <w:highlight w:val="none"/>
              </w:rPr>
              <w:t>通讯地址</w:t>
            </w:r>
            <w:r>
              <w:rPr>
                <w:rFonts w:hint="eastAsia" w:ascii="宋体" w:hAnsi="宋体" w:cs="Helvetica"/>
                <w:color w:val="auto"/>
                <w:szCs w:val="21"/>
                <w:highlight w:val="none"/>
              </w:rPr>
              <w:t>：</w:t>
            </w:r>
            <w:r>
              <w:rPr>
                <w:rFonts w:hint="eastAsia" w:ascii="宋体" w:hAnsi="宋体" w:cs="Calibri"/>
                <w:color w:val="auto"/>
                <w:szCs w:val="21"/>
                <w:highlight w:val="none"/>
                <w:u w:val="single"/>
              </w:rPr>
              <w:t xml:space="preserve"> </w:t>
            </w:r>
            <w:bookmarkStart w:id="48" w:name="PO_3000001868_PM035_1"/>
            <w:r>
              <w:rPr>
                <w:rFonts w:hint="eastAsia" w:ascii="宋体" w:hAnsi="宋体" w:cs="Calibri"/>
                <w:color w:val="auto"/>
                <w:szCs w:val="21"/>
                <w:highlight w:val="none"/>
                <w:u w:val="single"/>
              </w:rPr>
              <w:t>南宁市兴宁区秀厢大道199号金源城（建兴路）金源CBD东城25楼</w:t>
            </w:r>
            <w:bookmarkEnd w:id="48"/>
            <w:r>
              <w:rPr>
                <w:rFonts w:hint="eastAsia" w:ascii="宋体" w:hAnsi="宋体" w:cs="Calibri"/>
                <w:color w:val="auto"/>
                <w:szCs w:val="21"/>
                <w:highlight w:val="none"/>
                <w:u w:val="single"/>
              </w:rPr>
              <w:t xml:space="preserve"> </w:t>
            </w:r>
            <w:r>
              <w:rPr>
                <w:rFonts w:hint="eastAsia" w:ascii="宋体" w:hAnsi="宋体" w:cs="Calibri"/>
                <w:color w:val="auto"/>
                <w:szCs w:val="21"/>
                <w:highlight w:val="none"/>
              </w:rPr>
              <w:t xml:space="preserve"> </w:t>
            </w:r>
          </w:p>
          <w:p w14:paraId="7034A5D8">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eastAsia" w:ascii="宋体" w:hAnsi="宋体" w:cs="Calibri"/>
                <w:color w:val="auto"/>
                <w:szCs w:val="21"/>
                <w:highlight w:val="none"/>
                <w:u w:val="single"/>
              </w:rPr>
              <w:t>（2）</w:t>
            </w:r>
            <w:r>
              <w:rPr>
                <w:rFonts w:hint="eastAsia" w:ascii="宋体" w:hAnsi="宋体" w:cs="Calibri"/>
                <w:color w:val="auto"/>
                <w:szCs w:val="21"/>
                <w:highlight w:val="none"/>
                <w:u w:val="single"/>
                <w:lang w:eastAsia="zh-CN"/>
              </w:rPr>
              <w:t>南宁市武鸣区人力资源和社会保障局</w:t>
            </w:r>
            <w:r>
              <w:rPr>
                <w:rFonts w:hint="eastAsia" w:ascii="宋体" w:hAnsi="宋体" w:cs="Calibri"/>
                <w:color w:val="auto"/>
                <w:szCs w:val="21"/>
                <w:highlight w:val="none"/>
              </w:rPr>
              <w:t>；</w:t>
            </w:r>
          </w:p>
          <w:p w14:paraId="5F7F6B3B">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default" w:ascii="宋体" w:hAnsi="宋体" w:cs="Calibri"/>
                <w:color w:val="auto"/>
                <w:szCs w:val="21"/>
                <w:highlight w:val="none"/>
              </w:rPr>
              <w:t>联系电话</w:t>
            </w:r>
            <w:r>
              <w:rPr>
                <w:rFonts w:hint="eastAsia" w:ascii="宋体" w:hAnsi="宋体" w:cs="Calibri"/>
                <w:color w:val="auto"/>
                <w:szCs w:val="21"/>
                <w:highlight w:val="none"/>
              </w:rPr>
              <w:t>：</w:t>
            </w:r>
            <w:r>
              <w:rPr>
                <w:rFonts w:hint="eastAsia" w:ascii="宋体" w:hAnsi="宋体" w:cs="Calibri"/>
                <w:color w:val="auto"/>
                <w:szCs w:val="21"/>
                <w:highlight w:val="none"/>
                <w:u w:val="single"/>
                <w:lang w:eastAsia="zh-CN"/>
              </w:rPr>
              <w:t>0771-6222643</w:t>
            </w:r>
            <w:r>
              <w:rPr>
                <w:rFonts w:hint="eastAsia" w:ascii="宋体" w:hAnsi="宋体" w:cs="Calibri"/>
                <w:color w:val="auto"/>
                <w:szCs w:val="21"/>
                <w:highlight w:val="none"/>
                <w:lang w:val="en-US" w:eastAsia="zh-CN"/>
              </w:rPr>
              <w:t xml:space="preserve"> </w:t>
            </w:r>
            <w:r>
              <w:rPr>
                <w:rFonts w:hint="eastAsia" w:ascii="宋体" w:hAnsi="宋体" w:cs="Calibri"/>
                <w:color w:val="auto"/>
                <w:szCs w:val="21"/>
                <w:highlight w:val="none"/>
              </w:rPr>
              <w:t>，</w:t>
            </w:r>
          </w:p>
          <w:p w14:paraId="5A6042E9">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default" w:ascii="宋体" w:hAnsi="宋体" w:cs="Calibri"/>
                <w:color w:val="auto"/>
                <w:szCs w:val="21"/>
                <w:highlight w:val="none"/>
              </w:rPr>
              <w:t>通讯地址</w:t>
            </w:r>
            <w:r>
              <w:rPr>
                <w:rFonts w:hint="eastAsia" w:ascii="宋体" w:hAnsi="宋体" w:cs="Helvetica"/>
                <w:color w:val="auto"/>
                <w:szCs w:val="21"/>
                <w:highlight w:val="none"/>
              </w:rPr>
              <w:t>：</w:t>
            </w:r>
            <w:r>
              <w:rPr>
                <w:rFonts w:hint="eastAsia" w:ascii="宋体" w:hAnsi="宋体" w:cs="Calibri"/>
                <w:color w:val="auto"/>
                <w:szCs w:val="21"/>
                <w:highlight w:val="none"/>
                <w:u w:val="single"/>
              </w:rPr>
              <w:t xml:space="preserve"> </w:t>
            </w:r>
            <w:r>
              <w:rPr>
                <w:rFonts w:hint="eastAsia" w:ascii="宋体" w:hAnsi="宋体" w:cs="Calibri"/>
                <w:color w:val="auto"/>
                <w:szCs w:val="21"/>
                <w:highlight w:val="none"/>
                <w:u w:val="single"/>
                <w:lang w:eastAsia="zh-CN"/>
              </w:rPr>
              <w:t>南宁市武鸣区新城路49号</w:t>
            </w:r>
            <w:r>
              <w:rPr>
                <w:rFonts w:hint="eastAsia" w:ascii="宋体" w:hAnsi="宋体" w:cs="Calibri"/>
                <w:color w:val="auto"/>
                <w:szCs w:val="21"/>
                <w:highlight w:val="none"/>
              </w:rPr>
              <w:t xml:space="preserve"> </w:t>
            </w:r>
          </w:p>
        </w:tc>
      </w:tr>
      <w:tr w14:paraId="0842C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vMerge w:val="continue"/>
            <w:noWrap w:val="0"/>
            <w:vAlign w:val="center"/>
          </w:tcPr>
          <w:p w14:paraId="4EA30A07">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p>
        </w:tc>
        <w:tc>
          <w:tcPr>
            <w:tcW w:w="2625" w:type="dxa"/>
            <w:noWrap w:val="0"/>
            <w:vAlign w:val="center"/>
          </w:tcPr>
          <w:p w14:paraId="0FCEE4AB">
            <w:pPr>
              <w:keepNext w:val="0"/>
              <w:keepLines w:val="0"/>
              <w:suppressLineNumbers w:val="0"/>
              <w:spacing w:before="0" w:beforeAutospacing="0" w:after="0" w:afterAutospacing="0" w:line="380" w:lineRule="exact"/>
              <w:ind w:left="0" w:right="0"/>
              <w:jc w:val="center"/>
              <w:rPr>
                <w:rFonts w:hint="eastAsia" w:ascii="宋体" w:hAnsi="宋体" w:cs="Calibri"/>
                <w:color w:val="auto"/>
                <w:szCs w:val="21"/>
                <w:highlight w:val="none"/>
              </w:rPr>
            </w:pPr>
            <w:r>
              <w:rPr>
                <w:rFonts w:hint="eastAsia" w:ascii="Calibri" w:hAnsi="宋体" w:cs="Calibri"/>
                <w:color w:val="auto"/>
                <w:highlight w:val="none"/>
              </w:rPr>
              <w:t>现场提交质疑办理业务时间</w:t>
            </w:r>
          </w:p>
        </w:tc>
        <w:tc>
          <w:tcPr>
            <w:tcW w:w="6853" w:type="dxa"/>
            <w:noWrap w:val="0"/>
            <w:vAlign w:val="center"/>
          </w:tcPr>
          <w:p w14:paraId="669381FF">
            <w:pPr>
              <w:keepNext w:val="0"/>
              <w:keepLines w:val="0"/>
              <w:suppressLineNumbers w:val="0"/>
              <w:snapToGrid w:val="0"/>
              <w:spacing w:before="0" w:beforeAutospacing="0" w:after="0" w:afterAutospacing="0" w:line="380" w:lineRule="exact"/>
              <w:ind w:left="0" w:right="0"/>
              <w:rPr>
                <w:rFonts w:hint="eastAsia" w:ascii="宋体" w:hAnsi="宋体" w:cs="Calibri"/>
                <w:color w:val="auto"/>
                <w:szCs w:val="21"/>
                <w:highlight w:val="none"/>
              </w:rPr>
            </w:pPr>
            <w:r>
              <w:rPr>
                <w:rFonts w:hint="eastAsia" w:ascii="Calibri" w:hAnsi="宋体" w:cs="Calibri"/>
                <w:color w:val="auto"/>
                <w:highlight w:val="none"/>
              </w:rPr>
              <w:t>质疑期内每个工作日</w:t>
            </w:r>
            <w:r>
              <w:rPr>
                <w:rFonts w:hint="eastAsia" w:ascii="Calibri" w:hAnsi="宋体" w:cs="Calibri"/>
                <w:color w:val="auto"/>
                <w:highlight w:val="none"/>
                <w:u w:val="single"/>
              </w:rPr>
              <w:t>8</w:t>
            </w:r>
            <w:r>
              <w:rPr>
                <w:rFonts w:hint="eastAsia" w:ascii="Calibri" w:hAnsi="宋体" w:cs="Calibri"/>
                <w:color w:val="auto"/>
                <w:highlight w:val="none"/>
              </w:rPr>
              <w:t>时</w:t>
            </w:r>
            <w:r>
              <w:rPr>
                <w:rFonts w:hint="eastAsia" w:ascii="Calibri" w:hAnsi="宋体" w:cs="Calibri"/>
                <w:color w:val="auto"/>
                <w:highlight w:val="none"/>
                <w:u w:val="single"/>
              </w:rPr>
              <w:t>30</w:t>
            </w:r>
            <w:r>
              <w:rPr>
                <w:rFonts w:hint="eastAsia" w:ascii="Calibri" w:hAnsi="宋体" w:cs="Calibri"/>
                <w:color w:val="auto"/>
                <w:highlight w:val="none"/>
              </w:rPr>
              <w:t>分到</w:t>
            </w:r>
            <w:r>
              <w:rPr>
                <w:rFonts w:hint="eastAsia" w:ascii="Calibri" w:hAnsi="宋体" w:cs="Calibri"/>
                <w:color w:val="auto"/>
                <w:highlight w:val="none"/>
                <w:u w:val="single"/>
              </w:rPr>
              <w:t>12</w:t>
            </w:r>
            <w:r>
              <w:rPr>
                <w:rFonts w:hint="eastAsia" w:ascii="Calibri" w:hAnsi="宋体" w:cs="Calibri"/>
                <w:color w:val="auto"/>
                <w:highlight w:val="none"/>
              </w:rPr>
              <w:t>时</w:t>
            </w:r>
            <w:r>
              <w:rPr>
                <w:rFonts w:hint="eastAsia" w:ascii="Calibri" w:hAnsi="宋体" w:cs="Calibri"/>
                <w:color w:val="auto"/>
                <w:highlight w:val="none"/>
                <w:u w:val="single"/>
              </w:rPr>
              <w:t>00</w:t>
            </w:r>
            <w:r>
              <w:rPr>
                <w:rFonts w:hint="eastAsia" w:ascii="Calibri" w:hAnsi="宋体" w:cs="Calibri"/>
                <w:color w:val="auto"/>
                <w:highlight w:val="none"/>
              </w:rPr>
              <w:t>分，</w:t>
            </w:r>
            <w:r>
              <w:rPr>
                <w:rFonts w:hint="eastAsia" w:ascii="Calibri" w:hAnsi="宋体" w:cs="Calibri"/>
                <w:color w:val="auto"/>
                <w:highlight w:val="none"/>
                <w:u w:val="single"/>
              </w:rPr>
              <w:t>15</w:t>
            </w:r>
            <w:r>
              <w:rPr>
                <w:rFonts w:hint="eastAsia" w:ascii="Calibri" w:hAnsi="宋体" w:cs="Calibri"/>
                <w:color w:val="auto"/>
                <w:highlight w:val="none"/>
              </w:rPr>
              <w:t>时</w:t>
            </w:r>
            <w:r>
              <w:rPr>
                <w:rFonts w:hint="eastAsia" w:ascii="Calibri" w:hAnsi="宋体" w:cs="Calibri"/>
                <w:color w:val="auto"/>
                <w:highlight w:val="none"/>
                <w:u w:val="single"/>
              </w:rPr>
              <w:t>00</w:t>
            </w:r>
            <w:r>
              <w:rPr>
                <w:rFonts w:hint="eastAsia" w:ascii="Calibri" w:hAnsi="宋体" w:cs="Calibri"/>
                <w:color w:val="auto"/>
                <w:highlight w:val="none"/>
              </w:rPr>
              <w:t>分到</w:t>
            </w:r>
            <w:r>
              <w:rPr>
                <w:rFonts w:hint="eastAsia" w:ascii="Calibri" w:hAnsi="宋体" w:cs="Calibri"/>
                <w:color w:val="auto"/>
                <w:highlight w:val="none"/>
                <w:u w:val="single"/>
              </w:rPr>
              <w:t>17</w:t>
            </w:r>
            <w:r>
              <w:rPr>
                <w:rFonts w:hint="eastAsia" w:ascii="Calibri" w:hAnsi="宋体" w:cs="Calibri"/>
                <w:color w:val="auto"/>
                <w:highlight w:val="none"/>
              </w:rPr>
              <w:t>时</w:t>
            </w:r>
            <w:r>
              <w:rPr>
                <w:rFonts w:hint="eastAsia" w:ascii="Calibri" w:hAnsi="宋体" w:cs="Calibri"/>
                <w:color w:val="auto"/>
                <w:highlight w:val="none"/>
                <w:u w:val="single"/>
              </w:rPr>
              <w:t>30</w:t>
            </w:r>
            <w:r>
              <w:rPr>
                <w:rFonts w:hint="eastAsia" w:ascii="Calibri" w:hAnsi="宋体" w:cs="Calibri"/>
                <w:color w:val="auto"/>
                <w:highlight w:val="none"/>
              </w:rPr>
              <w:t>分</w:t>
            </w:r>
          </w:p>
        </w:tc>
      </w:tr>
      <w:tr w14:paraId="7B117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4EAF6CE6">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31.6</w:t>
            </w:r>
          </w:p>
        </w:tc>
        <w:tc>
          <w:tcPr>
            <w:tcW w:w="2625" w:type="dxa"/>
            <w:noWrap w:val="0"/>
            <w:vAlign w:val="center"/>
          </w:tcPr>
          <w:p w14:paraId="09A86955">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6853" w:type="dxa"/>
            <w:noWrap w:val="0"/>
            <w:vAlign w:val="center"/>
          </w:tcPr>
          <w:p w14:paraId="0A919701">
            <w:pPr>
              <w:keepNext w:val="0"/>
              <w:keepLines w:val="0"/>
              <w:suppressLineNumbers w:val="0"/>
              <w:snapToGrid w:val="0"/>
              <w:spacing w:before="0" w:beforeAutospacing="0" w:after="0" w:afterAutospacing="0" w:line="380" w:lineRule="exact"/>
              <w:ind w:left="0" w:right="0"/>
              <w:rPr>
                <w:rFonts w:hint="eastAsia" w:ascii="Calibri" w:hAnsi="宋体" w:cs="Calibri"/>
                <w:color w:val="auto"/>
                <w:highlight w:val="none"/>
              </w:rPr>
            </w:pPr>
            <w:r>
              <w:rPr>
                <w:rFonts w:hint="eastAsia" w:ascii="Calibri" w:hAnsi="宋体" w:cs="Calibri"/>
                <w:color w:val="auto"/>
                <w:highlight w:val="none"/>
              </w:rPr>
              <w:t>1、受理方式：纸质方式受理，投诉书正、副本（经过质疑的事项才可投诉）。</w:t>
            </w:r>
          </w:p>
          <w:p w14:paraId="57BFDE05">
            <w:pPr>
              <w:keepNext w:val="0"/>
              <w:keepLines w:val="0"/>
              <w:suppressLineNumbers w:val="0"/>
              <w:snapToGrid w:val="0"/>
              <w:spacing w:before="0" w:beforeAutospacing="0" w:after="0" w:afterAutospacing="0" w:line="380" w:lineRule="exact"/>
              <w:ind w:left="0" w:right="0"/>
              <w:rPr>
                <w:rFonts w:hint="eastAsia" w:ascii="Calibri" w:hAnsi="宋体" w:cs="Calibri"/>
                <w:color w:val="auto"/>
                <w:highlight w:val="none"/>
              </w:rPr>
            </w:pPr>
            <w:r>
              <w:rPr>
                <w:rFonts w:hint="eastAsia" w:ascii="Calibri" w:hAnsi="宋体" w:cs="Calibri"/>
                <w:color w:val="auto"/>
                <w:highlight w:val="none"/>
              </w:rPr>
              <w:t>2、邮寄地址：</w:t>
            </w:r>
          </w:p>
          <w:p w14:paraId="470E87FC">
            <w:pPr>
              <w:keepNext w:val="0"/>
              <w:keepLines w:val="0"/>
              <w:suppressLineNumbers w:val="0"/>
              <w:snapToGrid w:val="0"/>
              <w:spacing w:before="0" w:beforeAutospacing="0" w:after="0" w:afterAutospacing="0" w:line="380" w:lineRule="exact"/>
              <w:ind w:left="0" w:right="0"/>
              <w:rPr>
                <w:rFonts w:hint="eastAsia" w:ascii="Calibri" w:hAnsi="宋体" w:cs="Calibri"/>
                <w:color w:val="auto"/>
                <w:highlight w:val="none"/>
              </w:rPr>
            </w:pPr>
            <w:r>
              <w:rPr>
                <w:rFonts w:hint="eastAsia" w:ascii="Calibri" w:hAnsi="宋体" w:cs="Calibri"/>
                <w:color w:val="auto"/>
                <w:highlight w:val="none"/>
              </w:rPr>
              <w:t>名称：</w:t>
            </w:r>
            <w:r>
              <w:rPr>
                <w:rFonts w:hint="eastAsia" w:ascii="宋体" w:hAnsi="宋体" w:cs="Calibri"/>
                <w:color w:val="auto"/>
                <w:szCs w:val="21"/>
                <w:highlight w:val="none"/>
              </w:rPr>
              <w:t>南宁市武鸣区财政局政府采购监督管理股</w:t>
            </w:r>
          </w:p>
          <w:p w14:paraId="7690E7B1">
            <w:pPr>
              <w:keepNext w:val="0"/>
              <w:keepLines w:val="0"/>
              <w:suppressLineNumbers w:val="0"/>
              <w:snapToGrid w:val="0"/>
              <w:spacing w:before="0" w:beforeAutospacing="0" w:after="0" w:afterAutospacing="0" w:line="380" w:lineRule="exact"/>
              <w:ind w:left="0" w:right="0"/>
              <w:rPr>
                <w:rFonts w:hint="eastAsia" w:ascii="Calibri" w:hAnsi="宋体" w:cs="Calibri"/>
                <w:color w:val="auto"/>
                <w:highlight w:val="none"/>
              </w:rPr>
            </w:pPr>
            <w:r>
              <w:rPr>
                <w:rFonts w:hint="eastAsia" w:ascii="Calibri" w:hAnsi="宋体" w:cs="Calibri"/>
                <w:color w:val="auto"/>
                <w:highlight w:val="none"/>
              </w:rPr>
              <w:t>地址：南宁市武鸣区标营新区起凤路3号</w:t>
            </w:r>
          </w:p>
          <w:p w14:paraId="1F28D4AD">
            <w:pPr>
              <w:keepNext w:val="0"/>
              <w:keepLines w:val="0"/>
              <w:suppressLineNumbers w:val="0"/>
              <w:snapToGrid w:val="0"/>
              <w:spacing w:before="0" w:beforeAutospacing="0" w:after="0" w:afterAutospacing="0" w:line="380" w:lineRule="exact"/>
              <w:ind w:left="0" w:right="0"/>
              <w:rPr>
                <w:rFonts w:hint="eastAsia" w:ascii="Calibri" w:hAnsi="宋体" w:cs="宋体"/>
                <w:color w:val="auto"/>
                <w:highlight w:val="none"/>
              </w:rPr>
            </w:pPr>
            <w:r>
              <w:rPr>
                <w:rFonts w:hint="eastAsia" w:ascii="Calibri" w:hAnsi="宋体" w:cs="Calibri"/>
                <w:color w:val="auto"/>
                <w:highlight w:val="none"/>
              </w:rPr>
              <w:t>联系电话：</w:t>
            </w:r>
            <w:r>
              <w:rPr>
                <w:rFonts w:hint="default" w:ascii="宋体" w:hAnsi="Courier New" w:cs="Calibri"/>
                <w:color w:val="auto"/>
                <w:spacing w:val="6"/>
                <w:szCs w:val="21"/>
                <w:highlight w:val="none"/>
              </w:rPr>
              <w:t>0771-6098853</w:t>
            </w:r>
          </w:p>
        </w:tc>
      </w:tr>
      <w:tr w14:paraId="608FF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55DB1094">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default" w:ascii="宋体" w:hAnsi="宋体" w:cs="宋体"/>
                <w:color w:val="auto"/>
                <w:szCs w:val="21"/>
                <w:highlight w:val="none"/>
              </w:rPr>
              <w:t>3</w:t>
            </w:r>
            <w:r>
              <w:rPr>
                <w:rFonts w:hint="eastAsia" w:ascii="宋体" w:hAnsi="宋体" w:cs="宋体"/>
                <w:color w:val="auto"/>
                <w:szCs w:val="21"/>
                <w:highlight w:val="none"/>
              </w:rPr>
              <w:t>3</w:t>
            </w:r>
          </w:p>
        </w:tc>
        <w:tc>
          <w:tcPr>
            <w:tcW w:w="2625" w:type="dxa"/>
            <w:noWrap w:val="0"/>
            <w:vAlign w:val="center"/>
          </w:tcPr>
          <w:p w14:paraId="495C6AB3">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6853" w:type="dxa"/>
            <w:noWrap w:val="0"/>
            <w:vAlign w:val="center"/>
          </w:tcPr>
          <w:p w14:paraId="45F89DF9">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1. 是否收取采购代理费：</w:t>
            </w:r>
          </w:p>
          <w:p w14:paraId="387C000C">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☑是    □ 否</w:t>
            </w:r>
          </w:p>
          <w:p w14:paraId="6B5348BB">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2.采购代理费支付方式：</w:t>
            </w:r>
          </w:p>
          <w:p w14:paraId="4284E51B">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领取成交通知书前，一次性向采购代理机构支付。</w:t>
            </w:r>
          </w:p>
          <w:p w14:paraId="0DBF1849">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52658279">
            <w:pPr>
              <w:pStyle w:val="17"/>
              <w:keepNext w:val="0"/>
              <w:keepLines w:val="0"/>
              <w:suppressLineNumbers w:val="0"/>
              <w:snapToGrid w:val="0"/>
              <w:spacing w:before="0" w:beforeAutospacing="0" w:after="0" w:afterAutospacing="0" w:line="360" w:lineRule="auto"/>
              <w:ind w:left="0" w:right="0"/>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3.采</w:t>
            </w:r>
            <w:r>
              <w:rPr>
                <w:rFonts w:hint="eastAsia" w:ascii="宋体" w:hAnsi="宋体" w:eastAsia="宋体" w:cs="宋体"/>
                <w:color w:val="auto"/>
                <w:sz w:val="21"/>
                <w:highlight w:val="none"/>
                <w:lang w:val="en-US" w:eastAsia="zh-CN"/>
              </w:rPr>
              <w:t>购代理费收取标准：</w:t>
            </w:r>
          </w:p>
          <w:p w14:paraId="564A6813">
            <w:pPr>
              <w:pStyle w:val="17"/>
              <w:keepNext w:val="0"/>
              <w:keepLines w:val="0"/>
              <w:suppressLineNumbers w:val="0"/>
              <w:snapToGrid w:val="0"/>
              <w:spacing w:before="0" w:beforeAutospacing="0" w:after="0" w:afterAutospacing="0" w:line="360" w:lineRule="auto"/>
              <w:ind w:left="0" w:right="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以项目成交总金额为计费额，按照《广西壮族自治区物价局转发国家发展改革委关于降低部分建设项目收费标准规范收费行为等有关问题的通知》（桂价费〔2011〕55号）规定采用差额定率累进法计算出收费基准价格。</w:t>
            </w:r>
          </w:p>
          <w:tbl>
            <w:tblPr>
              <w:tblStyle w:val="30"/>
              <w:tblW w:w="6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340"/>
              <w:gridCol w:w="1167"/>
              <w:gridCol w:w="1148"/>
            </w:tblGrid>
            <w:tr w14:paraId="5202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29" w:type="dxa"/>
                  <w:tcBorders>
                    <w:top w:val="single" w:color="auto" w:sz="4" w:space="0"/>
                    <w:left w:val="single" w:color="auto" w:sz="4" w:space="0"/>
                    <w:bottom w:val="single" w:color="auto" w:sz="4" w:space="0"/>
                    <w:right w:val="single" w:color="auto" w:sz="4" w:space="0"/>
                  </w:tcBorders>
                  <w:noWrap w:val="0"/>
                  <w:vAlign w:val="top"/>
                </w:tcPr>
                <w:p w14:paraId="0762684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费率</w:t>
                  </w:r>
                </w:p>
                <w:p w14:paraId="5799DDB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1"/>
                      <w:highlight w:val="none"/>
                      <w:lang w:val="en-US" w:eastAsia="zh-CN" w:bidi="ar"/>
                    </w:rPr>
                    <w:t>中标金额</w:t>
                  </w:r>
                </w:p>
              </w:tc>
              <w:tc>
                <w:tcPr>
                  <w:tcW w:w="1340" w:type="dxa"/>
                  <w:tcBorders>
                    <w:top w:val="single" w:color="auto" w:sz="4" w:space="0"/>
                    <w:left w:val="nil"/>
                    <w:bottom w:val="single" w:color="auto" w:sz="4" w:space="0"/>
                    <w:right w:val="single" w:color="auto" w:sz="4" w:space="0"/>
                  </w:tcBorders>
                  <w:noWrap w:val="0"/>
                  <w:vAlign w:val="center"/>
                </w:tcPr>
                <w:p w14:paraId="6D48CCD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1"/>
                      <w:highlight w:val="none"/>
                      <w:lang w:val="en-US" w:eastAsia="zh-CN" w:bidi="ar"/>
                    </w:rPr>
                    <w:t>货物招标</w:t>
                  </w:r>
                </w:p>
              </w:tc>
              <w:tc>
                <w:tcPr>
                  <w:tcW w:w="1167" w:type="dxa"/>
                  <w:tcBorders>
                    <w:top w:val="single" w:color="auto" w:sz="4" w:space="0"/>
                    <w:left w:val="nil"/>
                    <w:bottom w:val="single" w:color="auto" w:sz="4" w:space="0"/>
                    <w:right w:val="single" w:color="auto" w:sz="4" w:space="0"/>
                  </w:tcBorders>
                  <w:noWrap w:val="0"/>
                  <w:vAlign w:val="center"/>
                </w:tcPr>
                <w:p w14:paraId="22D8540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1"/>
                      <w:highlight w:val="none"/>
                      <w:lang w:val="en-US" w:eastAsia="zh-CN" w:bidi="ar"/>
                    </w:rPr>
                    <w:t>服务招标</w:t>
                  </w:r>
                </w:p>
              </w:tc>
              <w:tc>
                <w:tcPr>
                  <w:tcW w:w="1148" w:type="dxa"/>
                  <w:tcBorders>
                    <w:top w:val="single" w:color="auto" w:sz="4" w:space="0"/>
                    <w:left w:val="nil"/>
                    <w:bottom w:val="single" w:color="auto" w:sz="4" w:space="0"/>
                    <w:right w:val="single" w:color="auto" w:sz="4" w:space="0"/>
                  </w:tcBorders>
                  <w:noWrap w:val="0"/>
                  <w:vAlign w:val="center"/>
                </w:tcPr>
                <w:p w14:paraId="2D83945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1"/>
                      <w:highlight w:val="none"/>
                      <w:lang w:val="en-US" w:eastAsia="zh-CN" w:bidi="ar"/>
                    </w:rPr>
                    <w:t>工程招标</w:t>
                  </w:r>
                </w:p>
              </w:tc>
            </w:tr>
            <w:tr w14:paraId="1C48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429" w:type="dxa"/>
                  <w:tcBorders>
                    <w:top w:val="single" w:color="auto" w:sz="4" w:space="0"/>
                    <w:left w:val="single" w:color="auto" w:sz="4" w:space="0"/>
                    <w:bottom w:val="single" w:color="auto" w:sz="4" w:space="0"/>
                    <w:right w:val="single" w:color="auto" w:sz="4" w:space="0"/>
                  </w:tcBorders>
                  <w:noWrap w:val="0"/>
                  <w:vAlign w:val="top"/>
                </w:tcPr>
                <w:p w14:paraId="347950A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100</w:t>
                  </w:r>
                  <w:r>
                    <w:rPr>
                      <w:rFonts w:hint="eastAsia" w:ascii="宋体" w:hAnsi="宋体" w:eastAsia="宋体" w:cs="宋体"/>
                      <w:color w:val="auto"/>
                      <w:kern w:val="2"/>
                      <w:sz w:val="21"/>
                      <w:szCs w:val="21"/>
                      <w:highlight w:val="none"/>
                      <w:lang w:val="en-US" w:eastAsia="zh-CN" w:bidi="ar"/>
                    </w:rPr>
                    <w:t>万元以下</w:t>
                  </w:r>
                </w:p>
              </w:tc>
              <w:tc>
                <w:tcPr>
                  <w:tcW w:w="1340" w:type="dxa"/>
                  <w:tcBorders>
                    <w:top w:val="single" w:color="auto" w:sz="4" w:space="0"/>
                    <w:left w:val="nil"/>
                    <w:bottom w:val="single" w:color="auto" w:sz="4" w:space="0"/>
                    <w:right w:val="single" w:color="auto" w:sz="4" w:space="0"/>
                  </w:tcBorders>
                  <w:noWrap w:val="0"/>
                  <w:vAlign w:val="top"/>
                </w:tcPr>
                <w:p w14:paraId="08FD828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1.5%</w:t>
                  </w:r>
                </w:p>
              </w:tc>
              <w:tc>
                <w:tcPr>
                  <w:tcW w:w="1167" w:type="dxa"/>
                  <w:tcBorders>
                    <w:top w:val="single" w:color="auto" w:sz="4" w:space="0"/>
                    <w:left w:val="nil"/>
                    <w:bottom w:val="single" w:color="auto" w:sz="4" w:space="0"/>
                    <w:right w:val="single" w:color="auto" w:sz="4" w:space="0"/>
                  </w:tcBorders>
                  <w:noWrap w:val="0"/>
                  <w:vAlign w:val="top"/>
                </w:tcPr>
                <w:p w14:paraId="3F275B8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1.5%</w:t>
                  </w:r>
                </w:p>
              </w:tc>
              <w:tc>
                <w:tcPr>
                  <w:tcW w:w="1148" w:type="dxa"/>
                  <w:tcBorders>
                    <w:top w:val="single" w:color="auto" w:sz="4" w:space="0"/>
                    <w:left w:val="nil"/>
                    <w:bottom w:val="single" w:color="auto" w:sz="4" w:space="0"/>
                    <w:right w:val="single" w:color="auto" w:sz="4" w:space="0"/>
                  </w:tcBorders>
                  <w:noWrap w:val="0"/>
                  <w:vAlign w:val="top"/>
                </w:tcPr>
                <w:p w14:paraId="629009A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1.0%</w:t>
                  </w:r>
                </w:p>
              </w:tc>
            </w:tr>
            <w:tr w14:paraId="3966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429" w:type="dxa"/>
                  <w:tcBorders>
                    <w:top w:val="single" w:color="auto" w:sz="4" w:space="0"/>
                    <w:left w:val="single" w:color="auto" w:sz="4" w:space="0"/>
                    <w:bottom w:val="single" w:color="auto" w:sz="4" w:space="0"/>
                    <w:right w:val="single" w:color="auto" w:sz="4" w:space="0"/>
                  </w:tcBorders>
                  <w:noWrap w:val="0"/>
                  <w:vAlign w:val="top"/>
                </w:tcPr>
                <w:p w14:paraId="12A31DD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100</w:t>
                  </w: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500</w:t>
                  </w:r>
                  <w:r>
                    <w:rPr>
                      <w:rFonts w:hint="eastAsia" w:ascii="宋体" w:hAnsi="宋体" w:eastAsia="宋体" w:cs="宋体"/>
                      <w:color w:val="auto"/>
                      <w:kern w:val="2"/>
                      <w:sz w:val="21"/>
                      <w:szCs w:val="21"/>
                      <w:highlight w:val="none"/>
                      <w:lang w:val="en-US" w:eastAsia="zh-CN" w:bidi="ar"/>
                    </w:rPr>
                    <w:t>万元</w:t>
                  </w:r>
                </w:p>
              </w:tc>
              <w:tc>
                <w:tcPr>
                  <w:tcW w:w="1340" w:type="dxa"/>
                  <w:tcBorders>
                    <w:top w:val="single" w:color="auto" w:sz="4" w:space="0"/>
                    <w:left w:val="nil"/>
                    <w:bottom w:val="single" w:color="auto" w:sz="4" w:space="0"/>
                    <w:right w:val="single" w:color="auto" w:sz="4" w:space="0"/>
                  </w:tcBorders>
                  <w:noWrap w:val="0"/>
                  <w:vAlign w:val="top"/>
                </w:tcPr>
                <w:p w14:paraId="71B4E5B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1.1%</w:t>
                  </w:r>
                </w:p>
              </w:tc>
              <w:tc>
                <w:tcPr>
                  <w:tcW w:w="1167" w:type="dxa"/>
                  <w:tcBorders>
                    <w:top w:val="single" w:color="auto" w:sz="4" w:space="0"/>
                    <w:left w:val="nil"/>
                    <w:bottom w:val="single" w:color="auto" w:sz="4" w:space="0"/>
                    <w:right w:val="single" w:color="auto" w:sz="4" w:space="0"/>
                  </w:tcBorders>
                  <w:noWrap w:val="0"/>
                  <w:vAlign w:val="top"/>
                </w:tcPr>
                <w:p w14:paraId="3672D1D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0.8%</w:t>
                  </w:r>
                </w:p>
              </w:tc>
              <w:tc>
                <w:tcPr>
                  <w:tcW w:w="1148" w:type="dxa"/>
                  <w:tcBorders>
                    <w:top w:val="single" w:color="auto" w:sz="4" w:space="0"/>
                    <w:left w:val="nil"/>
                    <w:bottom w:val="single" w:color="auto" w:sz="4" w:space="0"/>
                    <w:right w:val="single" w:color="auto" w:sz="4" w:space="0"/>
                  </w:tcBorders>
                  <w:noWrap w:val="0"/>
                  <w:vAlign w:val="top"/>
                </w:tcPr>
                <w:p w14:paraId="1BCAD20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0.7%</w:t>
                  </w:r>
                </w:p>
              </w:tc>
            </w:tr>
            <w:tr w14:paraId="3114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429" w:type="dxa"/>
                  <w:tcBorders>
                    <w:top w:val="single" w:color="auto" w:sz="4" w:space="0"/>
                    <w:left w:val="single" w:color="auto" w:sz="4" w:space="0"/>
                    <w:bottom w:val="single" w:color="auto" w:sz="4" w:space="0"/>
                    <w:right w:val="single" w:color="auto" w:sz="4" w:space="0"/>
                  </w:tcBorders>
                  <w:noWrap w:val="0"/>
                  <w:vAlign w:val="top"/>
                </w:tcPr>
                <w:p w14:paraId="7AEF944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500</w:t>
                  </w: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1000</w:t>
                  </w:r>
                  <w:r>
                    <w:rPr>
                      <w:rFonts w:hint="eastAsia" w:ascii="宋体" w:hAnsi="宋体" w:eastAsia="宋体" w:cs="宋体"/>
                      <w:color w:val="auto"/>
                      <w:kern w:val="2"/>
                      <w:sz w:val="21"/>
                      <w:szCs w:val="21"/>
                      <w:highlight w:val="none"/>
                      <w:lang w:val="en-US" w:eastAsia="zh-CN" w:bidi="ar"/>
                    </w:rPr>
                    <w:t>万元</w:t>
                  </w:r>
                </w:p>
              </w:tc>
              <w:tc>
                <w:tcPr>
                  <w:tcW w:w="1340" w:type="dxa"/>
                  <w:tcBorders>
                    <w:top w:val="single" w:color="auto" w:sz="4" w:space="0"/>
                    <w:left w:val="nil"/>
                    <w:bottom w:val="single" w:color="auto" w:sz="4" w:space="0"/>
                    <w:right w:val="single" w:color="auto" w:sz="4" w:space="0"/>
                  </w:tcBorders>
                  <w:noWrap w:val="0"/>
                  <w:vAlign w:val="top"/>
                </w:tcPr>
                <w:p w14:paraId="27B3F7D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0.8%</w:t>
                  </w:r>
                </w:p>
              </w:tc>
              <w:tc>
                <w:tcPr>
                  <w:tcW w:w="1167" w:type="dxa"/>
                  <w:tcBorders>
                    <w:top w:val="single" w:color="auto" w:sz="4" w:space="0"/>
                    <w:left w:val="nil"/>
                    <w:bottom w:val="single" w:color="auto" w:sz="4" w:space="0"/>
                    <w:right w:val="single" w:color="auto" w:sz="4" w:space="0"/>
                  </w:tcBorders>
                  <w:noWrap w:val="0"/>
                  <w:vAlign w:val="top"/>
                </w:tcPr>
                <w:p w14:paraId="382C7BE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0.45%</w:t>
                  </w:r>
                </w:p>
              </w:tc>
              <w:tc>
                <w:tcPr>
                  <w:tcW w:w="1148" w:type="dxa"/>
                  <w:tcBorders>
                    <w:top w:val="single" w:color="auto" w:sz="4" w:space="0"/>
                    <w:left w:val="nil"/>
                    <w:bottom w:val="single" w:color="auto" w:sz="4" w:space="0"/>
                    <w:right w:val="single" w:color="auto" w:sz="4" w:space="0"/>
                  </w:tcBorders>
                  <w:noWrap w:val="0"/>
                  <w:vAlign w:val="top"/>
                </w:tcPr>
                <w:p w14:paraId="04F8E32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0.55%</w:t>
                  </w:r>
                </w:p>
              </w:tc>
            </w:tr>
            <w:tr w14:paraId="55DA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2429" w:type="dxa"/>
                  <w:tcBorders>
                    <w:top w:val="single" w:color="auto" w:sz="4" w:space="0"/>
                    <w:left w:val="single" w:color="auto" w:sz="4" w:space="0"/>
                    <w:bottom w:val="single" w:color="auto" w:sz="4" w:space="0"/>
                    <w:right w:val="single" w:color="auto" w:sz="4" w:space="0"/>
                  </w:tcBorders>
                  <w:noWrap w:val="0"/>
                  <w:vAlign w:val="top"/>
                </w:tcPr>
                <w:p w14:paraId="2121352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1000</w:t>
                  </w: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5000</w:t>
                  </w:r>
                  <w:r>
                    <w:rPr>
                      <w:rFonts w:hint="eastAsia" w:ascii="宋体" w:hAnsi="宋体" w:eastAsia="宋体" w:cs="宋体"/>
                      <w:color w:val="auto"/>
                      <w:kern w:val="2"/>
                      <w:sz w:val="21"/>
                      <w:szCs w:val="21"/>
                      <w:highlight w:val="none"/>
                      <w:lang w:val="en-US" w:eastAsia="zh-CN" w:bidi="ar"/>
                    </w:rPr>
                    <w:t>万元</w:t>
                  </w:r>
                </w:p>
              </w:tc>
              <w:tc>
                <w:tcPr>
                  <w:tcW w:w="1340" w:type="dxa"/>
                  <w:tcBorders>
                    <w:top w:val="single" w:color="auto" w:sz="4" w:space="0"/>
                    <w:left w:val="nil"/>
                    <w:bottom w:val="single" w:color="auto" w:sz="4" w:space="0"/>
                    <w:right w:val="single" w:color="auto" w:sz="4" w:space="0"/>
                  </w:tcBorders>
                  <w:noWrap w:val="0"/>
                  <w:vAlign w:val="top"/>
                </w:tcPr>
                <w:p w14:paraId="1E55675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0.5%</w:t>
                  </w:r>
                </w:p>
              </w:tc>
              <w:tc>
                <w:tcPr>
                  <w:tcW w:w="1167" w:type="dxa"/>
                  <w:tcBorders>
                    <w:top w:val="single" w:color="auto" w:sz="4" w:space="0"/>
                    <w:left w:val="nil"/>
                    <w:bottom w:val="single" w:color="auto" w:sz="4" w:space="0"/>
                    <w:right w:val="single" w:color="auto" w:sz="4" w:space="0"/>
                  </w:tcBorders>
                  <w:noWrap w:val="0"/>
                  <w:vAlign w:val="top"/>
                </w:tcPr>
                <w:p w14:paraId="684EFFD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0.25%</w:t>
                  </w:r>
                </w:p>
              </w:tc>
              <w:tc>
                <w:tcPr>
                  <w:tcW w:w="1148" w:type="dxa"/>
                  <w:tcBorders>
                    <w:top w:val="single" w:color="auto" w:sz="4" w:space="0"/>
                    <w:left w:val="nil"/>
                    <w:bottom w:val="single" w:color="auto" w:sz="4" w:space="0"/>
                    <w:right w:val="single" w:color="auto" w:sz="4" w:space="0"/>
                  </w:tcBorders>
                  <w:noWrap w:val="0"/>
                  <w:vAlign w:val="top"/>
                </w:tcPr>
                <w:p w14:paraId="657E48C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0.35%</w:t>
                  </w:r>
                </w:p>
              </w:tc>
            </w:tr>
            <w:tr w14:paraId="4F8F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429" w:type="dxa"/>
                  <w:tcBorders>
                    <w:top w:val="single" w:color="auto" w:sz="4" w:space="0"/>
                    <w:left w:val="single" w:color="auto" w:sz="4" w:space="0"/>
                    <w:bottom w:val="single" w:color="auto" w:sz="4" w:space="0"/>
                    <w:right w:val="single" w:color="auto" w:sz="4" w:space="0"/>
                  </w:tcBorders>
                  <w:noWrap w:val="0"/>
                  <w:vAlign w:val="top"/>
                </w:tcPr>
                <w:p w14:paraId="45E57DD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5000</w:t>
                  </w:r>
                  <w:r>
                    <w:rPr>
                      <w:rFonts w:hint="eastAsia" w:ascii="宋体" w:hAnsi="宋体" w:eastAsia="宋体" w:cs="宋体"/>
                      <w:color w:val="auto"/>
                      <w:kern w:val="2"/>
                      <w:sz w:val="21"/>
                      <w:szCs w:val="21"/>
                      <w:highlight w:val="none"/>
                      <w:lang w:val="en-US" w:eastAsia="zh-CN" w:bidi="ar"/>
                    </w:rPr>
                    <w:t>万元～</w:t>
                  </w:r>
                  <w:r>
                    <w:rPr>
                      <w:rFonts w:hint="default" w:ascii="Times New Roman" w:hAnsi="Times New Roman" w:eastAsia="宋体" w:cs="Times New Roman"/>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亿元</w:t>
                  </w:r>
                </w:p>
              </w:tc>
              <w:tc>
                <w:tcPr>
                  <w:tcW w:w="1340" w:type="dxa"/>
                  <w:tcBorders>
                    <w:top w:val="single" w:color="auto" w:sz="4" w:space="0"/>
                    <w:left w:val="nil"/>
                    <w:bottom w:val="single" w:color="auto" w:sz="4" w:space="0"/>
                    <w:right w:val="single" w:color="auto" w:sz="4" w:space="0"/>
                  </w:tcBorders>
                  <w:noWrap w:val="0"/>
                  <w:vAlign w:val="top"/>
                </w:tcPr>
                <w:p w14:paraId="479AB29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0.25%</w:t>
                  </w:r>
                </w:p>
              </w:tc>
              <w:tc>
                <w:tcPr>
                  <w:tcW w:w="1167" w:type="dxa"/>
                  <w:tcBorders>
                    <w:top w:val="single" w:color="auto" w:sz="4" w:space="0"/>
                    <w:left w:val="nil"/>
                    <w:bottom w:val="single" w:color="auto" w:sz="4" w:space="0"/>
                    <w:right w:val="single" w:color="auto" w:sz="4" w:space="0"/>
                  </w:tcBorders>
                  <w:noWrap w:val="0"/>
                  <w:vAlign w:val="top"/>
                </w:tcPr>
                <w:p w14:paraId="1939A01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0.1%</w:t>
                  </w:r>
                </w:p>
              </w:tc>
              <w:tc>
                <w:tcPr>
                  <w:tcW w:w="1148" w:type="dxa"/>
                  <w:tcBorders>
                    <w:top w:val="single" w:color="auto" w:sz="4" w:space="0"/>
                    <w:left w:val="nil"/>
                    <w:bottom w:val="single" w:color="auto" w:sz="4" w:space="0"/>
                    <w:right w:val="single" w:color="auto" w:sz="4" w:space="0"/>
                  </w:tcBorders>
                  <w:noWrap w:val="0"/>
                  <w:vAlign w:val="top"/>
                </w:tcPr>
                <w:p w14:paraId="7A7B0A7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r>
                    <w:rPr>
                      <w:rFonts w:hint="default" w:ascii="Times New Roman" w:hAnsi="Times New Roman" w:eastAsia="宋体" w:cs="Times New Roman"/>
                      <w:color w:val="auto"/>
                      <w:kern w:val="2"/>
                      <w:sz w:val="21"/>
                      <w:szCs w:val="21"/>
                      <w:highlight w:val="none"/>
                      <w:lang w:val="en-US" w:eastAsia="zh-CN" w:bidi="ar"/>
                    </w:rPr>
                    <w:t>0.2%</w:t>
                  </w:r>
                </w:p>
              </w:tc>
            </w:tr>
          </w:tbl>
          <w:p w14:paraId="393512D0">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p>
          <w:p w14:paraId="304A0BD1">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账户名称：广西翔正项目管理有限公司 </w:t>
            </w:r>
          </w:p>
          <w:p w14:paraId="0A547716">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开户银行：中国工商银行南宁市建政支行 </w:t>
            </w:r>
          </w:p>
          <w:p w14:paraId="72D48B98">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银行账号：2102107109300076992</w:t>
            </w:r>
          </w:p>
          <w:p w14:paraId="405528DA">
            <w:pPr>
              <w:pStyle w:val="17"/>
              <w:keepNext w:val="0"/>
              <w:keepLines w:val="0"/>
              <w:suppressLineNumbers w:val="0"/>
              <w:snapToGrid w:val="0"/>
              <w:spacing w:before="0" w:beforeAutospacing="0" w:after="0" w:afterAutospacing="0" w:line="360" w:lineRule="auto"/>
              <w:ind w:left="0" w:right="0"/>
              <w:rPr>
                <w:rFonts w:hint="eastAsia" w:cs="Calibri"/>
                <w:color w:val="auto"/>
                <w:highlight w:val="none"/>
                <w:lang w:val="en-US" w:eastAsia="zh-CN"/>
              </w:rPr>
            </w:pPr>
            <w:r>
              <w:rPr>
                <w:rFonts w:hint="eastAsia" w:hAnsi="宋体" w:cs="Calibri"/>
                <w:color w:val="auto"/>
                <w:highlight w:val="none"/>
              </w:rPr>
              <w:t>开户行行号：102611010711</w:t>
            </w:r>
          </w:p>
        </w:tc>
      </w:tr>
      <w:tr w14:paraId="49E96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0C115059">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34</w:t>
            </w:r>
            <w:r>
              <w:rPr>
                <w:rFonts w:hint="default" w:ascii="宋体" w:hAnsi="宋体" w:cs="宋体"/>
                <w:color w:val="auto"/>
                <w:szCs w:val="21"/>
                <w:highlight w:val="none"/>
              </w:rPr>
              <w:t>.1</w:t>
            </w:r>
          </w:p>
        </w:tc>
        <w:tc>
          <w:tcPr>
            <w:tcW w:w="2625" w:type="dxa"/>
            <w:noWrap w:val="0"/>
            <w:vAlign w:val="center"/>
          </w:tcPr>
          <w:p w14:paraId="61AB3201">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Calibri" w:hAnsi="宋体" w:cs="Calibri"/>
                <w:color w:val="auto"/>
                <w:highlight w:val="none"/>
              </w:rPr>
              <w:t>解释</w:t>
            </w:r>
          </w:p>
        </w:tc>
        <w:tc>
          <w:tcPr>
            <w:tcW w:w="6853" w:type="dxa"/>
            <w:noWrap w:val="0"/>
            <w:vAlign w:val="center"/>
          </w:tcPr>
          <w:p w14:paraId="50C039AF">
            <w:pPr>
              <w:pStyle w:val="17"/>
              <w:keepNext w:val="0"/>
              <w:keepLines w:val="0"/>
              <w:suppressLineNumbers w:val="0"/>
              <w:snapToGrid w:val="0"/>
              <w:spacing w:before="0" w:beforeAutospacing="0" w:after="0" w:afterAutospacing="0" w:line="360" w:lineRule="auto"/>
              <w:ind w:left="0" w:right="0"/>
              <w:rPr>
                <w:rFonts w:hint="eastAsia" w:hAnsi="宋体" w:cs="宋体"/>
                <w:b/>
                <w:color w:val="auto"/>
                <w:sz w:val="21"/>
                <w:highlight w:val="none"/>
                <w:lang w:val="en-US" w:eastAsia="zh-CN"/>
              </w:rPr>
            </w:pPr>
            <w:r>
              <w:rPr>
                <w:rFonts w:hint="eastAsia" w:hAnsi="宋体" w:cs="宋体"/>
                <w:b/>
                <w:color w:val="auto"/>
                <w:sz w:val="21"/>
                <w:highlight w:val="none"/>
                <w:lang w:val="en-US" w:eastAsia="zh-CN"/>
              </w:rPr>
              <w:t>解释权：</w:t>
            </w:r>
            <w:r>
              <w:rPr>
                <w:rFonts w:hint="default" w:hAnsi="宋体" w:cs="宋体"/>
                <w:color w:val="auto"/>
                <w:sz w:val="21"/>
                <w:highlight w:val="none"/>
                <w:lang w:val="en-US" w:eastAsia="zh-CN"/>
              </w:rPr>
              <w:t>构成本</w:t>
            </w:r>
            <w:r>
              <w:rPr>
                <w:rFonts w:hint="eastAsia" w:hAnsi="宋体" w:cs="宋体"/>
                <w:color w:val="auto"/>
                <w:sz w:val="21"/>
                <w:highlight w:val="none"/>
                <w:lang w:val="en-US" w:eastAsia="zh-CN"/>
              </w:rPr>
              <w:t>磋商文件</w:t>
            </w:r>
            <w:r>
              <w:rPr>
                <w:rFonts w:hint="default"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磋商文件</w:t>
            </w:r>
            <w:r>
              <w:rPr>
                <w:rFonts w:hint="default"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int="default"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竞争性磋商</w:t>
            </w:r>
            <w:r>
              <w:rPr>
                <w:rFonts w:hint="default"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int="default"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评审程序、评审方法和评审标准</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响应</w:t>
            </w:r>
            <w:r>
              <w:rPr>
                <w:rFonts w:hint="default"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int="default" w:hAnsi="宋体" w:cs="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int="default" w:hAnsi="宋体" w:cs="宋体"/>
                <w:color w:val="auto"/>
                <w:sz w:val="21"/>
                <w:highlight w:val="none"/>
                <w:lang w:val="en-US" w:eastAsia="zh-CN"/>
              </w:rPr>
              <w:t>与同步更新的</w:t>
            </w:r>
            <w:r>
              <w:rPr>
                <w:rFonts w:hint="eastAsia" w:hAnsi="宋体" w:cs="宋体"/>
                <w:color w:val="auto"/>
                <w:sz w:val="21"/>
                <w:highlight w:val="none"/>
                <w:lang w:val="en-US" w:eastAsia="zh-CN"/>
              </w:rPr>
              <w:t>磋商文件</w:t>
            </w:r>
            <w:r>
              <w:rPr>
                <w:rFonts w:hint="default"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int="default" w:hAnsi="宋体" w:cs="宋体"/>
                <w:color w:val="auto"/>
                <w:sz w:val="21"/>
                <w:highlight w:val="none"/>
                <w:lang w:val="en-US" w:eastAsia="zh-CN"/>
              </w:rPr>
              <w:t>为准。按本款前述规定仍不能形成结论的，</w:t>
            </w:r>
            <w:r>
              <w:rPr>
                <w:rFonts w:hint="default" w:hAnsi="宋体" w:cs="宋体"/>
                <w:b/>
                <w:color w:val="auto"/>
                <w:sz w:val="21"/>
                <w:highlight w:val="none"/>
                <w:lang w:val="en-US" w:eastAsia="zh-CN"/>
              </w:rPr>
              <w:t>由</w:t>
            </w:r>
            <w:r>
              <w:rPr>
                <w:rFonts w:hint="eastAsia" w:hAnsi="宋体" w:cs="宋体"/>
                <w:b/>
                <w:color w:val="auto"/>
                <w:sz w:val="21"/>
                <w:highlight w:val="none"/>
                <w:lang w:val="en-US" w:eastAsia="zh-CN"/>
              </w:rPr>
              <w:t>采购</w:t>
            </w:r>
            <w:r>
              <w:rPr>
                <w:rFonts w:hint="default" w:hAnsi="宋体" w:cs="宋体"/>
                <w:b/>
                <w:color w:val="auto"/>
                <w:sz w:val="21"/>
                <w:highlight w:val="none"/>
                <w:lang w:val="en-US" w:eastAsia="zh-CN"/>
              </w:rPr>
              <w:t>人</w:t>
            </w:r>
            <w:r>
              <w:rPr>
                <w:rFonts w:hint="eastAsia" w:hAnsi="宋体" w:cs="宋体"/>
                <w:b/>
                <w:color w:val="auto"/>
                <w:sz w:val="21"/>
                <w:highlight w:val="none"/>
                <w:lang w:val="en-US" w:eastAsia="zh-CN"/>
              </w:rPr>
              <w:t>或者采购代理机构</w:t>
            </w:r>
            <w:r>
              <w:rPr>
                <w:rFonts w:hint="default" w:hAnsi="宋体" w:cs="宋体"/>
                <w:b/>
                <w:color w:val="auto"/>
                <w:sz w:val="21"/>
                <w:highlight w:val="none"/>
                <w:lang w:val="en-US" w:eastAsia="zh-CN"/>
              </w:rPr>
              <w:t>负责解释。</w:t>
            </w:r>
          </w:p>
          <w:p w14:paraId="607B40A5">
            <w:pPr>
              <w:pStyle w:val="17"/>
              <w:keepNext w:val="0"/>
              <w:keepLines w:val="0"/>
              <w:suppressLineNumbers w:val="0"/>
              <w:snapToGrid w:val="0"/>
              <w:spacing w:before="0" w:beforeAutospacing="0" w:after="0" w:afterAutospacing="0" w:line="360" w:lineRule="auto"/>
              <w:ind w:left="0" w:right="0"/>
              <w:rPr>
                <w:rFonts w:hint="eastAsia" w:hAnsi="宋体" w:cs="宋体"/>
                <w:b/>
                <w:color w:val="auto"/>
                <w:sz w:val="21"/>
                <w:highlight w:val="none"/>
                <w:lang w:val="en-US" w:eastAsia="zh-CN"/>
              </w:rPr>
            </w:pPr>
            <w:r>
              <w:rPr>
                <w:rFonts w:hint="eastAsia" w:hAnsi="宋体" w:cs="宋体"/>
                <w:b/>
                <w:color w:val="auto"/>
                <w:sz w:val="21"/>
                <w:highlight w:val="none"/>
                <w:lang w:val="en-US" w:eastAsia="zh-CN"/>
              </w:rPr>
              <w:t>法律责任：</w:t>
            </w:r>
          </w:p>
          <w:p w14:paraId="78CB8630">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b/>
                <w:color w:val="auto"/>
                <w:sz w:val="21"/>
                <w:highlight w:val="none"/>
                <w:lang w:val="en-US" w:eastAsia="zh-CN"/>
              </w:rPr>
              <w:t>1.</w:t>
            </w:r>
            <w:r>
              <w:rPr>
                <w:rFonts w:hint="eastAsia" w:hAnsi="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0B191BC1">
            <w:pPr>
              <w:keepNext w:val="0"/>
              <w:keepLines w:val="0"/>
              <w:suppressLineNumbers w:val="0"/>
              <w:spacing w:before="0" w:beforeAutospacing="0" w:after="0" w:afterAutospacing="0" w:line="360" w:lineRule="auto"/>
              <w:ind w:left="0" w:right="0"/>
              <w:rPr>
                <w:rFonts w:hint="eastAsia" w:ascii="Calibri" w:hAnsi="宋体" w:cs="宋体"/>
                <w:color w:val="auto"/>
                <w:highlight w:val="none"/>
              </w:rPr>
            </w:pPr>
            <w:r>
              <w:rPr>
                <w:rFonts w:hint="eastAsia" w:ascii="宋体" w:hAnsi="宋体" w:cs="Calibri"/>
                <w:b/>
                <w:color w:val="auto"/>
                <w:szCs w:val="21"/>
                <w:highlight w:val="none"/>
              </w:rPr>
              <w:t>2. 本项目采购代理机构应严格按</w:t>
            </w:r>
            <w:r>
              <w:rPr>
                <w:rFonts w:hint="eastAsia" w:ascii="宋体" w:hAnsi="宋体" w:eastAsia="宋体" w:cs="Times New Roman"/>
                <w:b/>
                <w:color w:val="auto"/>
                <w:szCs w:val="21"/>
                <w:highlight w:val="none"/>
              </w:rPr>
              <w:t>照“广西政府采购</w:t>
            </w:r>
            <w:r>
              <w:rPr>
                <w:rFonts w:hint="eastAsia" w:ascii="宋体" w:hAnsi="宋体" w:eastAsia="宋体" w:cs="Times New Roman"/>
                <w:b/>
                <w:color w:val="auto"/>
                <w:szCs w:val="21"/>
                <w:highlight w:val="none"/>
                <w:lang w:eastAsia="zh-CN"/>
              </w:rPr>
              <w:t>云</w:t>
            </w:r>
            <w:r>
              <w:rPr>
                <w:rFonts w:hint="eastAsia" w:ascii="宋体" w:hAnsi="宋体" w:eastAsia="宋体" w:cs="Times New Roman"/>
                <w:b/>
                <w:color w:val="auto"/>
                <w:szCs w:val="21"/>
                <w:highlight w:val="none"/>
              </w:rPr>
              <w:t>”平台项目采购全流程电子化电子开评标规程执行项目采购活动，代理机构在“广西政府采购云”平台的“项目管理”—“采购文件</w:t>
            </w:r>
            <w:r>
              <w:rPr>
                <w:rFonts w:hint="eastAsia" w:ascii="宋体" w:hAnsi="宋体" w:cs="Calibri"/>
                <w:b/>
                <w:color w:val="auto"/>
                <w:szCs w:val="21"/>
                <w:highlight w:val="none"/>
              </w:rPr>
              <w:t>管理”内开评标规则设置作为本采购文件的组成部分，截标之后不可更改，因代理机构开评标规则设置错误导致采购活动无法开展下去的情况，由代理机构负责解释并承担其后果。</w:t>
            </w:r>
          </w:p>
        </w:tc>
      </w:tr>
      <w:tr w14:paraId="09E51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6" w:type="dxa"/>
            <w:noWrap w:val="0"/>
            <w:vAlign w:val="center"/>
          </w:tcPr>
          <w:p w14:paraId="66ED865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34</w:t>
            </w:r>
            <w:r>
              <w:rPr>
                <w:rFonts w:hint="default" w:ascii="宋体" w:hAnsi="宋体" w:cs="宋体"/>
                <w:color w:val="auto"/>
                <w:szCs w:val="21"/>
                <w:highlight w:val="none"/>
              </w:rPr>
              <w:t>.2</w:t>
            </w:r>
          </w:p>
        </w:tc>
        <w:tc>
          <w:tcPr>
            <w:tcW w:w="2625" w:type="dxa"/>
            <w:noWrap w:val="0"/>
            <w:vAlign w:val="center"/>
          </w:tcPr>
          <w:p w14:paraId="6004290D">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853" w:type="dxa"/>
            <w:noWrap w:val="0"/>
            <w:vAlign w:val="center"/>
          </w:tcPr>
          <w:p w14:paraId="4BE14775">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E907702">
            <w:pPr>
              <w:pStyle w:val="17"/>
              <w:keepNext w:val="0"/>
              <w:keepLines w:val="0"/>
              <w:suppressLineNumbers w:val="0"/>
              <w:snapToGrid w:val="0"/>
              <w:spacing w:before="0" w:beforeAutospacing="0" w:after="0" w:afterAutospacing="0" w:line="360" w:lineRule="auto"/>
              <w:ind w:left="0" w:right="0"/>
              <w:rPr>
                <w:rFonts w:hint="default" w:hAnsi="宋体" w:cs="宋体"/>
                <w:color w:val="auto"/>
                <w:sz w:val="21"/>
                <w:highlight w:val="none"/>
                <w:lang w:val="en-US" w:eastAsia="zh-CN"/>
              </w:rPr>
            </w:pPr>
            <w:r>
              <w:rPr>
                <w:rFonts w:hint="eastAsia" w:hAnsi="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8D77394">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default" w:hAnsi="宋体" w:cs="宋体"/>
                <w:color w:val="auto"/>
                <w:sz w:val="21"/>
                <w:highlight w:val="none"/>
                <w:lang w:val="en-US" w:eastAsia="zh-CN"/>
              </w:rPr>
              <w:t>3.</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1628DD82">
            <w:pPr>
              <w:pStyle w:val="17"/>
              <w:keepNext w:val="0"/>
              <w:keepLines w:val="0"/>
              <w:suppressLineNumbers w:val="0"/>
              <w:snapToGrid w:val="0"/>
              <w:spacing w:before="0" w:beforeAutospacing="0" w:after="0" w:afterAutospacing="0" w:line="360" w:lineRule="auto"/>
              <w:ind w:left="0" w:right="0"/>
              <w:rPr>
                <w:rFonts w:hint="default" w:hAnsi="宋体" w:cs="宋体"/>
                <w:color w:val="auto"/>
                <w:sz w:val="21"/>
                <w:highlight w:val="none"/>
                <w:lang w:val="en-US" w:eastAsia="zh-CN"/>
              </w:rPr>
            </w:pPr>
            <w:r>
              <w:rPr>
                <w:rFonts w:hint="default" w:hAnsi="宋体" w:cs="宋体"/>
                <w:color w:val="auto"/>
                <w:sz w:val="21"/>
                <w:highlight w:val="none"/>
                <w:lang w:val="en-US" w:eastAsia="zh-CN"/>
              </w:rPr>
              <w:t>4.</w:t>
            </w:r>
            <w:r>
              <w:rPr>
                <w:rFonts w:hint="eastAsia" w:hAnsi="宋体" w:cs="宋体"/>
                <w:color w:val="auto"/>
                <w:sz w:val="21"/>
                <w:highlight w:val="none"/>
                <w:lang w:val="en-US" w:eastAsia="zh-CN"/>
              </w:rPr>
              <w:t>自然人竞标的，磋商文件规定盖公章处由自然人摁手指指印。</w:t>
            </w:r>
          </w:p>
          <w:p w14:paraId="7A1BED94">
            <w:pPr>
              <w:pStyle w:val="17"/>
              <w:keepNext w:val="0"/>
              <w:keepLines w:val="0"/>
              <w:suppressLineNumbers w:val="0"/>
              <w:snapToGrid w:val="0"/>
              <w:spacing w:before="0" w:beforeAutospacing="0" w:after="0" w:afterAutospacing="0" w:line="360" w:lineRule="auto"/>
              <w:ind w:left="0" w:right="0"/>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327ECD46">
      <w:pPr>
        <w:pStyle w:val="3"/>
        <w:spacing w:line="420" w:lineRule="exact"/>
        <w:jc w:val="center"/>
        <w:rPr>
          <w:rFonts w:hint="eastAsia" w:ascii="宋体" w:hAnsi="宋体"/>
          <w:b w:val="0"/>
          <w:color w:val="auto"/>
          <w:highlight w:val="none"/>
        </w:rPr>
      </w:pPr>
      <w:r>
        <w:rPr>
          <w:rFonts w:ascii="宋体" w:hAnsi="宋体"/>
          <w:b w:val="0"/>
          <w:color w:val="auto"/>
          <w:highlight w:val="none"/>
        </w:rPr>
        <w:br w:type="page"/>
      </w:r>
      <w:bookmarkStart w:id="49" w:name="_Toc6414"/>
      <w:r>
        <w:rPr>
          <w:rFonts w:hint="eastAsia" w:ascii="宋体" w:hAnsi="宋体"/>
          <w:b w:val="0"/>
          <w:color w:val="auto"/>
          <w:highlight w:val="none"/>
        </w:rPr>
        <w:t>第二节 供应商须知正文</w:t>
      </w:r>
      <w:bookmarkEnd w:id="49"/>
    </w:p>
    <w:p w14:paraId="5D40CCB3">
      <w:pPr>
        <w:pStyle w:val="4"/>
        <w:spacing w:before="0" w:after="0" w:line="360" w:lineRule="auto"/>
        <w:ind w:firstLine="640" w:firstLineChars="200"/>
        <w:rPr>
          <w:rFonts w:hint="eastAsia" w:ascii="宋体" w:hAnsi="宋体"/>
          <w:b w:val="0"/>
          <w:color w:val="auto"/>
          <w:highlight w:val="none"/>
        </w:rPr>
      </w:pPr>
      <w:bookmarkStart w:id="50" w:name="_Toc27797"/>
      <w:r>
        <w:rPr>
          <w:rFonts w:hint="eastAsia" w:ascii="宋体" w:hAnsi="宋体"/>
          <w:b w:val="0"/>
          <w:color w:val="auto"/>
          <w:highlight w:val="none"/>
        </w:rPr>
        <w:t>一、总则</w:t>
      </w:r>
      <w:bookmarkEnd w:id="50"/>
    </w:p>
    <w:p w14:paraId="09BDF00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DA888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08CC62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4D6D1AC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283E71B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4BE0157A">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52ABE1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819745C">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1AD7529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40D304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259E96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6BE3CB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412D2B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0C4E86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CA0BF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1AC63D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6699D9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0EE8569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1C446D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1D8704B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53AA0F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7FDB08B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5E3568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F72A8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13A35AFE">
      <w:pPr>
        <w:spacing w:line="360" w:lineRule="auto"/>
        <w:ind w:firstLine="420" w:firstLineChars="200"/>
        <w:rPr>
          <w:rFonts w:hint="eastAsia" w:ascii="宋体" w:hAnsi="宋体"/>
          <w:bCs/>
          <w:color w:val="auto"/>
          <w:szCs w:val="21"/>
          <w:highlight w:val="none"/>
        </w:rPr>
      </w:pPr>
      <w:r>
        <w:rPr>
          <w:rFonts w:hint="eastAsia" w:ascii="宋体" w:hAnsi="宋体" w:cs="宋体"/>
          <w:color w:val="auto"/>
          <w:szCs w:val="21"/>
          <w:highlight w:val="none"/>
        </w:rPr>
        <w:t>5.3</w:t>
      </w:r>
      <w:r>
        <w:rPr>
          <w:rFonts w:hint="eastAsia" w:ascii="宋体" w:hAnsi="宋体" w:eastAsia="宋体" w:cs="Times New Roman"/>
          <w:bCs/>
          <w:color w:val="auto"/>
          <w:szCs w:val="21"/>
          <w:highlight w:val="none"/>
        </w:rPr>
        <w:t>根据《政府采购促进中小企业发展管理办法》（财库[2020]46号）第九条、《广西壮族自治区财政厅关于贯彻落实政府采购支持中小企业发展政策的通知》（桂财采〔2022〕31号）</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《广西壮族自治区财政厅关于持续优化政府采购营商环境推动高质量发展的通知》（桂财采〔2024〕55号）及《广西壮族自治区财政厅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6%（工程项目为 1%—2%）的扣除，用扣除后的价格参加评审。组成联合体的小微企业与联合体内其他企业、分包企业之间存在直接控股、管理关系的，不享受价格扣除优惠政策。</w:t>
      </w:r>
    </w:p>
    <w:p w14:paraId="5BCFCC4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4474E0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08ABCB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根据《政府采购促进中小企业发展管理办法》（财库[2020]46号）第九条</w:t>
      </w:r>
      <w:r>
        <w:rPr>
          <w:rFonts w:hint="eastAsia" w:ascii="宋体" w:hAnsi="宋体"/>
          <w:bCs/>
          <w:color w:val="auto"/>
          <w:szCs w:val="21"/>
          <w:highlight w:val="none"/>
          <w:lang w:eastAsia="zh-CN"/>
        </w:rPr>
        <w:t>、</w:t>
      </w:r>
      <w:r>
        <w:rPr>
          <w:rFonts w:hint="eastAsia"/>
          <w:color w:val="auto"/>
          <w:highlight w:val="none"/>
        </w:rPr>
        <w:t>《广西壮族自治区财政厅关于贯彻落实政府采购支持中小企业发展政策的通知》（桂财采〔2022〕31号）</w:t>
      </w:r>
      <w:r>
        <w:rPr>
          <w:rFonts w:hint="eastAsia"/>
          <w:color w:val="auto"/>
          <w:highlight w:val="none"/>
          <w:lang w:eastAsia="zh-CN"/>
        </w:rPr>
        <w:t>及</w:t>
      </w:r>
      <w:r>
        <w:rPr>
          <w:rFonts w:hint="eastAsia" w:ascii="宋体" w:hAnsi="宋体" w:cs="宋体"/>
          <w:color w:val="auto"/>
          <w:szCs w:val="21"/>
          <w:highlight w:val="none"/>
        </w:rPr>
        <w:t>《广西壮族自治区财政厅关于持续优化政府采购营商环境推动高质量发展的通知》（桂财采〔2024〕55号）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6%的扣除，用扣除后的价格参加评审。接受分包的小微企业与分包企业之间存在直接控股、管理关系的，不享受价格扣除优惠政策。</w:t>
      </w:r>
    </w:p>
    <w:p w14:paraId="7A6EBF5C">
      <w:pPr>
        <w:spacing w:line="360" w:lineRule="auto"/>
        <w:ind w:firstLine="482" w:firstLineChars="200"/>
        <w:rPr>
          <w:rFonts w:hint="eastAsia" w:ascii="黑体" w:hAnsi="黑体" w:eastAsia="黑体" w:cs="宋体"/>
          <w:b/>
          <w:bCs/>
          <w:color w:val="auto"/>
          <w:sz w:val="24"/>
          <w:highlight w:val="none"/>
        </w:rPr>
      </w:pPr>
      <w:bookmarkStart w:id="51" w:name="_Toc254970673"/>
      <w:bookmarkStart w:id="52" w:name="_Toc254970532"/>
      <w:r>
        <w:rPr>
          <w:rFonts w:hint="eastAsia" w:ascii="黑体" w:hAnsi="黑体" w:eastAsia="黑体" w:cs="宋体"/>
          <w:b/>
          <w:bCs/>
          <w:color w:val="auto"/>
          <w:sz w:val="24"/>
          <w:highlight w:val="none"/>
        </w:rPr>
        <w:t>7.特别说明</w:t>
      </w:r>
      <w:bookmarkEnd w:id="51"/>
      <w:bookmarkEnd w:id="52"/>
    </w:p>
    <w:p w14:paraId="20BA49EC">
      <w:pPr>
        <w:spacing w:line="360" w:lineRule="auto"/>
        <w:ind w:firstLine="420" w:firstLineChars="200"/>
        <w:rPr>
          <w:rFonts w:hint="eastAsia" w:ascii="宋体" w:hAnsi="宋体" w:cs="宋体"/>
          <w:color w:val="auto"/>
          <w:szCs w:val="21"/>
          <w:highlight w:val="none"/>
        </w:rPr>
      </w:pPr>
      <w:bookmarkStart w:id="53" w:name="_8.1提供相同品牌产品且通过资格审查、符合性审查的不同投标人参加同一合"/>
      <w:bookmarkEnd w:id="53"/>
      <w:r>
        <w:rPr>
          <w:rFonts w:hint="eastAsia" w:ascii="宋体" w:hAnsi="宋体" w:cs="宋体"/>
          <w:color w:val="auto"/>
          <w:szCs w:val="21"/>
          <w:highlight w:val="none"/>
        </w:rPr>
        <w:t>7.1</w:t>
      </w:r>
      <w:bookmarkStart w:id="54"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54"/>
    <w:p w14:paraId="414EBF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2FF40B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AB23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4BC7CE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0E5AA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05A2F4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EDE98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26ABA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C54DE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1D471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FB0AD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（1）不同供应商的响应文件由同一单位或者个人编制；或者不同供应商报名的IP地址一致的；或者编制响应文件硬件设备CPU编号、硬盘编号、网卡地址一致的情况。</w:t>
      </w:r>
      <w:r>
        <w:rPr>
          <w:rFonts w:hint="eastAsia" w:hAnsi="宋体"/>
          <w:b/>
          <w:color w:val="auto"/>
          <w:highlight w:val="none"/>
        </w:rPr>
        <w:t>（供应商IP地址、硬件设备</w:t>
      </w:r>
      <w:r>
        <w:rPr>
          <w:rFonts w:hAnsi="宋体"/>
          <w:b/>
          <w:color w:val="auto"/>
          <w:highlight w:val="none"/>
        </w:rPr>
        <w:t>CPU</w:t>
      </w:r>
      <w:r>
        <w:rPr>
          <w:rFonts w:hint="eastAsia" w:hAnsi="宋体"/>
          <w:b/>
          <w:color w:val="auto"/>
          <w:highlight w:val="none"/>
        </w:rPr>
        <w:t>编号、硬盘编号、网卡地址等数据相似异常以广西政府采购云平台解密文件后信息提示为准）</w:t>
      </w:r>
      <w:r>
        <w:rPr>
          <w:rFonts w:hint="eastAsia" w:ascii="宋体" w:hAnsi="宋体" w:cs="宋体"/>
          <w:color w:val="auto"/>
          <w:szCs w:val="21"/>
          <w:highlight w:val="none"/>
        </w:rPr>
        <w:t xml:space="preserve"> </w:t>
      </w:r>
    </w:p>
    <w:p w14:paraId="0737E1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6C5180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5B1AA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C0DDD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B8E49FE">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8CCE4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69F50F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125AF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B89C1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A088E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E5200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1BACA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34E767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0BD6319">
      <w:pPr>
        <w:pStyle w:val="4"/>
        <w:spacing w:before="0" w:after="0" w:line="360" w:lineRule="auto"/>
        <w:ind w:firstLine="640" w:firstLineChars="200"/>
        <w:rPr>
          <w:rFonts w:hint="eastAsia" w:ascii="宋体" w:hAnsi="宋体"/>
          <w:b w:val="0"/>
          <w:bCs w:val="0"/>
          <w:color w:val="auto"/>
          <w:highlight w:val="none"/>
        </w:rPr>
      </w:pPr>
      <w:bookmarkStart w:id="55" w:name="_Toc254970534"/>
      <w:bookmarkStart w:id="56" w:name="_Toc254970675"/>
      <w:bookmarkStart w:id="57" w:name="_Toc24744"/>
      <w:r>
        <w:rPr>
          <w:rFonts w:hint="eastAsia" w:ascii="宋体" w:hAnsi="宋体"/>
          <w:b w:val="0"/>
          <w:bCs w:val="0"/>
          <w:color w:val="auto"/>
          <w:highlight w:val="none"/>
        </w:rPr>
        <w:t>二、磋商文件</w:t>
      </w:r>
      <w:bookmarkEnd w:id="55"/>
      <w:bookmarkEnd w:id="56"/>
      <w:bookmarkEnd w:id="57"/>
    </w:p>
    <w:p w14:paraId="3EADFE8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1887EB36">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1248DCF6">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3C8138E3">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22D41483">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6179246D">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25AA9F2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3DA63953">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57848AE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4FD9FA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C5F2B3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5F547EB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80B2ABA">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7AA192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FE91E0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B2C25A5">
      <w:pPr>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32ED68C0">
      <w:pPr>
        <w:spacing w:line="360" w:lineRule="auto"/>
        <w:ind w:firstLine="400" w:firstLineChars="200"/>
        <w:rPr>
          <w:rFonts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4957226C">
      <w:pPr>
        <w:pStyle w:val="4"/>
        <w:spacing w:before="0" w:after="0" w:line="360" w:lineRule="auto"/>
        <w:ind w:firstLine="640" w:firstLineChars="200"/>
        <w:rPr>
          <w:rFonts w:hint="eastAsia" w:ascii="宋体" w:hAnsi="宋体"/>
          <w:b w:val="0"/>
          <w:bCs w:val="0"/>
          <w:color w:val="auto"/>
          <w:highlight w:val="none"/>
        </w:rPr>
      </w:pPr>
      <w:r>
        <w:rPr>
          <w:rFonts w:hint="eastAsia" w:ascii="宋体" w:hAnsi="宋体"/>
          <w:b w:val="0"/>
          <w:bCs w:val="0"/>
          <w:color w:val="auto"/>
          <w:highlight w:val="none"/>
        </w:rPr>
        <w:t xml:space="preserve">  </w:t>
      </w:r>
      <w:bookmarkStart w:id="58" w:name="_Toc26665"/>
      <w:r>
        <w:rPr>
          <w:rFonts w:hint="eastAsia" w:ascii="宋体" w:hAnsi="宋体"/>
          <w:b w:val="0"/>
          <w:bCs w:val="0"/>
          <w:color w:val="auto"/>
          <w:highlight w:val="none"/>
        </w:rPr>
        <w:t>三、响应文件的编制</w:t>
      </w:r>
      <w:bookmarkEnd w:id="58"/>
    </w:p>
    <w:p w14:paraId="2596B3A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10622E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AA9298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45CD01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49BE7A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790AA4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466ECC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12.1.3报价文件：详见须知前附表</w:t>
      </w:r>
    </w:p>
    <w:p w14:paraId="3E8CE8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2EA9E01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DC66F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9A2DDF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4A63BE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4DCCFA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40119066">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1EBF2311">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4CD5EE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4D22D1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3C321A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780F64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370EA0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40787D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59"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9"/>
    <w:p w14:paraId="4EEDD9B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96702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9DB46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280CDF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FAF9D2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343A8D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6FA13DE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58093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7C656C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56C572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60"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60"/>
      <w:r>
        <w:rPr>
          <w:rFonts w:hint="eastAsia" w:ascii="宋体" w:hAnsi="宋体" w:cs="宋体"/>
          <w:color w:val="auto"/>
          <w:szCs w:val="21"/>
          <w:highlight w:val="none"/>
        </w:rPr>
        <w:t>，否则其响应文件按无效响应处理。骑缝盖公章不视为在规定位置盖章。</w:t>
      </w:r>
    </w:p>
    <w:p w14:paraId="47C4A0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75BDDF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1FE211C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7E14D591">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w:t>
      </w:r>
      <w:r>
        <w:rPr>
          <w:rFonts w:hint="eastAsia" w:ascii="宋体" w:hAnsi="宋体" w:eastAsia="宋体" w:cs="宋体"/>
          <w:color w:val="auto"/>
          <w:kern w:val="0"/>
          <w:szCs w:val="21"/>
          <w:highlight w:val="none"/>
        </w:rPr>
        <w:t>广西政府采购</w:t>
      </w:r>
      <w:r>
        <w:rPr>
          <w:rFonts w:hint="eastAsia" w:ascii="宋体" w:hAnsi="宋体" w:cs="仿宋_GB2312"/>
          <w:color w:val="auto"/>
          <w:kern w:val="0"/>
          <w:szCs w:val="21"/>
          <w:highlight w:val="none"/>
          <w:lang w:val="zh-CN"/>
        </w:rPr>
        <w:t>云电子交易客户端”，并按照磋商文件和电子交易平台的要求编制并加密响应文件。供应商未按规定加密的响应文件，电子交易平台将拒收并提示。</w:t>
      </w:r>
    </w:p>
    <w:p w14:paraId="6D5A9F78">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w:t>
      </w:r>
      <w:r>
        <w:rPr>
          <w:rFonts w:hint="eastAsia" w:ascii="宋体" w:hAnsi="宋体" w:eastAsia="宋体" w:cs="宋体"/>
          <w:color w:val="auto"/>
          <w:kern w:val="0"/>
          <w:szCs w:val="21"/>
          <w:highlight w:val="none"/>
        </w:rPr>
        <w:t>广西政府采购</w:t>
      </w:r>
      <w:r>
        <w:rPr>
          <w:rFonts w:hint="eastAsia" w:ascii="宋体" w:hAnsi="宋体" w:cs="仿宋_GB2312"/>
          <w:color w:val="auto"/>
          <w:kern w:val="0"/>
          <w:szCs w:val="21"/>
          <w:highlight w:val="none"/>
          <w:lang w:val="zh-CN"/>
        </w:rPr>
        <w:t>云电子交易客户端”需要提前申领CA数字证书，申领流程见该项目采购公告附件。</w:t>
      </w:r>
    </w:p>
    <w:p w14:paraId="27966B7D">
      <w:pPr>
        <w:pStyle w:val="17"/>
        <w:spacing w:line="360" w:lineRule="auto"/>
        <w:ind w:firstLine="420" w:firstLineChars="200"/>
        <w:rPr>
          <w:rFonts w:hint="eastAsia"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722DC44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70B382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7CB7A515">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4DE0C8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2F51B9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w:t>
      </w:r>
      <w:r>
        <w:rPr>
          <w:rFonts w:hint="eastAsia" w:ascii="宋体" w:hAnsi="宋体"/>
          <w:color w:val="auto"/>
          <w:szCs w:val="21"/>
          <w:highlight w:val="none"/>
          <w:lang w:eastAsia="zh-CN"/>
        </w:rPr>
        <w:t>及时</w:t>
      </w:r>
      <w:r>
        <w:rPr>
          <w:rFonts w:hint="eastAsia" w:ascii="宋体" w:hAnsi="宋体"/>
          <w:color w:val="auto"/>
          <w:szCs w:val="21"/>
          <w:highlight w:val="none"/>
        </w:rPr>
        <w:t>向供应商发出确认回执通知。在响应文件提交截止时间前，除供应商补充、修改或者撤回响应文件外，任何单位和个人不得解密或提取响应文件。</w:t>
      </w:r>
    </w:p>
    <w:p w14:paraId="5BD728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172B7BD6">
      <w:pPr>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28F1B3A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512818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2434C74B">
      <w:pPr>
        <w:spacing w:line="360" w:lineRule="auto"/>
        <w:ind w:firstLine="482" w:firstLineChars="200"/>
        <w:rPr>
          <w:rFonts w:hint="eastAsia" w:ascii="黑体" w:hAnsi="黑体" w:eastAsia="黑体" w:cs="宋体"/>
          <w:b/>
          <w:bCs/>
          <w:color w:val="auto"/>
          <w:sz w:val="24"/>
          <w:highlight w:val="none"/>
        </w:rPr>
      </w:pPr>
      <w:bookmarkStart w:id="61" w:name="_Hlk45702405"/>
      <w:r>
        <w:rPr>
          <w:rFonts w:hint="eastAsia" w:ascii="黑体" w:hAnsi="黑体" w:eastAsia="黑体" w:cs="宋体"/>
          <w:b/>
          <w:bCs/>
          <w:color w:val="auto"/>
          <w:sz w:val="24"/>
          <w:highlight w:val="none"/>
        </w:rPr>
        <w:t>22. 首次响应文件的退回</w:t>
      </w:r>
    </w:p>
    <w:p w14:paraId="3A385F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w:t>
      </w:r>
      <w:r>
        <w:rPr>
          <w:rFonts w:hint="eastAsia" w:ascii="宋体" w:hAnsi="宋体" w:eastAsia="宋体" w:cs="宋体"/>
          <w:color w:val="auto"/>
          <w:kern w:val="0"/>
          <w:szCs w:val="21"/>
          <w:highlight w:val="none"/>
        </w:rPr>
        <w:t>广西政府采购</w:t>
      </w:r>
      <w:r>
        <w:rPr>
          <w:rFonts w:hint="eastAsia" w:ascii="宋体" w:hAnsi="宋体" w:cs="宋体"/>
          <w:color w:val="auto"/>
          <w:szCs w:val="21"/>
          <w:highlight w:val="none"/>
        </w:rPr>
        <w:t>云”平台操作退回，除此之外采购人和采购代理机构对已提交的电子响应文件概不退回。</w:t>
      </w:r>
    </w:p>
    <w:p w14:paraId="2A27DE8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785A470A">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61"/>
    </w:p>
    <w:p w14:paraId="124C8FCA">
      <w:pPr>
        <w:pStyle w:val="4"/>
        <w:spacing w:before="0" w:after="0" w:line="360" w:lineRule="auto"/>
        <w:ind w:firstLine="640" w:firstLineChars="200"/>
        <w:rPr>
          <w:rFonts w:hint="eastAsia" w:ascii="宋体" w:hAnsi="宋体"/>
          <w:b w:val="0"/>
          <w:bCs w:val="0"/>
          <w:color w:val="auto"/>
          <w:highlight w:val="none"/>
        </w:rPr>
      </w:pPr>
      <w:r>
        <w:rPr>
          <w:rFonts w:hint="eastAsia" w:ascii="宋体" w:hAnsi="宋体"/>
          <w:b w:val="0"/>
          <w:bCs w:val="0"/>
          <w:color w:val="auto"/>
          <w:highlight w:val="none"/>
        </w:rPr>
        <w:t xml:space="preserve">  </w:t>
      </w:r>
      <w:bookmarkStart w:id="62" w:name="_Toc22383"/>
      <w:r>
        <w:rPr>
          <w:rFonts w:hint="eastAsia" w:ascii="宋体" w:hAnsi="宋体"/>
          <w:b w:val="0"/>
          <w:bCs w:val="0"/>
          <w:color w:val="auto"/>
          <w:highlight w:val="none"/>
        </w:rPr>
        <w:t>四、评审及磋商</w:t>
      </w:r>
      <w:bookmarkEnd w:id="62"/>
    </w:p>
    <w:p w14:paraId="64C77FE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336C89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FEBF8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7862C7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283191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160E4AB6">
      <w:pPr>
        <w:pStyle w:val="17"/>
        <w:spacing w:line="360" w:lineRule="auto"/>
        <w:ind w:firstLine="420" w:firstLineChars="200"/>
        <w:rPr>
          <w:rFonts w:hint="eastAsia" w:hAnsi="宋体"/>
          <w:bCs/>
          <w:color w:val="auto"/>
          <w:sz w:val="21"/>
          <w:highlight w:val="none"/>
        </w:rPr>
      </w:pPr>
      <w:r>
        <w:rPr>
          <w:rFonts w:hint="eastAsia" w:hAnsi="宋体" w:cs="宋体"/>
          <w:color w:val="auto"/>
          <w:sz w:val="21"/>
          <w:highlight w:val="none"/>
        </w:rPr>
        <w:t xml:space="preserve">25.2 </w:t>
      </w:r>
      <w:r>
        <w:rPr>
          <w:rFonts w:hint="eastAsia" w:hAnsi="宋体"/>
          <w:bCs/>
          <w:color w:val="auto"/>
          <w:sz w:val="21"/>
          <w:highlight w:val="none"/>
        </w:rPr>
        <w:t>响应文件解密</w:t>
      </w:r>
    </w:p>
    <w:p w14:paraId="63D31864">
      <w:pPr>
        <w:pStyle w:val="17"/>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w:t>
      </w:r>
      <w:r>
        <w:rPr>
          <w:rFonts w:hint="eastAsia" w:ascii="宋体" w:hAnsi="宋体" w:eastAsia="宋体" w:cs="Times New Roman"/>
          <w:b/>
          <w:color w:val="auto"/>
          <w:sz w:val="21"/>
          <w:highlight w:val="none"/>
        </w:rPr>
        <w:t>录到“广西政府采购云”平台电</w:t>
      </w:r>
      <w:r>
        <w:rPr>
          <w:rFonts w:hint="eastAsia" w:hAnsi="宋体"/>
          <w:b/>
          <w:color w:val="auto"/>
          <w:sz w:val="21"/>
          <w:highlight w:val="none"/>
        </w:rPr>
        <w:t>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6720830E">
      <w:pPr>
        <w:pStyle w:val="17"/>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w:t>
      </w:r>
      <w:r>
        <w:rPr>
          <w:rFonts w:hint="eastAsia" w:ascii="宋体" w:hAnsi="宋体" w:eastAsia="宋体" w:cs="Times New Roman"/>
          <w:bCs/>
          <w:color w:val="auto"/>
          <w:sz w:val="21"/>
          <w:highlight w:val="none"/>
        </w:rPr>
        <w:t>未在“广西政府采购云”电子开标大</w:t>
      </w:r>
      <w:r>
        <w:rPr>
          <w:rFonts w:hint="eastAsia" w:hAnsi="宋体"/>
          <w:bCs/>
          <w:color w:val="auto"/>
          <w:sz w:val="21"/>
          <w:highlight w:val="none"/>
        </w:rPr>
        <w:t>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6B892C0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57B5E0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4F700004">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 xml:space="preserve">26.2 </w:t>
      </w:r>
      <w:r>
        <w:rPr>
          <w:rFonts w:hint="eastAsia" w:ascii="宋体" w:hAnsi="宋体" w:cs="宋体"/>
          <w:color w:val="auto"/>
          <w:szCs w:val="21"/>
          <w:highlight w:val="none"/>
        </w:rPr>
        <w:t>磋商文件内容违反国家有关强制性规定的，磋商小组应当停止评审并向采购人或者采购代理机构说明情况，并在评审报告中书面体现。</w:t>
      </w:r>
    </w:p>
    <w:p w14:paraId="2B53BB9C">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 xml:space="preserve">26.3 </w:t>
      </w:r>
      <w:r>
        <w:rPr>
          <w:rFonts w:hint="eastAsia" w:ascii="宋体" w:hAnsi="宋体"/>
          <w:color w:val="auto"/>
          <w:szCs w:val="21"/>
          <w:highlight w:val="none"/>
        </w:rPr>
        <w:t>采购需求负偏离要求及磋商顺序详见 “ 供应商须知前附表”。</w:t>
      </w:r>
    </w:p>
    <w:p w14:paraId="3AB5ADC6">
      <w:pPr>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166C7EA9">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578A4C44">
      <w:pPr>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62CAE390">
      <w:pPr>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649214A">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40EFDC1F">
      <w:pPr>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4CAF6DA7">
      <w:pPr>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r>
        <w:rPr>
          <w:rFonts w:hint="eastAsia" w:ascii="宋体" w:hAnsi="宋体"/>
          <w:color w:val="auto"/>
          <w:highlight w:val="none"/>
          <w:lang w:eastAsia="zh-CN"/>
        </w:rPr>
        <w:t>作出</w:t>
      </w:r>
      <w:r>
        <w:rPr>
          <w:rFonts w:hint="eastAsia" w:ascii="宋体" w:hAnsi="宋体"/>
          <w:color w:val="auto"/>
          <w:highlight w:val="none"/>
        </w:rPr>
        <w:t>妥善保密处理，并报财政部门备案。</w:t>
      </w:r>
    </w:p>
    <w:p w14:paraId="3D0D3002">
      <w:pPr>
        <w:pStyle w:val="4"/>
        <w:spacing w:before="0" w:after="0" w:line="360" w:lineRule="auto"/>
        <w:ind w:firstLine="480" w:firstLineChars="150"/>
        <w:rPr>
          <w:rFonts w:hint="eastAsia" w:ascii="宋体" w:hAnsi="宋体"/>
          <w:b w:val="0"/>
          <w:bCs w:val="0"/>
          <w:color w:val="auto"/>
          <w:highlight w:val="none"/>
        </w:rPr>
      </w:pPr>
      <w:bookmarkStart w:id="63" w:name="_Toc9582"/>
      <w:r>
        <w:rPr>
          <w:rFonts w:hint="eastAsia" w:ascii="宋体" w:hAnsi="宋体"/>
          <w:b w:val="0"/>
          <w:bCs w:val="0"/>
          <w:color w:val="auto"/>
          <w:highlight w:val="none"/>
        </w:rPr>
        <w:t>五、成交及合同</w:t>
      </w:r>
      <w:bookmarkEnd w:id="63"/>
    </w:p>
    <w:p w14:paraId="0CA1B95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0AB199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 xml:space="preserve"> 由采购人直接委托评审专家确定</w:t>
      </w:r>
      <w:r>
        <w:rPr>
          <w:rFonts w:hint="eastAsia" w:ascii="宋体" w:hAnsi="宋体" w:cs="宋体"/>
          <w:color w:val="auto"/>
          <w:szCs w:val="21"/>
          <w:highlight w:val="none"/>
          <w:u w:val="single"/>
        </w:rPr>
        <w:t>，评审报告提出的排序第一的供应商为成交供应商。</w:t>
      </w:r>
    </w:p>
    <w:p w14:paraId="15EEC3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7ABCC001">
      <w:pPr>
        <w:spacing w:line="360" w:lineRule="auto"/>
        <w:ind w:firstLine="420" w:firstLineChars="200"/>
        <w:rPr>
          <w:rFonts w:hint="eastAsia"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1A71A1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8CD9851">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D2F449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11805F05">
      <w:pPr>
        <w:spacing w:line="360" w:lineRule="auto"/>
        <w:ind w:firstLine="420" w:firstLineChars="200"/>
        <w:rPr>
          <w:rFonts w:hint="eastAsia"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33E16BB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33A98E19">
      <w:pPr>
        <w:pStyle w:val="44"/>
        <w:snapToGrid w:val="0"/>
        <w:spacing w:before="0"/>
        <w:ind w:firstLine="420"/>
        <w:rPr>
          <w:rFonts w:hint="eastAsia" w:ascii="宋体" w:hAnsi="宋体"/>
          <w:color w:val="auto"/>
          <w:sz w:val="21"/>
          <w:szCs w:val="21"/>
          <w:highlight w:val="none"/>
          <w:lang w:val="zh-CN"/>
        </w:rPr>
      </w:pPr>
      <w:r>
        <w:rPr>
          <w:rFonts w:hint="eastAsia"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39BFC4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37F2399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0B5050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C43A59A">
      <w:pPr>
        <w:pStyle w:val="44"/>
        <w:spacing w:before="0"/>
        <w:ind w:firstLine="420"/>
        <w:rPr>
          <w:rFonts w:hint="eastAsia"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7DC9576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2EB4FD61">
      <w:pPr>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5A50660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6EE26B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3A01E22D">
      <w:pPr>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 xml:space="preserve">具体质疑起算时间及处理方式如下： </w:t>
      </w:r>
    </w:p>
    <w:p w14:paraId="3C253276">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4646481">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ACF3A79">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4D050E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20C72F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27548F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254177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6A79423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291FBE7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0F335E5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1C8F69B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6ACD246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3CF4143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8E92B5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1D30711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ABED0E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1C3BF28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4" w:name="_Toc80205930"/>
    </w:p>
    <w:p w14:paraId="2FACE642">
      <w:pPr>
        <w:pStyle w:val="4"/>
        <w:spacing w:before="0" w:after="0" w:line="360" w:lineRule="auto"/>
        <w:ind w:firstLine="315" w:firstLineChars="98"/>
        <w:rPr>
          <w:rFonts w:hint="eastAsia" w:ascii="宋体" w:hAnsi="宋体"/>
          <w:b w:val="0"/>
          <w:color w:val="auto"/>
          <w:highlight w:val="none"/>
        </w:rPr>
      </w:pPr>
      <w:bookmarkStart w:id="65" w:name="_Toc8295"/>
      <w:r>
        <w:rPr>
          <w:rFonts w:hint="eastAsia" w:ascii="宋体" w:hAnsi="宋体"/>
          <w:color w:val="auto"/>
          <w:highlight w:val="none"/>
        </w:rPr>
        <w:t>六</w:t>
      </w:r>
      <w:r>
        <w:rPr>
          <w:rFonts w:hint="eastAsia" w:ascii="宋体" w:hAnsi="宋体"/>
          <w:b w:val="0"/>
          <w:color w:val="auto"/>
          <w:highlight w:val="none"/>
        </w:rPr>
        <w:t>、验收</w:t>
      </w:r>
      <w:bookmarkEnd w:id="64"/>
      <w:bookmarkEnd w:id="65"/>
    </w:p>
    <w:p w14:paraId="3E048172">
      <w:pPr>
        <w:tabs>
          <w:tab w:val="left" w:pos="0"/>
        </w:tabs>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01ECDC23">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3233837">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60CBBB6C">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2CE2D7E">
      <w:pPr>
        <w:tabs>
          <w:tab w:val="left" w:pos="0"/>
        </w:tabs>
        <w:spacing w:line="360" w:lineRule="auto"/>
        <w:ind w:firstLine="420" w:firstLineChars="200"/>
        <w:rPr>
          <w:rFonts w:hint="eastAsia"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AB7A731">
      <w:pPr>
        <w:pStyle w:val="4"/>
        <w:spacing w:before="0" w:after="0" w:line="360" w:lineRule="auto"/>
        <w:ind w:firstLine="320" w:firstLineChars="100"/>
        <w:rPr>
          <w:rFonts w:hint="eastAsia" w:ascii="宋体" w:hAnsi="宋体"/>
          <w:b w:val="0"/>
          <w:bCs w:val="0"/>
          <w:color w:val="auto"/>
          <w:highlight w:val="none"/>
        </w:rPr>
      </w:pPr>
      <w:bookmarkStart w:id="66" w:name="_Toc5963"/>
      <w:r>
        <w:rPr>
          <w:rFonts w:hint="eastAsia" w:ascii="宋体" w:hAnsi="宋体"/>
          <w:b w:val="0"/>
          <w:bCs w:val="0"/>
          <w:color w:val="auto"/>
          <w:highlight w:val="none"/>
        </w:rPr>
        <w:t>七、其他事项</w:t>
      </w:r>
      <w:bookmarkEnd w:id="66"/>
    </w:p>
    <w:p w14:paraId="4386D68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68287291">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代理服务费。</w:t>
      </w:r>
    </w:p>
    <w:p w14:paraId="69F5910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57402967">
      <w:pPr>
        <w:pStyle w:val="17"/>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5CAE9F62">
      <w:pPr>
        <w:pStyle w:val="17"/>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34.2 其他事项详见“供应商须知前附表”。</w:t>
      </w:r>
    </w:p>
    <w:p w14:paraId="159BD162">
      <w:pPr>
        <w:pStyle w:val="17"/>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336FD6B2">
      <w:pPr>
        <w:pStyle w:val="17"/>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5E0CD8C0">
      <w:pPr>
        <w:pStyle w:val="17"/>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642442D5">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35. 政采贷相关说明</w:t>
      </w:r>
    </w:p>
    <w:p w14:paraId="17278176">
      <w:pPr>
        <w:pStyle w:val="17"/>
        <w:spacing w:line="360" w:lineRule="auto"/>
        <w:ind w:firstLine="420" w:firstLineChars="200"/>
        <w:textAlignment w:val="center"/>
        <w:rPr>
          <w:rFonts w:hint="eastAsia" w:hAnsi="宋体"/>
          <w:color w:val="auto"/>
          <w:sz w:val="21"/>
          <w:highlight w:val="none"/>
        </w:rPr>
      </w:pPr>
      <w:r>
        <w:rPr>
          <w:rFonts w:hint="eastAsia" w:hAnsi="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0B67D475">
      <w:pPr>
        <w:pStyle w:val="17"/>
        <w:numPr>
          <w:ilvl w:val="0"/>
          <w:numId w:val="4"/>
        </w:numPr>
        <w:spacing w:line="360" w:lineRule="auto"/>
        <w:ind w:firstLine="420" w:firstLineChars="200"/>
        <w:textAlignment w:val="center"/>
        <w:rPr>
          <w:rFonts w:hint="eastAsia" w:hAnsi="宋体"/>
          <w:color w:val="auto"/>
          <w:sz w:val="21"/>
          <w:highlight w:val="none"/>
        </w:rPr>
      </w:pPr>
      <w:r>
        <w:rPr>
          <w:rFonts w:hint="eastAsia" w:hAnsi="宋体"/>
          <w:color w:val="auto"/>
          <w:sz w:val="21"/>
          <w:highlight w:val="none"/>
        </w:rPr>
        <w:t>线下渠道：在“南宁市公共资源交易中心”官网（网址：</w:t>
      </w:r>
      <w:r>
        <w:rPr>
          <w:rFonts w:hint="eastAsia" w:hAnsi="宋体"/>
          <w:color w:val="auto"/>
          <w:sz w:val="21"/>
          <w:highlight w:val="none"/>
        </w:rPr>
        <w:fldChar w:fldCharType="begin"/>
      </w:r>
      <w:r>
        <w:rPr>
          <w:rFonts w:hint="eastAsia" w:hAnsi="宋体"/>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hAnsi="宋体"/>
          <w:color w:val="auto"/>
          <w:sz w:val="21"/>
          <w:highlight w:val="none"/>
        </w:rPr>
        <w:fldChar w:fldCharType="separate"/>
      </w:r>
      <w:r>
        <w:rPr>
          <w:rStyle w:val="36"/>
          <w:rFonts w:hint="eastAsia" w:hAnsi="宋体"/>
          <w:color w:val="auto"/>
          <w:sz w:val="21"/>
          <w:highlight w:val="none"/>
        </w:rPr>
        <w:t>http://www.nnggzy.org.cn）“交易信息-政府采购-政府采购信用融资”中融资银行和南宁市企业融资服务中心专栏信息申请政府采购信用融资。</w:t>
      </w:r>
      <w:r>
        <w:rPr>
          <w:rFonts w:hint="eastAsia" w:hAnsi="宋体"/>
          <w:color w:val="auto"/>
          <w:sz w:val="21"/>
          <w:highlight w:val="none"/>
        </w:rPr>
        <w:fldChar w:fldCharType="end"/>
      </w:r>
    </w:p>
    <w:p w14:paraId="64B35C80">
      <w:pPr>
        <w:pStyle w:val="17"/>
        <w:spacing w:line="360" w:lineRule="auto"/>
        <w:ind w:firstLine="402" w:firstLineChars="200"/>
        <w:textAlignment w:val="center"/>
        <w:rPr>
          <w:rFonts w:hint="eastAsia" w:hAnsi="宋体"/>
          <w:color w:val="auto"/>
          <w:sz w:val="21"/>
          <w:highlight w:val="none"/>
          <w:lang w:val="en-US" w:eastAsia="zh-CN"/>
        </w:rPr>
      </w:pPr>
      <w:r>
        <w:rPr>
          <w:rFonts w:hint="eastAsia" w:hAnsi="宋体"/>
          <w:b/>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w:t>
      </w:r>
      <w:r>
        <w:rPr>
          <w:rFonts w:hint="eastAsia" w:hAnsi="宋体"/>
          <w:b/>
          <w:color w:val="auto"/>
          <w:highlight w:val="none"/>
          <w:lang w:eastAsia="zh-CN"/>
        </w:rPr>
        <w:t>文件</w:t>
      </w:r>
      <w:r>
        <w:rPr>
          <w:rFonts w:hint="eastAsia" w:hAnsi="宋体"/>
          <w:b/>
          <w:color w:val="auto"/>
          <w:highlight w:val="none"/>
        </w:rPr>
        <w:t>公开网址详情见：“广西政府采购网”——http://www.ccgp-guangxi.gov.cn/AdministrativeRegulations/AutonomousRegion/9830442.html</w:t>
      </w:r>
    </w:p>
    <w:p w14:paraId="3EE60A71">
      <w:pPr>
        <w:pStyle w:val="17"/>
        <w:spacing w:line="360" w:lineRule="auto"/>
        <w:ind w:firstLine="420" w:firstLineChars="200"/>
        <w:textAlignment w:val="center"/>
        <w:rPr>
          <w:rFonts w:hint="eastAsia" w:hAnsi="宋体"/>
          <w:color w:val="auto"/>
          <w:sz w:val="21"/>
          <w:highlight w:val="none"/>
          <w:lang w:val="en-US" w:eastAsia="zh-CN"/>
        </w:rPr>
      </w:pPr>
    </w:p>
    <w:p w14:paraId="61069DE6">
      <w:pPr>
        <w:pStyle w:val="17"/>
        <w:spacing w:line="360" w:lineRule="auto"/>
        <w:ind w:firstLine="420" w:firstLineChars="200"/>
        <w:textAlignment w:val="center"/>
        <w:rPr>
          <w:rFonts w:hint="eastAsia" w:hAnsi="宋体"/>
          <w:color w:val="auto"/>
          <w:sz w:val="21"/>
          <w:highlight w:val="none"/>
          <w:lang w:val="en-US" w:eastAsia="zh-CN"/>
        </w:rPr>
      </w:pPr>
    </w:p>
    <w:p w14:paraId="38AE437F">
      <w:pPr>
        <w:pStyle w:val="17"/>
        <w:spacing w:line="360" w:lineRule="auto"/>
        <w:ind w:firstLine="420" w:firstLineChars="200"/>
        <w:textAlignment w:val="center"/>
        <w:rPr>
          <w:rFonts w:hint="eastAsia" w:hAnsi="宋体"/>
          <w:color w:val="auto"/>
          <w:sz w:val="21"/>
          <w:highlight w:val="none"/>
          <w:lang w:val="en-US" w:eastAsia="zh-CN"/>
        </w:rPr>
      </w:pPr>
    </w:p>
    <w:p w14:paraId="2A826F72">
      <w:pPr>
        <w:pStyle w:val="17"/>
        <w:spacing w:line="360" w:lineRule="auto"/>
        <w:ind w:firstLine="420" w:firstLineChars="200"/>
        <w:textAlignment w:val="center"/>
        <w:rPr>
          <w:rFonts w:hint="eastAsia" w:hAnsi="宋体"/>
          <w:color w:val="auto"/>
          <w:sz w:val="21"/>
          <w:highlight w:val="none"/>
          <w:lang w:val="en-US" w:eastAsia="zh-CN"/>
        </w:rPr>
      </w:pPr>
    </w:p>
    <w:p w14:paraId="5E5647FE">
      <w:pPr>
        <w:pStyle w:val="17"/>
        <w:spacing w:line="360" w:lineRule="auto"/>
        <w:ind w:firstLine="420" w:firstLineChars="200"/>
        <w:textAlignment w:val="center"/>
        <w:rPr>
          <w:rFonts w:hint="eastAsia" w:hAnsi="宋体"/>
          <w:color w:val="auto"/>
          <w:sz w:val="21"/>
          <w:highlight w:val="none"/>
          <w:lang w:val="en-US" w:eastAsia="zh-CN"/>
        </w:rPr>
      </w:pPr>
    </w:p>
    <w:p w14:paraId="2566C5D1">
      <w:pPr>
        <w:pStyle w:val="17"/>
        <w:spacing w:line="360" w:lineRule="auto"/>
        <w:ind w:firstLine="420" w:firstLineChars="200"/>
        <w:textAlignment w:val="center"/>
        <w:rPr>
          <w:rFonts w:hint="eastAsia" w:hAnsi="宋体"/>
          <w:color w:val="auto"/>
          <w:sz w:val="21"/>
          <w:highlight w:val="none"/>
          <w:lang w:val="en-US" w:eastAsia="zh-CN"/>
        </w:rPr>
      </w:pPr>
    </w:p>
    <w:p w14:paraId="00CEA326">
      <w:pPr>
        <w:pStyle w:val="2"/>
        <w:jc w:val="center"/>
        <w:rPr>
          <w:rFonts w:hint="eastAsia"/>
          <w:color w:val="auto"/>
          <w:highlight w:val="none"/>
        </w:rPr>
      </w:pPr>
      <w:bookmarkStart w:id="67" w:name="_Toc30501"/>
      <w:r>
        <w:rPr>
          <w:rFonts w:hint="eastAsia"/>
          <w:color w:val="auto"/>
          <w:highlight w:val="none"/>
        </w:rPr>
        <w:t>第四章  评审程序、评审方法和评审标准</w:t>
      </w:r>
      <w:bookmarkEnd w:id="67"/>
    </w:p>
    <w:p w14:paraId="5CA9657D">
      <w:pPr>
        <w:pStyle w:val="3"/>
        <w:jc w:val="center"/>
        <w:rPr>
          <w:rFonts w:hint="eastAsia" w:ascii="宋体" w:hAnsi="宋体"/>
          <w:b w:val="0"/>
          <w:color w:val="auto"/>
          <w:highlight w:val="none"/>
        </w:rPr>
      </w:pPr>
      <w:bookmarkStart w:id="68" w:name="_Toc22072"/>
      <w:r>
        <w:rPr>
          <w:rFonts w:hint="eastAsia" w:ascii="宋体" w:hAnsi="宋体"/>
          <w:b w:val="0"/>
          <w:color w:val="auto"/>
          <w:highlight w:val="none"/>
        </w:rPr>
        <w:t>第一节 评审程序和评审方法</w:t>
      </w:r>
      <w:bookmarkEnd w:id="68"/>
    </w:p>
    <w:p w14:paraId="2AF1B96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30F02B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由磋商小组确认磋商文件。</w:t>
      </w:r>
    </w:p>
    <w:p w14:paraId="2CF78F8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2B39BAFD">
      <w:pPr>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4B3B5BE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5750ECB3">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eastAsia="宋体" w:cs="宋体"/>
          <w:color w:val="auto"/>
          <w:kern w:val="0"/>
          <w:szCs w:val="21"/>
          <w:highlight w:val="none"/>
        </w:rPr>
        <w:t>广西政府采购</w:t>
      </w:r>
      <w:r>
        <w:rPr>
          <w:rFonts w:hint="eastAsia" w:ascii="宋体" w:hAnsi="宋体" w:cs="宋体"/>
          <w:color w:val="auto"/>
          <w:szCs w:val="21"/>
          <w:highlight w:val="none"/>
        </w:rPr>
        <w:t>云”平台“信用中国”网站</w:t>
      </w:r>
      <w:r>
        <w:rPr>
          <w:rFonts w:hint="eastAsia" w:ascii="宋体" w:hAnsi="宋体" w:cs="宋体"/>
          <w:color w:val="auto"/>
          <w:szCs w:val="21"/>
          <w:highlight w:val="none"/>
          <w:lang w:eastAsia="zh-CN"/>
        </w:rPr>
        <w:t>（</w:t>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"http://www.creditchina.gov.cn" </w:instrText>
      </w:r>
      <w:r>
        <w:rPr>
          <w:rFonts w:ascii="宋体" w:hAnsi="宋体" w:cs="宋体"/>
          <w:color w:val="auto"/>
          <w:szCs w:val="21"/>
          <w:highlight w:val="none"/>
        </w:rPr>
        <w:fldChar w:fldCharType="separate"/>
      </w:r>
      <w:r>
        <w:rPr>
          <w:rStyle w:val="36"/>
          <w:rFonts w:hAnsi="宋体" w:cs="宋体"/>
          <w:color w:val="auto"/>
          <w:highlight w:val="none"/>
        </w:rPr>
        <w:t>www.creditchina.gov.cn</w:t>
      </w:r>
      <w:r>
        <w:rPr>
          <w:rFonts w:ascii="宋体" w:hAnsi="宋体" w:cs="宋体"/>
          <w:color w:val="auto"/>
          <w:szCs w:val="21"/>
          <w:highlight w:val="none"/>
        </w:rPr>
        <w:fldChar w:fldCharType="end"/>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"http://www.ccgp.gov.cn" </w:instrText>
      </w:r>
      <w:r>
        <w:rPr>
          <w:rFonts w:ascii="宋体" w:hAnsi="宋体" w:cs="宋体"/>
          <w:color w:val="auto"/>
          <w:szCs w:val="21"/>
          <w:highlight w:val="none"/>
        </w:rPr>
        <w:fldChar w:fldCharType="separate"/>
      </w:r>
      <w:r>
        <w:rPr>
          <w:rStyle w:val="36"/>
          <w:rFonts w:hAnsi="宋体" w:cs="宋体"/>
          <w:color w:val="auto"/>
          <w:highlight w:val="none"/>
        </w:rPr>
        <w:t>www.ccgp.gov.cn</w:t>
      </w:r>
      <w:r>
        <w:rPr>
          <w:rFonts w:ascii="宋体" w:hAnsi="宋体" w:cs="宋体"/>
          <w:color w:val="auto"/>
          <w:szCs w:val="21"/>
          <w:highlight w:val="none"/>
        </w:rPr>
        <w:fldChar w:fldCharType="end"/>
      </w:r>
      <w:r>
        <w:rPr>
          <w:rFonts w:hint="eastAsia" w:ascii="宋体" w:hAnsi="宋体" w:cs="宋体"/>
          <w:color w:val="auto"/>
          <w:szCs w:val="21"/>
          <w:highlight w:val="none"/>
        </w:rPr>
        <w:t>)链接入口。</w:t>
      </w:r>
    </w:p>
    <w:p w14:paraId="19E2D87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86B4C6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0E3AC3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F3A6B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67DA8A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6D4A886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3593FE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（2）响应文件未提供</w:t>
      </w:r>
      <w:r>
        <w:rPr>
          <w:rFonts w:hint="eastAsia" w:ascii="宋体" w:hAnsi="宋体" w:cs="宋体"/>
          <w:color w:val="auto"/>
          <w:szCs w:val="21"/>
          <w:highlight w:val="none"/>
          <w:lang w:eastAsia="zh-CN"/>
        </w:rPr>
        <w:t>任何</w:t>
      </w:r>
      <w:r>
        <w:rPr>
          <w:rFonts w:hint="eastAsia" w:ascii="宋体" w:hAnsi="宋体" w:cs="宋体"/>
          <w:color w:val="auto"/>
          <w:szCs w:val="21"/>
          <w:highlight w:val="none"/>
        </w:rPr>
        <w:t>一项“供应商须知前附表”资格证明文件规定的“必须提供”的文件资料的；</w:t>
      </w:r>
    </w:p>
    <w:p w14:paraId="7CFC00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（3）响应文件提供的资格证明文件出现</w:t>
      </w:r>
      <w:r>
        <w:rPr>
          <w:rFonts w:hint="eastAsia" w:ascii="宋体" w:hAnsi="宋体" w:cs="宋体"/>
          <w:color w:val="auto"/>
          <w:szCs w:val="21"/>
          <w:highlight w:val="none"/>
          <w:lang w:eastAsia="zh-CN"/>
        </w:rPr>
        <w:t>任何</w:t>
      </w:r>
      <w:r>
        <w:rPr>
          <w:rFonts w:hint="eastAsia" w:ascii="宋体" w:hAnsi="宋体" w:cs="宋体"/>
          <w:color w:val="auto"/>
          <w:szCs w:val="21"/>
          <w:highlight w:val="none"/>
        </w:rPr>
        <w:t>一项不符合“供应商须知前附表”资格证明文件规定的“必须提供”的文件资料要求或者无效的。</w:t>
      </w:r>
    </w:p>
    <w:p w14:paraId="0D1DB96D">
      <w:pPr>
        <w:spacing w:line="360" w:lineRule="auto"/>
        <w:ind w:firstLine="420" w:firstLineChars="200"/>
        <w:rPr>
          <w:rFonts w:hint="eastAsia" w:ascii="宋体" w:hAnsi="宋体" w:cs="宋体"/>
          <w:color w:val="auto"/>
          <w:szCs w:val="21"/>
          <w:highlight w:val="none"/>
        </w:rPr>
      </w:pPr>
      <w:bookmarkStart w:id="69"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9"/>
    </w:p>
    <w:p w14:paraId="7ACFCA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7E538D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790982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26653F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9CD237F">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248CAC5E">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429291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8D70E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3B11B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3A3B4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457A9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0E6D6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3.5商务技术、报价评审</w:t>
      </w:r>
    </w:p>
    <w:p w14:paraId="45FE8E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1D7F50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7D48B4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001B5F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5F1BDB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3）响应文件未提供</w:t>
      </w:r>
      <w:r>
        <w:rPr>
          <w:rFonts w:hint="eastAsia" w:ascii="宋体" w:hAnsi="宋体" w:cs="宋体"/>
          <w:color w:val="auto"/>
          <w:szCs w:val="21"/>
          <w:highlight w:val="none"/>
          <w:lang w:eastAsia="zh-CN"/>
        </w:rPr>
        <w:t>任何</w:t>
      </w:r>
      <w:r>
        <w:rPr>
          <w:rFonts w:hint="eastAsia" w:ascii="宋体" w:hAnsi="宋体" w:cs="宋体"/>
          <w:color w:val="auto"/>
          <w:szCs w:val="21"/>
          <w:highlight w:val="none"/>
        </w:rPr>
        <w:t>一项“供应商须知前附表” 商务技术文件中 “必须提供”或者“委托时必须提供”的文件资料；响应文件提供的商务技术文件出现</w:t>
      </w:r>
      <w:r>
        <w:rPr>
          <w:rFonts w:hint="eastAsia" w:ascii="宋体" w:hAnsi="宋体" w:cs="宋体"/>
          <w:color w:val="auto"/>
          <w:szCs w:val="21"/>
          <w:highlight w:val="none"/>
          <w:lang w:eastAsia="zh-CN"/>
        </w:rPr>
        <w:t>任何</w:t>
      </w:r>
      <w:r>
        <w:rPr>
          <w:rFonts w:hint="eastAsia" w:ascii="宋体" w:hAnsi="宋体" w:cs="宋体"/>
          <w:color w:val="auto"/>
          <w:szCs w:val="21"/>
          <w:highlight w:val="none"/>
        </w:rPr>
        <w:t>一项不符合“供应商须知前附表”商务技术文件中 “必须提供”或者“委托时必须提供”文件资料要求的规定或者提供的商务技术文件无效。</w:t>
      </w:r>
    </w:p>
    <w:p w14:paraId="1C0FE5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6E4C80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177003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3C425D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291226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4D233F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379877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7230FF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67CB44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7FD004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26B079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14）未响应磋商文件实质性要求；</w:t>
      </w:r>
    </w:p>
    <w:p w14:paraId="3D4B3C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6C6CB0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0B30F8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556043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81B03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D041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62FB9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4A056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53669A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6FEB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0DBBDD47">
      <w:pPr>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0BCDB42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908F0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w:t>
      </w:r>
      <w:r>
        <w:rPr>
          <w:rFonts w:hint="eastAsia" w:ascii="宋体" w:hAnsi="宋体" w:cs="宋体"/>
          <w:color w:val="auto"/>
          <w:szCs w:val="21"/>
          <w:highlight w:val="none"/>
          <w:lang w:eastAsia="zh-CN"/>
        </w:rPr>
        <w:t>需</w:t>
      </w:r>
      <w:r>
        <w:rPr>
          <w:rFonts w:hint="eastAsia" w:ascii="宋体" w:hAnsi="宋体" w:cs="宋体"/>
          <w:color w:val="auto"/>
          <w:szCs w:val="21"/>
          <w:highlight w:val="none"/>
        </w:rPr>
        <w:t>经采购人代表确认。可能实质性变动的内容为采购需求中的技术、服务要求以及合同草案条款。</w:t>
      </w:r>
    </w:p>
    <w:p w14:paraId="1C0406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7D0E76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A085F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0F2E48B0">
      <w:pPr>
        <w:widowControl/>
        <w:tabs>
          <w:tab w:val="left" w:pos="540"/>
        </w:tabs>
        <w:spacing w:line="360" w:lineRule="auto"/>
        <w:ind w:firstLine="420" w:firstLineChars="200"/>
        <w:jc w:val="left"/>
        <w:rPr>
          <w:rFonts w:hint="eastAsia" w:ascii="仿宋" w:hAnsi="仿宋" w:eastAsia="仿宋" w:cs="仿宋_GB2312"/>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7697AFAB">
      <w:pPr>
        <w:pStyle w:val="44"/>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550BF715">
      <w:pPr>
        <w:pStyle w:val="44"/>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1CE24999">
      <w:pPr>
        <w:pStyle w:val="44"/>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734112E2">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0D316AD8">
      <w:pPr>
        <w:tabs>
          <w:tab w:val="left" w:pos="2835"/>
        </w:tabs>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5AD0B55E">
      <w:pPr>
        <w:tabs>
          <w:tab w:val="left" w:pos="2835"/>
        </w:tabs>
        <w:spacing w:line="360" w:lineRule="auto"/>
        <w:ind w:firstLine="482" w:firstLineChars="200"/>
        <w:rPr>
          <w:rFonts w:hint="eastAsia" w:ascii="宋体" w:hAnsi="宋体" w:cs="宋体"/>
          <w:color w:val="auto"/>
          <w:szCs w:val="21"/>
          <w:highlight w:val="none"/>
        </w:rPr>
      </w:pPr>
      <w:r>
        <w:rPr>
          <w:rFonts w:hint="eastAsia" w:ascii="黑体" w:hAnsi="黑体" w:eastAsia="黑体" w:cs="宋体"/>
          <w:b/>
          <w:bCs/>
          <w:color w:val="auto"/>
          <w:sz w:val="24"/>
          <w:highlight w:val="none"/>
        </w:rPr>
        <w:t>5. 最后报价</w:t>
      </w:r>
    </w:p>
    <w:p w14:paraId="11A01D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25A5BA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21667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8AF1B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0F6B80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6EEF2D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23626B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698DC0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11AB65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2B565E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475B0E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4F0AB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5DD69B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7F8EDA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0F208C6C">
      <w:pPr>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55A760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6.1评审方法：综合评分法。</w:t>
      </w:r>
    </w:p>
    <w:p w14:paraId="624A82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37FCF7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7CE452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0EB02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4F8A20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0A8C27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366D53C1">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6.5</w:t>
      </w:r>
      <w:r>
        <w:rPr>
          <w:rFonts w:hint="eastAsia" w:ascii="宋体" w:hAnsi="宋体" w:cs="宋体"/>
          <w:color w:val="auto"/>
          <w:highlight w:val="none"/>
        </w:rPr>
        <w:t>政策性扣除计算方法。</w:t>
      </w:r>
    </w:p>
    <w:p w14:paraId="4162A8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根据《政府采购促进中小企业发展管理办法》（财库〔2020〕46号）的规定，</w:t>
      </w:r>
      <w:r>
        <w:rPr>
          <w:rFonts w:hint="eastAsia"/>
          <w:color w:val="auto"/>
          <w:highlight w:val="none"/>
        </w:rPr>
        <w:t>对于非专门面向中小企业的项目，</w:t>
      </w:r>
      <w:r>
        <w:rPr>
          <w:rFonts w:hint="eastAsia" w:ascii="宋体" w:hAnsi="宋体" w:cs="宋体"/>
          <w:color w:val="auto"/>
          <w:szCs w:val="21"/>
          <w:highlight w:val="none"/>
        </w:rPr>
        <w:t>供应商在其响应文件中提供《中小企业声明函》，</w:t>
      </w:r>
      <w:r>
        <w:rPr>
          <w:rFonts w:hint="eastAsia" w:ascii="宋体" w:hAnsi="宋体"/>
          <w:bCs/>
          <w:color w:val="auto"/>
          <w:szCs w:val="21"/>
          <w:highlight w:val="none"/>
        </w:rPr>
        <w:t>且其竞标全部货物均由小微企业提供的</w:t>
      </w:r>
      <w:r>
        <w:rPr>
          <w:rFonts w:hint="eastAsia" w:ascii="宋体" w:hAnsi="宋体" w:cs="宋体"/>
          <w:color w:val="auto"/>
          <w:szCs w:val="21"/>
          <w:highlight w:val="none"/>
        </w:rPr>
        <w:t>，</w:t>
      </w:r>
      <w:r>
        <w:rPr>
          <w:rFonts w:hint="eastAsia" w:ascii="宋体" w:hAnsi="宋体"/>
          <w:bCs/>
          <w:color w:val="auto"/>
          <w:szCs w:val="21"/>
          <w:highlight w:val="none"/>
        </w:rPr>
        <w:t>对供应商的竞标报价给予</w:t>
      </w:r>
      <w:r>
        <w:rPr>
          <w:rFonts w:hint="eastAsia"/>
          <w:color w:val="auto"/>
          <w:highlight w:val="none"/>
          <w:u w:val="single"/>
        </w:rPr>
        <w:t xml:space="preserve">   </w:t>
      </w:r>
      <w:r>
        <w:rPr>
          <w:rFonts w:hint="eastAsia"/>
          <w:color w:val="auto"/>
          <w:highlight w:val="none"/>
        </w:rPr>
        <w:t>（扣除比例范围：10%-</w:t>
      </w:r>
      <w:r>
        <w:rPr>
          <w:rFonts w:hint="eastAsia" w:ascii="宋体" w:hAnsi="宋体"/>
          <w:bCs/>
          <w:color w:val="auto"/>
          <w:szCs w:val="21"/>
          <w:highlight w:val="none"/>
        </w:rPr>
        <w:t>20%）的扣除，扣除后的价格为评审价，即评审价=竞标报价×（1-</w:t>
      </w:r>
      <w:r>
        <w:rPr>
          <w:rFonts w:hint="eastAsia" w:ascii="宋体" w:hAnsi="宋体"/>
          <w:bCs/>
          <w:color w:val="auto"/>
          <w:szCs w:val="21"/>
          <w:highlight w:val="none"/>
          <w:u w:val="single"/>
        </w:rPr>
        <w:t xml:space="preserve">  </w:t>
      </w:r>
      <w:r>
        <w:rPr>
          <w:rFonts w:hint="eastAsia" w:ascii="宋体" w:hAnsi="宋体"/>
          <w:bCs/>
          <w:color w:val="auto"/>
          <w:szCs w:val="21"/>
          <w:highlight w:val="none"/>
        </w:rPr>
        <w:t>扣除比例）。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color w:val="auto"/>
          <w:highlight w:val="none"/>
          <w:u w:val="single"/>
        </w:rPr>
        <w:t xml:space="preserve">   </w:t>
      </w:r>
      <w:r>
        <w:rPr>
          <w:rFonts w:hint="eastAsia"/>
          <w:color w:val="auto"/>
          <w:highlight w:val="none"/>
        </w:rPr>
        <w:t>（扣除比例范围：4%</w:t>
      </w:r>
      <w:r>
        <w:rPr>
          <w:rFonts w:hint="eastAsia" w:ascii="宋体" w:hAnsi="宋体"/>
          <w:bCs/>
          <w:color w:val="auto"/>
          <w:szCs w:val="21"/>
          <w:highlight w:val="none"/>
          <w:u w:val="single"/>
        </w:rPr>
        <w:t>-6%）</w:t>
      </w:r>
      <w:r>
        <w:rPr>
          <w:rFonts w:hint="eastAsia" w:ascii="宋体" w:hAnsi="宋体"/>
          <w:bCs/>
          <w:color w:val="auto"/>
          <w:szCs w:val="21"/>
          <w:highlight w:val="none"/>
        </w:rPr>
        <w:t>的扣除，用扣除后的价格参加评审，扣除后的价格为评审价，即评审价=竞标报价×（1-</w:t>
      </w:r>
      <w:r>
        <w:rPr>
          <w:rFonts w:hint="eastAsia" w:ascii="宋体" w:hAnsi="宋体"/>
          <w:bCs/>
          <w:color w:val="auto"/>
          <w:szCs w:val="21"/>
          <w:highlight w:val="none"/>
          <w:u w:val="single"/>
        </w:rPr>
        <w:t xml:space="preserve">  扣除比例</w:t>
      </w:r>
      <w:r>
        <w:rPr>
          <w:rFonts w:hint="eastAsia" w:ascii="宋体" w:hAnsi="宋体"/>
          <w:bCs/>
          <w:color w:val="auto"/>
          <w:szCs w:val="21"/>
          <w:highlight w:val="none"/>
        </w:rPr>
        <w:t>）。</w:t>
      </w:r>
    </w:p>
    <w:p w14:paraId="3DF9332C">
      <w:pPr>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7BBD4984">
      <w:pPr>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w:t>
      </w:r>
      <w:r>
        <w:rPr>
          <w:rFonts w:hint="eastAsia" w:ascii="宋体" w:hAnsi="宋体"/>
          <w:color w:val="auto"/>
          <w:kern w:val="0"/>
          <w:szCs w:val="21"/>
          <w:highlight w:val="none"/>
          <w:lang w:val="en-US" w:eastAsia="zh-CN"/>
        </w:rPr>
        <w:t>7</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5514EBF">
      <w:pPr>
        <w:spacing w:line="360" w:lineRule="auto"/>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0DCEE270">
      <w:pPr>
        <w:spacing w:line="360" w:lineRule="auto"/>
        <w:ind w:firstLine="420" w:firstLineChars="200"/>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7.1评审报告签署前，评审委员会要对评审结果进行复核，复核意见要体现在评审报告中。</w:t>
      </w:r>
    </w:p>
    <w:p w14:paraId="6678F09D">
      <w:pPr>
        <w:spacing w:line="360" w:lineRule="auto"/>
        <w:ind w:firstLine="420" w:firstLineChars="200"/>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35BAF943">
      <w:pPr>
        <w:spacing w:line="360" w:lineRule="auto"/>
        <w:ind w:firstLine="470" w:firstLineChars="195"/>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lang w:val="en-US" w:eastAsia="zh-CN"/>
        </w:rPr>
        <w:t>8</w:t>
      </w:r>
      <w:r>
        <w:rPr>
          <w:rFonts w:hint="eastAsia" w:ascii="黑体" w:hAnsi="黑体" w:eastAsia="黑体" w:cs="宋体"/>
          <w:b/>
          <w:bCs/>
          <w:color w:val="auto"/>
          <w:sz w:val="24"/>
          <w:highlight w:val="none"/>
        </w:rPr>
        <w:t>.评审标准</w:t>
      </w:r>
    </w:p>
    <w:p w14:paraId="31E2DA7D">
      <w:pPr>
        <w:spacing w:line="360" w:lineRule="auto"/>
        <w:ind w:firstLine="420" w:firstLineChars="200"/>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8.1评审依据：磋商小组将以磋商响应文件为评审依据，对供应商的报价、技术、商务等方面内容按百分制打分。（计分方法按四舍五入取至百分位）</w:t>
      </w:r>
    </w:p>
    <w:p w14:paraId="1B5AC4ED">
      <w:pPr>
        <w:spacing w:line="360" w:lineRule="auto"/>
        <w:ind w:firstLine="420" w:firstLineChars="200"/>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rPr>
        <w:t>总得分= 1+2+3</w:t>
      </w:r>
      <w:bookmarkStart w:id="70" w:name="PO_3000001868_PM051"/>
      <w:r>
        <w:rPr>
          <w:rFonts w:hint="eastAsia" w:ascii="宋体" w:hAnsi="宋体" w:eastAsia="宋体" w:cs="Times New Roman"/>
          <w:color w:val="auto"/>
          <w:kern w:val="0"/>
          <w:szCs w:val="21"/>
          <w:highlight w:val="none"/>
          <w:lang w:val="en-US" w:eastAsia="zh-CN"/>
        </w:rPr>
        <w:t>+4</w:t>
      </w:r>
    </w:p>
    <w:bookmarkEnd w:id="70"/>
    <w:p w14:paraId="203ADF3C">
      <w:pPr>
        <w:spacing w:line="360" w:lineRule="auto"/>
        <w:ind w:firstLine="420" w:firstLineChars="200"/>
        <w:rPr>
          <w:rFonts w:hint="eastAsia"/>
          <w:color w:val="auto"/>
          <w:highlight w:val="none"/>
        </w:rPr>
      </w:pPr>
      <w:bookmarkStart w:id="71" w:name="PO_TDCUS_ITEM_SM_TITLE_1"/>
      <w:r>
        <w:rPr>
          <w:rFonts w:hint="eastAsia" w:ascii="宋体" w:hAnsi="宋体"/>
          <w:bCs/>
          <w:color w:val="auto"/>
          <w:szCs w:val="21"/>
          <w:highlight w:val="none"/>
        </w:rPr>
        <w:t>评分方法</w:t>
      </w:r>
      <w:bookmarkEnd w:id="71"/>
      <w:bookmarkStart w:id="72" w:name="PO_TDCUS_ITEM_SM_TABLE_1"/>
      <w:r>
        <w:rPr>
          <w:rFonts w:hint="eastAsia" w:ascii="宋体" w:hAnsi="宋体"/>
          <w:bCs/>
          <w:color w:val="auto"/>
          <w:szCs w:val="21"/>
          <w:highlight w:val="none"/>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998"/>
        <w:gridCol w:w="7048"/>
        <w:gridCol w:w="467"/>
      </w:tblGrid>
      <w:tr w14:paraId="6811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78AE370A">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序号</w:t>
            </w:r>
          </w:p>
        </w:tc>
        <w:tc>
          <w:tcPr>
            <w:tcW w:w="0" w:type="auto"/>
            <w:noWrap w:val="0"/>
            <w:vAlign w:val="center"/>
          </w:tcPr>
          <w:p w14:paraId="57F7CFD0">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评审因素</w:t>
            </w:r>
          </w:p>
        </w:tc>
        <w:tc>
          <w:tcPr>
            <w:tcW w:w="0" w:type="auto"/>
            <w:noWrap w:val="0"/>
            <w:vAlign w:val="center"/>
          </w:tcPr>
          <w:p w14:paraId="1DC87DA6">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评分标准</w:t>
            </w:r>
          </w:p>
        </w:tc>
        <w:tc>
          <w:tcPr>
            <w:tcW w:w="0" w:type="auto"/>
            <w:noWrap w:val="0"/>
            <w:vAlign w:val="center"/>
          </w:tcPr>
          <w:p w14:paraId="26CCCB35">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分值</w:t>
            </w:r>
          </w:p>
        </w:tc>
      </w:tr>
      <w:tr w14:paraId="43B3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101DFFCF">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0" w:type="auto"/>
            <w:noWrap w:val="0"/>
            <w:vAlign w:val="center"/>
          </w:tcPr>
          <w:p w14:paraId="6F6CB13A">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报价</w:t>
            </w:r>
            <w:r>
              <w:rPr>
                <w:rFonts w:hint="eastAsia" w:ascii="宋体" w:hAnsi="宋体" w:cs="宋体"/>
                <w:bCs/>
                <w:color w:val="auto"/>
                <w:szCs w:val="21"/>
                <w:highlight w:val="none"/>
                <w:lang w:eastAsia="zh-CN"/>
              </w:rPr>
              <w:t>分（满分</w:t>
            </w:r>
            <w:r>
              <w:rPr>
                <w:rFonts w:hint="eastAsia" w:ascii="宋体" w:hAnsi="宋体" w:cs="宋体"/>
                <w:bCs/>
                <w:color w:val="auto"/>
                <w:szCs w:val="21"/>
                <w:highlight w:val="none"/>
                <w:lang w:val="en-US" w:eastAsia="zh-CN"/>
              </w:rPr>
              <w:t>10分</w:t>
            </w:r>
            <w:r>
              <w:rPr>
                <w:rFonts w:hint="eastAsia" w:ascii="宋体" w:hAnsi="宋体" w:cs="宋体"/>
                <w:bCs/>
                <w:color w:val="auto"/>
                <w:szCs w:val="21"/>
                <w:highlight w:val="none"/>
                <w:lang w:eastAsia="zh-CN"/>
              </w:rPr>
              <w:t>）</w:t>
            </w:r>
          </w:p>
        </w:tc>
        <w:tc>
          <w:tcPr>
            <w:tcW w:w="0" w:type="auto"/>
            <w:noWrap w:val="0"/>
            <w:vAlign w:val="center"/>
          </w:tcPr>
          <w:p w14:paraId="09E6B5A7">
            <w:pPr>
              <w:pStyle w:val="17"/>
              <w:keepNext w:val="0"/>
              <w:keepLines w:val="0"/>
              <w:suppressLineNumbers w:val="0"/>
              <w:spacing w:before="0" w:beforeAutospacing="0" w:after="0" w:afterAutospacing="0" w:line="360" w:lineRule="auto"/>
              <w:ind w:left="0" w:right="0" w:firstLine="210" w:firstLineChars="100"/>
              <w:rPr>
                <w:rFonts w:hint="eastAsia" w:hAnsi="宋体" w:cs="宋体"/>
                <w:bCs/>
                <w:color w:val="auto"/>
                <w:kern w:val="2"/>
                <w:sz w:val="21"/>
                <w:highlight w:val="none"/>
              </w:rPr>
            </w:pPr>
            <w:r>
              <w:rPr>
                <w:rFonts w:hint="eastAsia" w:hAnsi="宋体" w:cs="宋体"/>
                <w:bCs/>
                <w:color w:val="auto"/>
                <w:kern w:val="2"/>
                <w:sz w:val="21"/>
                <w:highlight w:val="none"/>
              </w:rPr>
              <w:t>（1）按照《政府采购促进中小企业发展管理办法》（财库[2020]46号）及《广西壮族自治区财政厅关于持续优化政府采购营商环境推动高质量发展的通知》（桂财采〔2024〕55号）规定，本项目专门面向中小企业采购。专门面向中小企业采购的项目不再执行价格评审优惠的扶持政策；监狱企业或残疾人福利性单位视同小型、微型企业。评审报价＝</w:t>
            </w:r>
            <w:r>
              <w:rPr>
                <w:rFonts w:hint="eastAsia" w:hAnsi="宋体" w:cs="宋体"/>
                <w:bCs/>
                <w:color w:val="auto"/>
                <w:kern w:val="2"/>
                <w:sz w:val="21"/>
                <w:highlight w:val="none"/>
                <w:lang w:eastAsia="zh-CN"/>
              </w:rPr>
              <w:t>最终</w:t>
            </w:r>
            <w:r>
              <w:rPr>
                <w:rFonts w:hint="eastAsia" w:hAnsi="宋体" w:cs="宋体"/>
                <w:bCs/>
                <w:color w:val="auto"/>
                <w:kern w:val="2"/>
                <w:sz w:val="21"/>
                <w:highlight w:val="none"/>
              </w:rPr>
              <w:t>报价。</w:t>
            </w:r>
          </w:p>
          <w:p w14:paraId="280B0B19">
            <w:pPr>
              <w:pStyle w:val="17"/>
              <w:keepNext w:val="0"/>
              <w:keepLines w:val="0"/>
              <w:suppressLineNumbers w:val="0"/>
              <w:spacing w:before="0" w:beforeAutospacing="0" w:after="0" w:afterAutospacing="0" w:line="360" w:lineRule="auto"/>
              <w:ind w:left="0" w:right="0" w:firstLine="210" w:firstLineChars="100"/>
              <w:rPr>
                <w:rFonts w:hint="eastAsia" w:hAnsi="宋体" w:cs="宋体"/>
                <w:bCs/>
                <w:color w:val="auto"/>
                <w:kern w:val="2"/>
                <w:sz w:val="21"/>
                <w:highlight w:val="none"/>
              </w:rPr>
            </w:pPr>
            <w:r>
              <w:rPr>
                <w:rFonts w:hint="eastAsia" w:hAnsi="宋体" w:cs="宋体"/>
                <w:bCs/>
                <w:color w:val="auto"/>
                <w:kern w:val="2"/>
                <w:sz w:val="21"/>
                <w:highlight w:val="none"/>
              </w:rPr>
              <w:t>（2）价格分采用低价优先法计算，满足</w:t>
            </w:r>
            <w:r>
              <w:rPr>
                <w:rFonts w:hint="eastAsia" w:hAnsi="宋体" w:cs="宋体"/>
                <w:bCs/>
                <w:color w:val="auto"/>
                <w:kern w:val="2"/>
                <w:sz w:val="21"/>
                <w:highlight w:val="none"/>
                <w:lang w:eastAsia="zh-CN"/>
              </w:rPr>
              <w:t>采购</w:t>
            </w:r>
            <w:r>
              <w:rPr>
                <w:rFonts w:hint="eastAsia" w:hAnsi="宋体" w:cs="宋体"/>
                <w:bCs/>
                <w:color w:val="auto"/>
                <w:kern w:val="2"/>
                <w:sz w:val="21"/>
                <w:highlight w:val="none"/>
              </w:rPr>
              <w:t>文件要求且</w:t>
            </w:r>
            <w:r>
              <w:rPr>
                <w:rFonts w:hint="eastAsia" w:hAnsi="宋体" w:cs="宋体"/>
                <w:bCs/>
                <w:color w:val="auto"/>
                <w:kern w:val="2"/>
                <w:sz w:val="21"/>
                <w:highlight w:val="none"/>
                <w:lang w:eastAsia="zh-CN"/>
              </w:rPr>
              <w:t>最终</w:t>
            </w:r>
            <w:r>
              <w:rPr>
                <w:rFonts w:hint="eastAsia" w:hAnsi="宋体" w:cs="宋体"/>
                <w:bCs/>
                <w:color w:val="auto"/>
                <w:kern w:val="2"/>
                <w:sz w:val="21"/>
                <w:highlight w:val="none"/>
              </w:rPr>
              <w:t>报价最低的有效</w:t>
            </w:r>
            <w:r>
              <w:rPr>
                <w:rFonts w:hint="eastAsia" w:hAnsi="宋体" w:cs="宋体"/>
                <w:bCs/>
                <w:color w:val="auto"/>
                <w:kern w:val="2"/>
                <w:sz w:val="21"/>
                <w:highlight w:val="none"/>
                <w:lang w:eastAsia="zh-CN"/>
              </w:rPr>
              <w:t>供应商</w:t>
            </w:r>
            <w:r>
              <w:rPr>
                <w:rFonts w:hint="eastAsia" w:hAnsi="宋体" w:cs="宋体"/>
                <w:bCs/>
                <w:color w:val="auto"/>
                <w:kern w:val="2"/>
                <w:sz w:val="21"/>
                <w:highlight w:val="none"/>
              </w:rPr>
              <w:t>的报价为评</w:t>
            </w:r>
            <w:r>
              <w:rPr>
                <w:rFonts w:hint="eastAsia" w:hAnsi="宋体" w:cs="宋体"/>
                <w:bCs/>
                <w:color w:val="auto"/>
                <w:kern w:val="2"/>
                <w:sz w:val="21"/>
                <w:highlight w:val="none"/>
                <w:lang w:eastAsia="zh-CN"/>
              </w:rPr>
              <w:t>审</w:t>
            </w:r>
            <w:r>
              <w:rPr>
                <w:rFonts w:hint="eastAsia" w:hAnsi="宋体" w:cs="宋体"/>
                <w:bCs/>
                <w:color w:val="auto"/>
                <w:kern w:val="2"/>
                <w:sz w:val="21"/>
                <w:highlight w:val="none"/>
              </w:rPr>
              <w:t>基准价，其报价分为满分。</w:t>
            </w:r>
          </w:p>
          <w:p w14:paraId="5D27EC42">
            <w:pPr>
              <w:pStyle w:val="17"/>
              <w:keepNext w:val="0"/>
              <w:keepLines w:val="0"/>
              <w:suppressLineNumbers w:val="0"/>
              <w:spacing w:before="0" w:beforeAutospacing="0" w:after="0" w:afterAutospacing="0" w:line="360" w:lineRule="auto"/>
              <w:ind w:left="0" w:right="0" w:firstLine="210" w:firstLineChars="100"/>
              <w:rPr>
                <w:rFonts w:hint="eastAsia" w:hAnsi="宋体" w:cs="宋体"/>
                <w:bCs/>
                <w:color w:val="auto"/>
                <w:kern w:val="2"/>
                <w:sz w:val="21"/>
                <w:highlight w:val="none"/>
              </w:rPr>
            </w:pPr>
            <w:r>
              <w:rPr>
                <w:rFonts w:hint="eastAsia" w:hAnsi="宋体" w:cs="宋体"/>
                <w:bCs/>
                <w:color w:val="auto"/>
                <w:kern w:val="2"/>
                <w:sz w:val="21"/>
                <w:highlight w:val="none"/>
              </w:rPr>
              <w:t>（3）价格分计算公式：</w:t>
            </w:r>
          </w:p>
          <w:p w14:paraId="7729C6CC">
            <w:pPr>
              <w:pStyle w:val="17"/>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bCs/>
                <w:color w:val="auto"/>
                <w:szCs w:val="21"/>
                <w:highlight w:val="none"/>
              </w:rPr>
            </w:pPr>
            <w:r>
              <w:rPr>
                <w:rFonts w:hint="eastAsia" w:hAnsi="宋体" w:cs="宋体"/>
                <w:bCs/>
                <w:color w:val="auto"/>
                <w:kern w:val="2"/>
                <w:sz w:val="21"/>
                <w:highlight w:val="none"/>
              </w:rPr>
              <w:t>价格分=(评</w:t>
            </w:r>
            <w:r>
              <w:rPr>
                <w:rFonts w:hint="eastAsia" w:hAnsi="宋体" w:cs="宋体"/>
                <w:bCs/>
                <w:color w:val="auto"/>
                <w:kern w:val="2"/>
                <w:sz w:val="21"/>
                <w:highlight w:val="none"/>
                <w:lang w:eastAsia="zh-CN"/>
              </w:rPr>
              <w:t>审</w:t>
            </w:r>
            <w:r>
              <w:rPr>
                <w:rFonts w:hint="eastAsia" w:hAnsi="宋体" w:cs="宋体"/>
                <w:bCs/>
                <w:color w:val="auto"/>
                <w:kern w:val="2"/>
                <w:sz w:val="21"/>
                <w:highlight w:val="none"/>
              </w:rPr>
              <w:t>基准价／</w:t>
            </w:r>
            <w:r>
              <w:rPr>
                <w:rFonts w:hint="eastAsia" w:hAnsi="宋体" w:cs="宋体"/>
                <w:bCs/>
                <w:color w:val="auto"/>
                <w:kern w:val="2"/>
                <w:sz w:val="21"/>
                <w:highlight w:val="none"/>
                <w:lang w:eastAsia="zh-CN"/>
              </w:rPr>
              <w:t>最终</w:t>
            </w:r>
            <w:r>
              <w:rPr>
                <w:rFonts w:hint="eastAsia" w:hAnsi="宋体" w:cs="宋体"/>
                <w:bCs/>
                <w:color w:val="auto"/>
                <w:kern w:val="2"/>
                <w:sz w:val="21"/>
                <w:highlight w:val="none"/>
              </w:rPr>
              <w:t>报价)×</w:t>
            </w:r>
            <w:r>
              <w:rPr>
                <w:rFonts w:hint="eastAsia" w:hAnsi="宋体" w:cs="宋体"/>
                <w:bCs/>
                <w:color w:val="auto"/>
                <w:kern w:val="2"/>
                <w:sz w:val="21"/>
                <w:highlight w:val="none"/>
                <w:lang w:val="en-US" w:eastAsia="zh-CN"/>
              </w:rPr>
              <w:t>1</w:t>
            </w:r>
            <w:r>
              <w:rPr>
                <w:rFonts w:hint="eastAsia" w:hAnsi="宋体" w:cs="宋体"/>
                <w:bCs/>
                <w:color w:val="auto"/>
                <w:kern w:val="2"/>
                <w:sz w:val="21"/>
                <w:highlight w:val="none"/>
              </w:rPr>
              <w:t>0分</w:t>
            </w:r>
          </w:p>
        </w:tc>
        <w:tc>
          <w:tcPr>
            <w:tcW w:w="0" w:type="auto"/>
            <w:noWrap w:val="0"/>
            <w:vAlign w:val="center"/>
          </w:tcPr>
          <w:p w14:paraId="467A1CBB">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10</w:t>
            </w:r>
          </w:p>
        </w:tc>
      </w:tr>
      <w:tr w14:paraId="6E0F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256FF6A5">
            <w:pPr>
              <w:pStyle w:val="17"/>
              <w:keepNext w:val="0"/>
              <w:keepLines w:val="0"/>
              <w:suppressLineNumbers w:val="0"/>
              <w:spacing w:before="0" w:beforeAutospacing="0" w:after="0" w:afterAutospacing="0" w:line="360" w:lineRule="auto"/>
              <w:ind w:left="0" w:right="0"/>
              <w:jc w:val="both"/>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2</w:t>
            </w:r>
          </w:p>
        </w:tc>
        <w:tc>
          <w:tcPr>
            <w:tcW w:w="0" w:type="auto"/>
            <w:noWrap w:val="0"/>
            <w:vAlign w:val="center"/>
          </w:tcPr>
          <w:p w14:paraId="4A704565">
            <w:pPr>
              <w:pStyle w:val="17"/>
              <w:keepNext w:val="0"/>
              <w:keepLines w:val="0"/>
              <w:suppressLineNumbers w:val="0"/>
              <w:spacing w:before="0" w:beforeAutospacing="0" w:after="0" w:afterAutospacing="0" w:line="360" w:lineRule="auto"/>
              <w:ind w:left="0" w:right="0"/>
              <w:jc w:val="both"/>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技术</w:t>
            </w:r>
            <w:r>
              <w:rPr>
                <w:rFonts w:hint="eastAsia" w:hAnsi="宋体" w:cs="宋体"/>
                <w:color w:val="auto"/>
                <w:kern w:val="2"/>
                <w:sz w:val="21"/>
                <w:highlight w:val="none"/>
                <w:lang w:val="en-US" w:eastAsia="zh-CN"/>
              </w:rPr>
              <w:t>分</w:t>
            </w:r>
          </w:p>
        </w:tc>
        <w:tc>
          <w:tcPr>
            <w:tcW w:w="0" w:type="auto"/>
            <w:gridSpan w:val="2"/>
            <w:noWrap w:val="0"/>
            <w:vAlign w:val="center"/>
          </w:tcPr>
          <w:p w14:paraId="46B62991">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rPr>
            </w:pPr>
            <w:r>
              <w:rPr>
                <w:rFonts w:hint="eastAsia" w:ascii="宋体" w:hAnsi="宋体" w:eastAsia="宋体" w:cs="宋体"/>
                <w:color w:val="auto"/>
                <w:kern w:val="2"/>
                <w:sz w:val="21"/>
                <w:highlight w:val="none"/>
                <w:lang w:val="en-US" w:eastAsia="zh-CN"/>
              </w:rPr>
              <w:t>满分（</w:t>
            </w:r>
            <w:r>
              <w:rPr>
                <w:rFonts w:hint="eastAsia" w:ascii="Calibri" w:hAnsi="宋体" w:eastAsia="宋体" w:cs="宋体"/>
                <w:color w:val="auto"/>
                <w:kern w:val="2"/>
                <w:sz w:val="21"/>
                <w:highlight w:val="none"/>
                <w:lang w:val="en-US" w:eastAsia="zh-CN"/>
              </w:rPr>
              <w:t>75</w:t>
            </w:r>
            <w:r>
              <w:rPr>
                <w:rFonts w:hint="eastAsia" w:ascii="宋体" w:hAnsi="宋体" w:eastAsia="宋体" w:cs="宋体"/>
                <w:color w:val="auto"/>
                <w:kern w:val="2"/>
                <w:sz w:val="21"/>
                <w:highlight w:val="none"/>
                <w:lang w:val="en-US" w:eastAsia="zh-CN"/>
              </w:rPr>
              <w:t>分）</w:t>
            </w:r>
          </w:p>
        </w:tc>
      </w:tr>
      <w:tr w14:paraId="5E5F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4E61DA3D">
            <w:pPr>
              <w:pStyle w:val="17"/>
              <w:keepNext w:val="0"/>
              <w:keepLines w:val="0"/>
              <w:suppressLineNumbers w:val="0"/>
              <w:spacing w:before="0" w:beforeAutospacing="0" w:after="0" w:afterAutospacing="0" w:line="360" w:lineRule="auto"/>
              <w:ind w:left="0" w:right="0"/>
              <w:jc w:val="both"/>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2.1</w:t>
            </w:r>
          </w:p>
        </w:tc>
        <w:tc>
          <w:tcPr>
            <w:tcW w:w="0" w:type="auto"/>
            <w:noWrap w:val="0"/>
            <w:vAlign w:val="center"/>
          </w:tcPr>
          <w:p w14:paraId="2DC639EA">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筹备方案</w:t>
            </w:r>
          </w:p>
          <w:p w14:paraId="0857EE9B">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eastAsia" w:ascii="Times New Roman" w:hAnsi="Times New Roman" w:eastAsia="宋体" w:cs="Times New Roman"/>
                <w:color w:val="auto"/>
                <w:spacing w:val="-11"/>
                <w:sz w:val="21"/>
                <w:szCs w:val="21"/>
                <w:highlight w:val="none"/>
                <w:lang w:val="en-US" w:eastAsia="zh-CN"/>
              </w:rPr>
              <w:t>（</w:t>
            </w:r>
            <w:r>
              <w:rPr>
                <w:rFonts w:hint="eastAsia" w:cs="Times New Roman"/>
                <w:color w:val="auto"/>
                <w:spacing w:val="-11"/>
                <w:sz w:val="21"/>
                <w:szCs w:val="21"/>
                <w:highlight w:val="none"/>
                <w:lang w:val="en-US" w:eastAsia="zh-CN"/>
              </w:rPr>
              <w:t>满分15</w:t>
            </w:r>
            <w:r>
              <w:rPr>
                <w:rFonts w:hint="eastAsia" w:ascii="Times New Roman" w:hAnsi="Times New Roman" w:eastAsia="宋体" w:cs="Times New Roman"/>
                <w:color w:val="auto"/>
                <w:spacing w:val="-11"/>
                <w:sz w:val="21"/>
                <w:szCs w:val="21"/>
                <w:highlight w:val="none"/>
                <w:lang w:val="en-US" w:eastAsia="zh-CN"/>
              </w:rPr>
              <w:t>分）</w:t>
            </w:r>
          </w:p>
          <w:p w14:paraId="0029111C">
            <w:pPr>
              <w:pStyle w:val="17"/>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kern w:val="2"/>
                <w:sz w:val="21"/>
                <w:highlight w:val="none"/>
                <w:lang w:val="en-US" w:eastAsia="zh-CN"/>
              </w:rPr>
            </w:pPr>
          </w:p>
        </w:tc>
        <w:tc>
          <w:tcPr>
            <w:tcW w:w="0" w:type="auto"/>
            <w:noWrap w:val="0"/>
            <w:vAlign w:val="center"/>
          </w:tcPr>
          <w:p w14:paraId="358A02A3">
            <w:pPr>
              <w:pStyle w:val="17"/>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210" w:firstLineChars="100"/>
              <w:jc w:val="both"/>
              <w:rPr>
                <w:rFonts w:hint="eastAsia" w:ascii="宋体" w:hAnsi="宋体" w:eastAsia="宋体" w:cs="宋体"/>
                <w:bCs/>
                <w:color w:val="auto"/>
                <w:kern w:val="2"/>
                <w:sz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筹备方案</w:t>
            </w:r>
            <w:r>
              <w:rPr>
                <w:rFonts w:hint="eastAsia" w:ascii="宋体" w:hAnsi="宋体" w:eastAsia="宋体" w:cs="宋体"/>
                <w:bCs/>
                <w:color w:val="auto"/>
                <w:kern w:val="2"/>
                <w:sz w:val="21"/>
                <w:highlight w:val="none"/>
                <w:lang w:val="en-US" w:eastAsia="zh-CN"/>
              </w:rPr>
              <w:t>分（满分</w:t>
            </w:r>
            <w:r>
              <w:rPr>
                <w:rFonts w:hint="eastAsia" w:hAnsi="宋体" w:cs="宋体"/>
                <w:bCs/>
                <w:color w:val="auto"/>
                <w:kern w:val="2"/>
                <w:sz w:val="21"/>
                <w:highlight w:val="none"/>
                <w:lang w:val="en-US" w:eastAsia="zh-CN"/>
              </w:rPr>
              <w:t>15</w:t>
            </w:r>
            <w:r>
              <w:rPr>
                <w:rFonts w:hint="eastAsia" w:ascii="宋体" w:hAnsi="宋体" w:eastAsia="宋体" w:cs="宋体"/>
                <w:bCs/>
                <w:color w:val="auto"/>
                <w:kern w:val="2"/>
                <w:sz w:val="21"/>
                <w:highlight w:val="none"/>
                <w:lang w:val="en-US" w:eastAsia="zh-CN"/>
              </w:rPr>
              <w:t>分，不满足一档或未提供本项内容的计0分）。</w:t>
            </w:r>
          </w:p>
          <w:p w14:paraId="04874B7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cs="Calibri"/>
                <w:bCs/>
                <w:color w:val="auto"/>
                <w:szCs w:val="21"/>
                <w:highlight w:val="none"/>
              </w:rPr>
            </w:pPr>
            <w:r>
              <w:rPr>
                <w:rFonts w:hint="eastAsia" w:ascii="宋体" w:hAnsi="宋体" w:cs="Calibri"/>
                <w:bCs/>
                <w:color w:val="auto"/>
                <w:szCs w:val="21"/>
                <w:highlight w:val="none"/>
              </w:rPr>
              <w:t>一档（5分）：</w:t>
            </w:r>
            <w:r>
              <w:rPr>
                <w:rFonts w:hint="eastAsia" w:ascii="宋体" w:hAnsi="宋体" w:cs="Calibri"/>
                <w:bCs/>
                <w:color w:val="auto"/>
                <w:szCs w:val="21"/>
                <w:highlight w:val="none"/>
                <w:lang w:eastAsia="zh-CN"/>
              </w:rPr>
              <w:t>竞</w:t>
            </w:r>
            <w:r>
              <w:rPr>
                <w:rFonts w:hint="eastAsia" w:ascii="宋体" w:hAnsi="宋体" w:cs="Calibri"/>
                <w:bCs/>
                <w:color w:val="auto"/>
                <w:szCs w:val="21"/>
                <w:highlight w:val="none"/>
              </w:rPr>
              <w:t>标人根据本项目就业服务</w:t>
            </w:r>
            <w:r>
              <w:rPr>
                <w:rFonts w:hint="eastAsia" w:ascii="宋体" w:hAnsi="宋体" w:cs="Calibri"/>
                <w:bCs/>
                <w:color w:val="auto"/>
                <w:szCs w:val="21"/>
                <w:highlight w:val="none"/>
                <w:lang w:eastAsia="zh-CN"/>
              </w:rPr>
              <w:t>网点</w:t>
            </w:r>
            <w:r>
              <w:rPr>
                <w:rFonts w:hint="eastAsia" w:ascii="宋体" w:hAnsi="宋体" w:cs="Calibri"/>
                <w:bCs/>
                <w:color w:val="auto"/>
                <w:szCs w:val="21"/>
                <w:highlight w:val="none"/>
              </w:rPr>
              <w:t>（</w:t>
            </w:r>
            <w:r>
              <w:rPr>
                <w:rFonts w:hint="eastAsia" w:ascii="宋体" w:hAnsi="宋体" w:cs="Calibri"/>
                <w:bCs/>
                <w:color w:val="auto"/>
                <w:szCs w:val="21"/>
                <w:highlight w:val="none"/>
                <w:lang w:eastAsia="zh-CN"/>
              </w:rPr>
              <w:t>就业服务站</w:t>
            </w:r>
            <w:r>
              <w:rPr>
                <w:rFonts w:hint="eastAsia" w:ascii="宋体" w:hAnsi="宋体" w:cs="Calibri"/>
                <w:bCs/>
                <w:color w:val="auto"/>
                <w:szCs w:val="21"/>
                <w:highlight w:val="none"/>
              </w:rPr>
              <w:t>）站点分布，提供切合项目实际的工作计划方案，时间排期在履约期限内</w:t>
            </w:r>
            <w:r>
              <w:rPr>
                <w:rFonts w:hint="eastAsia" w:ascii="宋体" w:hAnsi="宋体" w:cs="Calibri"/>
                <w:bCs/>
                <w:color w:val="auto"/>
                <w:szCs w:val="21"/>
                <w:highlight w:val="none"/>
                <w:lang w:val="en-US" w:eastAsia="zh-CN"/>
              </w:rPr>
              <w:t>,计划和</w:t>
            </w:r>
            <w:r>
              <w:rPr>
                <w:rFonts w:hint="eastAsia" w:ascii="宋体" w:hAnsi="宋体" w:cs="Calibri"/>
                <w:bCs/>
                <w:color w:val="auto"/>
                <w:szCs w:val="21"/>
                <w:highlight w:val="none"/>
              </w:rPr>
              <w:t>方案能够明确各分布站点的筹备进展情况。</w:t>
            </w:r>
          </w:p>
          <w:p w14:paraId="51C5C47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eastAsia="宋体" w:cs="Calibri"/>
                <w:bCs/>
                <w:color w:val="auto"/>
                <w:szCs w:val="21"/>
                <w:highlight w:val="none"/>
                <w:lang w:eastAsia="zh-CN"/>
              </w:rPr>
            </w:pPr>
            <w:r>
              <w:rPr>
                <w:rFonts w:hint="eastAsia" w:ascii="宋体" w:hAnsi="宋体" w:cs="Calibri"/>
                <w:bCs/>
                <w:color w:val="auto"/>
                <w:szCs w:val="21"/>
                <w:highlight w:val="none"/>
              </w:rPr>
              <w:t>二档（10分）：在满足一档的基础上，能根据项目服务过程涉及的工作环节列出具体的工作计划及时间表，工作计划能够有效指导工作有序开展；为确保</w:t>
            </w:r>
            <w:r>
              <w:rPr>
                <w:rFonts w:hint="eastAsia" w:ascii="宋体" w:hAnsi="宋体" w:cs="Calibri"/>
                <w:bCs/>
                <w:color w:val="auto"/>
                <w:szCs w:val="21"/>
                <w:highlight w:val="none"/>
                <w:lang w:eastAsia="zh-CN"/>
              </w:rPr>
              <w:t>各个就业</w:t>
            </w:r>
            <w:r>
              <w:rPr>
                <w:rFonts w:hint="eastAsia" w:ascii="宋体" w:hAnsi="宋体" w:cs="Calibri"/>
                <w:bCs/>
                <w:color w:val="auto"/>
                <w:szCs w:val="21"/>
                <w:highlight w:val="none"/>
              </w:rPr>
              <w:t>服务站点的建设质量及统一性，符合各站点场地面积及功能需求</w:t>
            </w:r>
            <w:r>
              <w:rPr>
                <w:rFonts w:hint="eastAsia" w:ascii="宋体" w:hAnsi="宋体" w:cs="Calibri"/>
                <w:bCs/>
                <w:color w:val="auto"/>
                <w:szCs w:val="21"/>
                <w:highlight w:val="none"/>
                <w:lang w:eastAsia="zh-CN"/>
              </w:rPr>
              <w:t>，</w:t>
            </w:r>
            <w:r>
              <w:rPr>
                <w:rFonts w:hint="eastAsia" w:ascii="宋体" w:hAnsi="宋体" w:cs="Calibri"/>
                <w:bCs/>
                <w:color w:val="auto"/>
                <w:szCs w:val="21"/>
                <w:highlight w:val="none"/>
              </w:rPr>
              <w:t>明确支持就业服务站提供公共就业服务的规范配备，满足办公服务、求职服务、便民服务、</w:t>
            </w:r>
            <w:r>
              <w:rPr>
                <w:rFonts w:hint="eastAsia" w:ascii="宋体" w:hAnsi="宋体" w:cs="Calibri"/>
                <w:bCs/>
                <w:color w:val="auto"/>
                <w:szCs w:val="21"/>
                <w:highlight w:val="none"/>
                <w:lang w:eastAsia="zh-CN"/>
              </w:rPr>
              <w:t>爱心服务设备、</w:t>
            </w:r>
            <w:r>
              <w:rPr>
                <w:rFonts w:hint="eastAsia" w:ascii="宋体" w:hAnsi="宋体" w:cs="Calibri"/>
                <w:bCs/>
                <w:color w:val="auto"/>
                <w:szCs w:val="21"/>
                <w:highlight w:val="none"/>
              </w:rPr>
              <w:t>安全防护等设施设备清单，并列明各项设备配置明细（含设备名称、品牌、型号、</w:t>
            </w:r>
            <w:r>
              <w:rPr>
                <w:rFonts w:hint="eastAsia" w:ascii="宋体" w:hAnsi="宋体" w:cs="Calibri"/>
                <w:bCs/>
                <w:color w:val="auto"/>
                <w:szCs w:val="21"/>
                <w:highlight w:val="none"/>
                <w:lang w:eastAsia="zh-CN"/>
              </w:rPr>
              <w:t>数量、</w:t>
            </w:r>
            <w:r>
              <w:rPr>
                <w:rFonts w:hint="eastAsia" w:ascii="宋体" w:hAnsi="宋体" w:cs="Calibri"/>
                <w:bCs/>
                <w:color w:val="auto"/>
                <w:szCs w:val="21"/>
                <w:highlight w:val="none"/>
              </w:rPr>
              <w:t>性能配置信息等）</w:t>
            </w:r>
            <w:r>
              <w:rPr>
                <w:rFonts w:hint="eastAsia" w:ascii="宋体" w:hAnsi="宋体" w:cs="Calibri"/>
                <w:bCs/>
                <w:color w:val="auto"/>
                <w:szCs w:val="21"/>
                <w:highlight w:val="none"/>
                <w:lang w:eastAsia="zh-CN"/>
              </w:rPr>
              <w:t>。</w:t>
            </w:r>
          </w:p>
          <w:p w14:paraId="3A82B99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eastAsia="宋体" w:cs="宋体"/>
                <w:color w:val="auto"/>
                <w:kern w:val="2"/>
                <w:sz w:val="21"/>
                <w:highlight w:val="none"/>
                <w:lang w:val="en-US" w:eastAsia="zh-CN"/>
              </w:rPr>
            </w:pPr>
            <w:r>
              <w:rPr>
                <w:rFonts w:hint="eastAsia" w:ascii="宋体" w:hAnsi="宋体" w:cs="Calibri"/>
                <w:bCs/>
                <w:color w:val="auto"/>
                <w:szCs w:val="21"/>
                <w:highlight w:val="none"/>
              </w:rPr>
              <w:t>三档（15分）：在满足二档的基础上，能够根据工作计划进一步给出筹备各阶段的工作开展部署方案，确保项目能够按时间要求有计划有进度的完成各阶段工作内容；</w:t>
            </w:r>
            <w:r>
              <w:rPr>
                <w:rFonts w:hint="eastAsia" w:ascii="宋体" w:hAnsi="宋体" w:cs="Calibri"/>
                <w:bCs/>
                <w:color w:val="auto"/>
                <w:szCs w:val="21"/>
                <w:highlight w:val="none"/>
                <w:lang w:eastAsia="zh-CN"/>
              </w:rPr>
              <w:t>能</w:t>
            </w:r>
            <w:r>
              <w:rPr>
                <w:rFonts w:hint="eastAsia" w:ascii="宋体" w:hAnsi="宋体" w:cs="Calibri"/>
                <w:bCs/>
                <w:color w:val="auto"/>
                <w:szCs w:val="21"/>
                <w:highlight w:val="none"/>
              </w:rPr>
              <w:t>根据本项目规范配备标准</w:t>
            </w:r>
            <w:r>
              <w:rPr>
                <w:rFonts w:hint="eastAsia" w:ascii="宋体" w:hAnsi="宋体" w:cs="Calibri"/>
                <w:bCs/>
                <w:color w:val="auto"/>
                <w:szCs w:val="21"/>
                <w:highlight w:val="none"/>
                <w:lang w:eastAsia="zh-CN"/>
              </w:rPr>
              <w:t>和各站点不同位置现状</w:t>
            </w:r>
            <w:r>
              <w:rPr>
                <w:rFonts w:hint="eastAsia" w:ascii="宋体" w:hAnsi="宋体" w:cs="Calibri"/>
                <w:bCs/>
                <w:color w:val="auto"/>
                <w:szCs w:val="21"/>
                <w:highlight w:val="none"/>
              </w:rPr>
              <w:t>提供一级就业服务站筹备设计方案（包括明确的分区功能，包括但不限于柜面服务区、信息发布区、数智求职区、等候休息区、便民服务区等）</w:t>
            </w:r>
            <w:r>
              <w:rPr>
                <w:rFonts w:hint="eastAsia" w:ascii="宋体" w:hAnsi="宋体" w:cs="Calibri"/>
                <w:bCs/>
                <w:color w:val="auto"/>
                <w:szCs w:val="21"/>
                <w:highlight w:val="none"/>
                <w:lang w:eastAsia="zh-CN"/>
              </w:rPr>
              <w:t>及简单设计效果图（含平面布置图、室外效果图、室内效果图），实现风格统一，且体现就业服务特点</w:t>
            </w:r>
            <w:r>
              <w:rPr>
                <w:rFonts w:hint="eastAsia" w:ascii="宋体" w:hAnsi="宋体" w:cs="Calibri"/>
                <w:bCs/>
                <w:color w:val="auto"/>
                <w:szCs w:val="21"/>
                <w:highlight w:val="none"/>
              </w:rPr>
              <w:t>。</w:t>
            </w:r>
          </w:p>
        </w:tc>
        <w:tc>
          <w:tcPr>
            <w:tcW w:w="0" w:type="auto"/>
            <w:noWrap w:val="0"/>
            <w:vAlign w:val="center"/>
          </w:tcPr>
          <w:p w14:paraId="62DC7B16">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15</w:t>
            </w:r>
          </w:p>
        </w:tc>
      </w:tr>
      <w:tr w14:paraId="28E5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4EAF8587">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2</w:t>
            </w:r>
          </w:p>
        </w:tc>
        <w:tc>
          <w:tcPr>
            <w:tcW w:w="0" w:type="auto"/>
            <w:noWrap w:val="0"/>
            <w:vAlign w:val="center"/>
          </w:tcPr>
          <w:p w14:paraId="08E42D04">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Times New Roman" w:hAnsi="Times New Roman" w:eastAsia="宋体" w:cs="Times New Roman"/>
                <w:color w:val="auto"/>
                <w:spacing w:val="-23"/>
                <w:sz w:val="21"/>
                <w:szCs w:val="21"/>
                <w:highlight w:val="none"/>
                <w:lang w:val="en-US" w:eastAsia="zh-CN"/>
              </w:rPr>
            </w:pPr>
            <w:r>
              <w:rPr>
                <w:rFonts w:hint="eastAsia" w:ascii="宋体" w:hAnsi="宋体" w:cs="Calibri"/>
                <w:bCs/>
                <w:color w:val="auto"/>
                <w:szCs w:val="21"/>
                <w:highlight w:val="none"/>
              </w:rPr>
              <w:t>运营服务方案</w:t>
            </w:r>
          </w:p>
          <w:p w14:paraId="2FA77CA3">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eastAsia" w:ascii="Times New Roman" w:hAnsi="Times New Roman" w:eastAsia="宋体" w:cs="Times New Roman"/>
                <w:color w:val="auto"/>
                <w:spacing w:val="-11"/>
                <w:sz w:val="21"/>
                <w:szCs w:val="21"/>
                <w:highlight w:val="none"/>
                <w:lang w:val="en-US" w:eastAsia="zh-CN"/>
              </w:rPr>
              <w:t>（</w:t>
            </w:r>
            <w:r>
              <w:rPr>
                <w:rFonts w:hint="eastAsia" w:cs="Times New Roman"/>
                <w:color w:val="auto"/>
                <w:spacing w:val="-11"/>
                <w:sz w:val="21"/>
                <w:szCs w:val="21"/>
                <w:highlight w:val="none"/>
                <w:lang w:val="en-US" w:eastAsia="zh-CN"/>
              </w:rPr>
              <w:t>满分15</w:t>
            </w:r>
            <w:r>
              <w:rPr>
                <w:rFonts w:hint="eastAsia" w:ascii="Times New Roman" w:hAnsi="Times New Roman" w:eastAsia="宋体" w:cs="Times New Roman"/>
                <w:color w:val="auto"/>
                <w:spacing w:val="-11"/>
                <w:sz w:val="21"/>
                <w:szCs w:val="21"/>
                <w:highlight w:val="none"/>
                <w:lang w:val="en-US" w:eastAsia="zh-CN"/>
              </w:rPr>
              <w:t>分）</w:t>
            </w:r>
          </w:p>
          <w:p w14:paraId="401180F6">
            <w:pPr>
              <w:pStyle w:val="17"/>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kern w:val="2"/>
                <w:sz w:val="21"/>
                <w:highlight w:val="none"/>
                <w:lang w:val="en-US" w:eastAsia="zh-CN"/>
              </w:rPr>
            </w:pPr>
          </w:p>
        </w:tc>
        <w:tc>
          <w:tcPr>
            <w:tcW w:w="0" w:type="auto"/>
            <w:noWrap w:val="0"/>
            <w:vAlign w:val="center"/>
          </w:tcPr>
          <w:p w14:paraId="269553D8">
            <w:pPr>
              <w:pStyle w:val="17"/>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210" w:firstLineChars="100"/>
              <w:jc w:val="both"/>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运营服务方案分（满分</w:t>
            </w:r>
            <w:r>
              <w:rPr>
                <w:rFonts w:hint="eastAsia" w:hAnsi="宋体" w:cs="宋体"/>
                <w:bCs/>
                <w:color w:val="auto"/>
                <w:kern w:val="2"/>
                <w:sz w:val="21"/>
                <w:highlight w:val="none"/>
                <w:lang w:val="en-US" w:eastAsia="zh-CN"/>
              </w:rPr>
              <w:t>15</w:t>
            </w:r>
            <w:r>
              <w:rPr>
                <w:rFonts w:hint="eastAsia" w:ascii="宋体" w:hAnsi="宋体" w:eastAsia="宋体" w:cs="宋体"/>
                <w:bCs/>
                <w:color w:val="auto"/>
                <w:kern w:val="2"/>
                <w:sz w:val="21"/>
                <w:highlight w:val="none"/>
                <w:lang w:val="en-US" w:eastAsia="zh-CN"/>
              </w:rPr>
              <w:t>分，不满足一档或未提供本项内容的计0分）。</w:t>
            </w:r>
          </w:p>
          <w:p w14:paraId="6AA7AA6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cs="Calibri"/>
                <w:color w:val="auto"/>
                <w:szCs w:val="21"/>
                <w:highlight w:val="none"/>
              </w:rPr>
            </w:pPr>
            <w:r>
              <w:rPr>
                <w:rFonts w:hint="eastAsia" w:ascii="宋体" w:hAnsi="宋体" w:cs="Calibri"/>
                <w:color w:val="auto"/>
                <w:szCs w:val="21"/>
                <w:highlight w:val="none"/>
              </w:rPr>
              <w:t>一档（</w:t>
            </w:r>
            <w:r>
              <w:rPr>
                <w:rFonts w:hint="eastAsia" w:ascii="宋体" w:hAnsi="宋体" w:cs="Calibri"/>
                <w:color w:val="auto"/>
                <w:szCs w:val="21"/>
                <w:highlight w:val="none"/>
                <w:lang w:val="en-US" w:eastAsia="zh-CN"/>
              </w:rPr>
              <w:t>5</w:t>
            </w:r>
            <w:r>
              <w:rPr>
                <w:rFonts w:hint="eastAsia" w:ascii="宋体" w:hAnsi="宋体" w:cs="Calibri"/>
                <w:color w:val="auto"/>
                <w:szCs w:val="21"/>
                <w:highlight w:val="none"/>
              </w:rPr>
              <w:t>分）：根据项目服务特点提供运营服务方案，有</w:t>
            </w:r>
            <w:r>
              <w:rPr>
                <w:rFonts w:hint="eastAsia" w:ascii="宋体" w:hAnsi="宋体" w:cs="Calibri"/>
                <w:color w:val="auto"/>
                <w:szCs w:val="21"/>
                <w:highlight w:val="none"/>
                <w:lang w:eastAsia="zh-CN"/>
              </w:rPr>
              <w:t>基本</w:t>
            </w:r>
            <w:r>
              <w:rPr>
                <w:rFonts w:hint="eastAsia" w:ascii="宋体" w:hAnsi="宋体" w:cs="Calibri"/>
                <w:color w:val="auto"/>
                <w:szCs w:val="21"/>
                <w:highlight w:val="none"/>
              </w:rPr>
              <w:t>的项目管理组织架构</w:t>
            </w:r>
            <w:r>
              <w:rPr>
                <w:rFonts w:hint="eastAsia" w:ascii="宋体" w:hAnsi="宋体" w:cs="Calibri"/>
                <w:color w:val="auto"/>
                <w:szCs w:val="21"/>
                <w:highlight w:val="none"/>
                <w:lang w:eastAsia="zh-CN"/>
              </w:rPr>
              <w:t>、</w:t>
            </w:r>
            <w:r>
              <w:rPr>
                <w:rFonts w:hint="eastAsia" w:ascii="宋体" w:hAnsi="宋体" w:cs="Calibri"/>
                <w:color w:val="auto"/>
                <w:szCs w:val="21"/>
                <w:highlight w:val="none"/>
              </w:rPr>
              <w:t>人员配置计划、职责划分、人员替补措施、相互配合的工作组织管理等，</w:t>
            </w:r>
            <w:r>
              <w:rPr>
                <w:rFonts w:hint="eastAsia" w:ascii="宋体" w:hAnsi="宋体" w:cs="Calibri"/>
                <w:color w:val="auto"/>
                <w:szCs w:val="21"/>
                <w:highlight w:val="none"/>
                <w:lang w:eastAsia="zh-CN"/>
              </w:rPr>
              <w:t>能够确保项目服务周期内的相关服务工作有序推进。</w:t>
            </w:r>
          </w:p>
          <w:p w14:paraId="0566794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cs="Calibri"/>
                <w:color w:val="auto"/>
                <w:szCs w:val="21"/>
                <w:highlight w:val="none"/>
              </w:rPr>
            </w:pPr>
            <w:r>
              <w:rPr>
                <w:rFonts w:hint="eastAsia" w:ascii="宋体" w:hAnsi="宋体" w:cs="Calibri"/>
                <w:color w:val="auto"/>
                <w:szCs w:val="21"/>
                <w:highlight w:val="none"/>
                <w:lang w:eastAsia="zh-CN"/>
              </w:rPr>
              <w:t>二</w:t>
            </w:r>
            <w:r>
              <w:rPr>
                <w:rFonts w:hint="eastAsia" w:ascii="宋体" w:hAnsi="宋体" w:cs="Calibri"/>
                <w:color w:val="auto"/>
                <w:szCs w:val="21"/>
                <w:highlight w:val="none"/>
              </w:rPr>
              <w:t>档（</w:t>
            </w:r>
            <w:r>
              <w:rPr>
                <w:rFonts w:hint="eastAsia" w:ascii="宋体" w:hAnsi="宋体" w:cs="Calibri"/>
                <w:color w:val="auto"/>
                <w:szCs w:val="21"/>
                <w:highlight w:val="none"/>
                <w:lang w:val="en-US" w:eastAsia="zh-CN"/>
              </w:rPr>
              <w:t>10</w:t>
            </w:r>
            <w:r>
              <w:rPr>
                <w:rFonts w:hint="eastAsia" w:ascii="宋体" w:hAnsi="宋体" w:cs="Calibri"/>
                <w:color w:val="auto"/>
                <w:szCs w:val="21"/>
                <w:highlight w:val="none"/>
              </w:rPr>
              <w:t>分）：满足</w:t>
            </w:r>
            <w:r>
              <w:rPr>
                <w:rFonts w:hint="eastAsia" w:ascii="宋体" w:hAnsi="宋体" w:cs="Calibri"/>
                <w:color w:val="auto"/>
                <w:szCs w:val="21"/>
                <w:highlight w:val="none"/>
                <w:lang w:eastAsia="zh-CN"/>
              </w:rPr>
              <w:t>一</w:t>
            </w:r>
            <w:r>
              <w:rPr>
                <w:rFonts w:hint="eastAsia" w:ascii="宋体" w:hAnsi="宋体" w:cs="Calibri"/>
                <w:color w:val="auto"/>
                <w:szCs w:val="21"/>
                <w:highlight w:val="none"/>
              </w:rPr>
              <w:t>档要求</w:t>
            </w:r>
            <w:r>
              <w:rPr>
                <w:rFonts w:hint="eastAsia" w:ascii="宋体" w:hAnsi="宋体" w:cs="Calibri"/>
                <w:color w:val="auto"/>
                <w:szCs w:val="21"/>
                <w:highlight w:val="none"/>
                <w:lang w:eastAsia="zh-CN"/>
              </w:rPr>
              <w:t>，</w:t>
            </w:r>
            <w:r>
              <w:rPr>
                <w:rFonts w:hint="eastAsia" w:ascii="宋体" w:hAnsi="宋体" w:cs="Calibri"/>
                <w:color w:val="auto"/>
                <w:szCs w:val="21"/>
                <w:highlight w:val="none"/>
              </w:rPr>
              <w:t>根据本项目实际情况、服务内容和考核标准要求，建立有科学合理的内部运营管理考核机制；并能根据站点类别对应的</w:t>
            </w:r>
            <w:r>
              <w:rPr>
                <w:rFonts w:hint="default" w:ascii="宋体" w:hAnsi="宋体" w:cs="Calibri"/>
                <w:color w:val="auto"/>
                <w:szCs w:val="21"/>
                <w:highlight w:val="none"/>
              </w:rPr>
              <w:t>服务</w:t>
            </w:r>
            <w:r>
              <w:rPr>
                <w:rFonts w:hint="eastAsia" w:ascii="宋体" w:hAnsi="宋体" w:cs="Calibri"/>
                <w:color w:val="auto"/>
                <w:szCs w:val="21"/>
                <w:highlight w:val="none"/>
              </w:rPr>
              <w:t>事项提供相应的目标任务推进计划、帮扶计划、活动计划等</w:t>
            </w:r>
            <w:r>
              <w:rPr>
                <w:rFonts w:hint="default" w:ascii="宋体" w:hAnsi="宋体" w:cs="Calibri"/>
                <w:color w:val="auto"/>
                <w:szCs w:val="21"/>
                <w:highlight w:val="none"/>
              </w:rPr>
              <w:t>，方案思路清晰</w:t>
            </w:r>
            <w:r>
              <w:rPr>
                <w:rFonts w:hint="eastAsia" w:ascii="宋体" w:hAnsi="宋体" w:cs="Calibri"/>
                <w:color w:val="auto"/>
                <w:szCs w:val="21"/>
                <w:highlight w:val="none"/>
              </w:rPr>
              <w:t>，且具有</w:t>
            </w:r>
            <w:r>
              <w:rPr>
                <w:rFonts w:hint="default" w:ascii="宋体" w:hAnsi="宋体" w:cs="Calibri"/>
                <w:color w:val="auto"/>
                <w:szCs w:val="21"/>
                <w:highlight w:val="none"/>
              </w:rPr>
              <w:t>针对性</w:t>
            </w:r>
            <w:r>
              <w:rPr>
                <w:rFonts w:hint="eastAsia" w:ascii="宋体" w:hAnsi="宋体" w:cs="Calibri"/>
                <w:color w:val="auto"/>
                <w:szCs w:val="21"/>
                <w:highlight w:val="none"/>
              </w:rPr>
              <w:t>、可操作性，能够有效帮助完成年度运营目标任务。</w:t>
            </w:r>
          </w:p>
          <w:p w14:paraId="218BB3D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color w:val="auto"/>
                <w:highlight w:val="none"/>
              </w:rPr>
            </w:pPr>
            <w:r>
              <w:rPr>
                <w:rFonts w:hint="eastAsia" w:ascii="宋体" w:hAnsi="宋体" w:cs="Calibri"/>
                <w:color w:val="auto"/>
                <w:szCs w:val="21"/>
                <w:highlight w:val="none"/>
                <w:lang w:eastAsia="zh-CN"/>
              </w:rPr>
              <w:t>三</w:t>
            </w:r>
            <w:r>
              <w:rPr>
                <w:rFonts w:hint="eastAsia" w:ascii="宋体" w:hAnsi="宋体" w:cs="Calibri"/>
                <w:color w:val="auto"/>
                <w:szCs w:val="21"/>
                <w:highlight w:val="none"/>
              </w:rPr>
              <w:t>档（</w:t>
            </w:r>
            <w:r>
              <w:rPr>
                <w:rFonts w:hint="eastAsia" w:ascii="宋体" w:hAnsi="宋体" w:cs="Calibri"/>
                <w:color w:val="auto"/>
                <w:szCs w:val="21"/>
                <w:highlight w:val="none"/>
                <w:lang w:val="en-US" w:eastAsia="zh-CN"/>
              </w:rPr>
              <w:t>15</w:t>
            </w:r>
            <w:r>
              <w:rPr>
                <w:rFonts w:hint="eastAsia" w:ascii="宋体" w:hAnsi="宋体" w:cs="Calibri"/>
                <w:color w:val="auto"/>
                <w:szCs w:val="21"/>
                <w:highlight w:val="none"/>
              </w:rPr>
              <w:t>分）：满足</w:t>
            </w:r>
            <w:r>
              <w:rPr>
                <w:rFonts w:hint="eastAsia" w:ascii="宋体" w:hAnsi="宋体" w:cs="Calibri"/>
                <w:color w:val="auto"/>
                <w:szCs w:val="21"/>
                <w:highlight w:val="none"/>
                <w:lang w:eastAsia="zh-CN"/>
              </w:rPr>
              <w:t>二</w:t>
            </w:r>
            <w:r>
              <w:rPr>
                <w:rFonts w:hint="eastAsia" w:ascii="宋体" w:hAnsi="宋体" w:cs="Calibri"/>
                <w:color w:val="auto"/>
                <w:szCs w:val="21"/>
                <w:highlight w:val="none"/>
              </w:rPr>
              <w:t>档要求，能充分理解</w:t>
            </w:r>
            <w:r>
              <w:rPr>
                <w:rFonts w:hint="eastAsia" w:ascii="宋体" w:hAnsi="宋体" w:cs="Calibri"/>
                <w:strike w:val="0"/>
                <w:dstrike w:val="0"/>
                <w:color w:val="auto"/>
                <w:szCs w:val="21"/>
                <w:highlight w:val="none"/>
                <w:lang w:val="en-US" w:eastAsia="zh-CN"/>
              </w:rPr>
              <w:t>财政投入就业服务社会效益的</w:t>
            </w:r>
            <w:r>
              <w:rPr>
                <w:rFonts w:hint="eastAsia" w:ascii="宋体" w:hAnsi="宋体" w:cs="Calibri"/>
                <w:color w:val="auto"/>
                <w:szCs w:val="21"/>
                <w:highlight w:val="none"/>
              </w:rPr>
              <w:t>运行目标，在完成项目要求的公共服务供给的基础上，能充分依托线下服务站点和线上服务平台，拓展提供延伸性、关联性、精细化等</w:t>
            </w:r>
            <w:r>
              <w:rPr>
                <w:rFonts w:hint="eastAsia" w:ascii="宋体" w:hAnsi="宋体" w:cs="Calibri"/>
                <w:color w:val="auto"/>
                <w:szCs w:val="21"/>
                <w:highlight w:val="none"/>
                <w:lang w:eastAsia="zh-CN"/>
              </w:rPr>
              <w:t>多元</w:t>
            </w:r>
            <w:r>
              <w:rPr>
                <w:rFonts w:hint="eastAsia" w:ascii="宋体" w:hAnsi="宋体" w:cs="Calibri"/>
                <w:color w:val="auto"/>
                <w:szCs w:val="21"/>
                <w:highlight w:val="none"/>
              </w:rPr>
              <w:t>化服务。</w:t>
            </w:r>
            <w:r>
              <w:rPr>
                <w:rFonts w:hint="eastAsia" w:ascii="宋体" w:hAnsi="宋体" w:cs="Calibri"/>
                <w:color w:val="auto"/>
                <w:szCs w:val="21"/>
                <w:highlight w:val="none"/>
                <w:lang w:eastAsia="zh-CN"/>
              </w:rPr>
              <w:t>公共就业服务运营管理</w:t>
            </w:r>
            <w:r>
              <w:rPr>
                <w:rFonts w:hint="eastAsia" w:ascii="宋体" w:hAnsi="宋体" w:cs="Calibri"/>
                <w:color w:val="auto"/>
                <w:szCs w:val="21"/>
                <w:highlight w:val="none"/>
              </w:rPr>
              <w:t>思路清晰、措施可行，并操作上合法合规、数据安全可控，</w:t>
            </w:r>
            <w:r>
              <w:rPr>
                <w:rFonts w:hint="eastAsia" w:ascii="宋体" w:hAnsi="宋体" w:cs="Calibri"/>
                <w:color w:val="auto"/>
                <w:szCs w:val="21"/>
                <w:highlight w:val="none"/>
                <w:lang w:eastAsia="zh-CN"/>
              </w:rPr>
              <w:t>具有</w:t>
            </w:r>
            <w:r>
              <w:rPr>
                <w:rFonts w:hint="eastAsia" w:ascii="宋体" w:hAnsi="宋体" w:cs="Calibri"/>
                <w:color w:val="auto"/>
                <w:szCs w:val="21"/>
                <w:highlight w:val="none"/>
              </w:rPr>
              <w:t>可落地的长期运营方案，具有</w:t>
            </w:r>
            <w:r>
              <w:rPr>
                <w:rFonts w:hint="eastAsia" w:ascii="宋体" w:hAnsi="宋体" w:cs="Calibri"/>
                <w:color w:val="auto"/>
                <w:szCs w:val="21"/>
                <w:highlight w:val="none"/>
                <w:lang w:eastAsia="zh-CN"/>
              </w:rPr>
              <w:t>统筹整合自有资源补充赋能，</w:t>
            </w:r>
            <w:r>
              <w:rPr>
                <w:rFonts w:hint="eastAsia" w:ascii="宋体" w:hAnsi="宋体" w:cs="Calibri"/>
                <w:color w:val="auto"/>
                <w:szCs w:val="21"/>
                <w:highlight w:val="none"/>
              </w:rPr>
              <w:t>使项目在政府资金有限投入的情况下仍能稳定运行，并持续扩大项目在</w:t>
            </w:r>
            <w:r>
              <w:rPr>
                <w:rFonts w:hint="eastAsia" w:ascii="宋体" w:hAnsi="宋体" w:cs="Calibri"/>
                <w:color w:val="auto"/>
                <w:szCs w:val="21"/>
                <w:highlight w:val="none"/>
                <w:lang w:eastAsia="zh-CN"/>
              </w:rPr>
              <w:t>武鸣</w:t>
            </w:r>
            <w:r>
              <w:rPr>
                <w:rFonts w:hint="eastAsia" w:ascii="宋体" w:hAnsi="宋体" w:cs="Calibri"/>
                <w:color w:val="auto"/>
                <w:szCs w:val="21"/>
                <w:highlight w:val="none"/>
              </w:rPr>
              <w:t>区的就业服务社会效益。</w:t>
            </w:r>
          </w:p>
        </w:tc>
        <w:tc>
          <w:tcPr>
            <w:tcW w:w="0" w:type="auto"/>
            <w:noWrap w:val="0"/>
            <w:vAlign w:val="center"/>
          </w:tcPr>
          <w:p w14:paraId="3BF8EF42">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15</w:t>
            </w:r>
          </w:p>
        </w:tc>
      </w:tr>
      <w:tr w14:paraId="5E6C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41BB20A8">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2.3</w:t>
            </w:r>
          </w:p>
        </w:tc>
        <w:tc>
          <w:tcPr>
            <w:tcW w:w="0" w:type="auto"/>
            <w:noWrap w:val="0"/>
            <w:vAlign w:val="center"/>
          </w:tcPr>
          <w:p w14:paraId="7F89603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Calibri" w:hAnsi="Calibri" w:cs="Calibri"/>
                <w:color w:val="auto"/>
                <w:spacing w:val="0"/>
                <w:sz w:val="21"/>
                <w:highlight w:val="none"/>
              </w:rPr>
            </w:pPr>
            <w:r>
              <w:rPr>
                <w:rFonts w:hint="eastAsia" w:ascii="Calibri" w:hAnsi="Calibri" w:cs="Calibri"/>
                <w:color w:val="auto"/>
                <w:spacing w:val="0"/>
                <w:sz w:val="21"/>
                <w:highlight w:val="none"/>
              </w:rPr>
              <w:t>服务</w:t>
            </w:r>
            <w:r>
              <w:rPr>
                <w:rFonts w:hint="eastAsia" w:ascii="Calibri" w:hAnsi="Calibri" w:cs="Calibri"/>
                <w:color w:val="auto"/>
                <w:spacing w:val="0"/>
                <w:sz w:val="21"/>
                <w:highlight w:val="none"/>
                <w:lang w:eastAsia="zh-CN"/>
              </w:rPr>
              <w:t>管理</w:t>
            </w:r>
            <w:r>
              <w:rPr>
                <w:rFonts w:hint="eastAsia" w:ascii="Calibri" w:hAnsi="Calibri" w:cs="Calibri"/>
                <w:color w:val="auto"/>
                <w:spacing w:val="0"/>
                <w:sz w:val="21"/>
                <w:highlight w:val="none"/>
              </w:rPr>
              <w:t>质量</w:t>
            </w:r>
          </w:p>
          <w:p w14:paraId="5E73D49A">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eastAsia" w:ascii="Times New Roman" w:hAnsi="Times New Roman" w:eastAsia="宋体" w:cs="Times New Roman"/>
                <w:color w:val="auto"/>
                <w:spacing w:val="-11"/>
                <w:sz w:val="21"/>
                <w:szCs w:val="21"/>
                <w:highlight w:val="none"/>
                <w:lang w:val="en-US" w:eastAsia="zh-CN"/>
              </w:rPr>
              <w:t>（</w:t>
            </w:r>
            <w:r>
              <w:rPr>
                <w:rFonts w:hint="eastAsia" w:cs="Times New Roman"/>
                <w:color w:val="auto"/>
                <w:spacing w:val="-11"/>
                <w:sz w:val="21"/>
                <w:szCs w:val="21"/>
                <w:highlight w:val="none"/>
                <w:lang w:val="en-US" w:eastAsia="zh-CN"/>
              </w:rPr>
              <w:t>满分20</w:t>
            </w:r>
            <w:r>
              <w:rPr>
                <w:rFonts w:hint="eastAsia" w:ascii="Times New Roman" w:hAnsi="Times New Roman" w:eastAsia="宋体" w:cs="Times New Roman"/>
                <w:color w:val="auto"/>
                <w:spacing w:val="-11"/>
                <w:sz w:val="21"/>
                <w:szCs w:val="21"/>
                <w:highlight w:val="none"/>
                <w:lang w:val="en-US" w:eastAsia="zh-CN"/>
              </w:rPr>
              <w:t>分）</w:t>
            </w:r>
          </w:p>
          <w:p w14:paraId="3E1DE3C1">
            <w:pPr>
              <w:pStyle w:val="17"/>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kern w:val="2"/>
                <w:sz w:val="21"/>
                <w:highlight w:val="none"/>
                <w:lang w:val="en-US" w:eastAsia="zh-CN"/>
              </w:rPr>
            </w:pPr>
          </w:p>
        </w:tc>
        <w:tc>
          <w:tcPr>
            <w:tcW w:w="0" w:type="auto"/>
            <w:noWrap w:val="0"/>
            <w:vAlign w:val="center"/>
          </w:tcPr>
          <w:p w14:paraId="34A742A5">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jc w:val="left"/>
              <w:rPr>
                <w:rFonts w:hint="eastAsia" w:ascii="宋体" w:hAnsi="宋体" w:eastAsia="宋体" w:cs="宋体"/>
                <w:bCs/>
                <w:color w:val="auto"/>
                <w:kern w:val="2"/>
                <w:sz w:val="21"/>
                <w:highlight w:val="none"/>
                <w:lang w:val="en-US" w:eastAsia="zh-CN"/>
              </w:rPr>
            </w:pPr>
            <w:r>
              <w:rPr>
                <w:rFonts w:hint="eastAsia" w:ascii="Calibri" w:hAnsi="Calibri" w:cs="Calibri"/>
                <w:color w:val="auto"/>
                <w:spacing w:val="0"/>
                <w:sz w:val="21"/>
                <w:highlight w:val="none"/>
              </w:rPr>
              <w:t>服务</w:t>
            </w:r>
            <w:r>
              <w:rPr>
                <w:rFonts w:hint="eastAsia" w:ascii="Calibri" w:hAnsi="Calibri" w:cs="Calibri"/>
                <w:color w:val="auto"/>
                <w:spacing w:val="0"/>
                <w:sz w:val="21"/>
                <w:highlight w:val="none"/>
                <w:lang w:eastAsia="zh-CN"/>
              </w:rPr>
              <w:t>管理</w:t>
            </w:r>
            <w:r>
              <w:rPr>
                <w:rFonts w:hint="eastAsia" w:ascii="Calibri" w:hAnsi="Calibri" w:cs="Calibri"/>
                <w:color w:val="auto"/>
                <w:spacing w:val="0"/>
                <w:sz w:val="21"/>
                <w:highlight w:val="none"/>
              </w:rPr>
              <w:t>质量</w:t>
            </w:r>
            <w:r>
              <w:rPr>
                <w:rFonts w:hint="eastAsia" w:ascii="宋体" w:hAnsi="宋体" w:eastAsia="宋体" w:cs="宋体"/>
                <w:bCs/>
                <w:color w:val="auto"/>
                <w:kern w:val="2"/>
                <w:sz w:val="21"/>
                <w:highlight w:val="none"/>
                <w:lang w:val="en-US" w:eastAsia="zh-CN"/>
              </w:rPr>
              <w:t>分（满分20分，不满足一档或未提供本项内容的计0分）。</w:t>
            </w:r>
          </w:p>
          <w:p w14:paraId="1F54024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cs="Calibri"/>
                <w:color w:val="auto"/>
                <w:szCs w:val="21"/>
                <w:highlight w:val="none"/>
              </w:rPr>
            </w:pPr>
            <w:r>
              <w:rPr>
                <w:rFonts w:hint="eastAsia" w:ascii="宋体" w:hAnsi="宋体" w:cs="Calibri"/>
                <w:color w:val="auto"/>
                <w:szCs w:val="21"/>
                <w:highlight w:val="none"/>
              </w:rPr>
              <w:t>一档（</w:t>
            </w:r>
            <w:r>
              <w:rPr>
                <w:rFonts w:hint="eastAsia" w:ascii="宋体" w:hAnsi="宋体" w:cs="Calibri"/>
                <w:color w:val="auto"/>
                <w:szCs w:val="21"/>
                <w:highlight w:val="none"/>
                <w:lang w:val="en-US" w:eastAsia="zh-CN"/>
              </w:rPr>
              <w:t>5</w:t>
            </w:r>
            <w:r>
              <w:rPr>
                <w:rFonts w:hint="eastAsia" w:ascii="宋体" w:hAnsi="宋体" w:cs="Calibri"/>
                <w:color w:val="auto"/>
                <w:szCs w:val="21"/>
                <w:highlight w:val="none"/>
              </w:rPr>
              <w:t>分）：按照项目的考核标准接受服务质量考核，为该项目提供基本的项目管理制度、质量保障管理制度、安全生产管理制度、安全保密制度、档案管理制度、应急预案制度；缺任一项不得分。</w:t>
            </w:r>
          </w:p>
          <w:p w14:paraId="39A3138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eastAsia="宋体" w:cs="Times New Roman"/>
                <w:color w:val="auto"/>
                <w:szCs w:val="21"/>
                <w:highlight w:val="none"/>
              </w:rPr>
            </w:pPr>
            <w:r>
              <w:rPr>
                <w:rFonts w:hint="eastAsia" w:ascii="宋体" w:hAnsi="宋体" w:cs="Calibri"/>
                <w:color w:val="auto"/>
                <w:szCs w:val="21"/>
                <w:highlight w:val="none"/>
              </w:rPr>
              <w:t>二档（</w:t>
            </w:r>
            <w:r>
              <w:rPr>
                <w:rFonts w:hint="eastAsia" w:ascii="宋体" w:hAnsi="宋体" w:cs="Calibri"/>
                <w:color w:val="auto"/>
                <w:szCs w:val="21"/>
                <w:highlight w:val="none"/>
                <w:lang w:val="en-US" w:eastAsia="zh-CN"/>
              </w:rPr>
              <w:t>10</w:t>
            </w:r>
            <w:r>
              <w:rPr>
                <w:rFonts w:hint="eastAsia" w:ascii="宋体" w:hAnsi="宋体" w:cs="Calibri"/>
                <w:color w:val="auto"/>
                <w:szCs w:val="21"/>
                <w:highlight w:val="none"/>
              </w:rPr>
              <w:t>分）：满足一档要求，各项制度制定合理、内容完整、有针对性、可行性；对运营服务管理能提供信息化数据采集、整理和分析能力，</w:t>
            </w:r>
            <w:r>
              <w:rPr>
                <w:rFonts w:hint="eastAsia" w:ascii="宋体" w:hAnsi="宋体" w:cs="Calibri"/>
                <w:color w:val="auto"/>
                <w:szCs w:val="21"/>
                <w:highlight w:val="none"/>
                <w:lang w:eastAsia="zh-CN"/>
              </w:rPr>
              <w:t>能基本</w:t>
            </w:r>
            <w:r>
              <w:rPr>
                <w:rFonts w:hint="eastAsia" w:ascii="宋体" w:hAnsi="宋体" w:cs="Calibri"/>
                <w:color w:val="auto"/>
                <w:szCs w:val="21"/>
                <w:highlight w:val="none"/>
              </w:rPr>
              <w:t>满足就业服务数据管理需求；</w:t>
            </w:r>
            <w:r>
              <w:rPr>
                <w:rFonts w:hint="eastAsia" w:ascii="宋体" w:hAnsi="宋体" w:cs="Calibri"/>
                <w:color w:val="auto"/>
                <w:szCs w:val="21"/>
                <w:highlight w:val="none"/>
                <w:lang w:eastAsia="zh-CN"/>
              </w:rPr>
              <w:t>提供</w:t>
            </w:r>
            <w:r>
              <w:rPr>
                <w:rFonts w:hint="eastAsia" w:ascii="宋体" w:hAnsi="宋体" w:eastAsia="宋体" w:cs="Times New Roman"/>
                <w:color w:val="auto"/>
                <w:szCs w:val="21"/>
                <w:highlight w:val="none"/>
                <w:lang w:eastAsia="zh-CN"/>
              </w:rPr>
              <w:t>问题响应时间、</w:t>
            </w:r>
            <w:r>
              <w:rPr>
                <w:rFonts w:hint="eastAsia" w:ascii="宋体" w:hAnsi="宋体" w:cs="Times New Roman"/>
                <w:color w:val="auto"/>
                <w:szCs w:val="21"/>
                <w:highlight w:val="none"/>
                <w:lang w:eastAsia="zh-CN"/>
              </w:rPr>
              <w:t>舆情处理、</w:t>
            </w:r>
            <w:r>
              <w:rPr>
                <w:rFonts w:hint="eastAsia" w:ascii="宋体" w:hAnsi="宋体" w:eastAsia="宋体" w:cs="Times New Roman"/>
                <w:color w:val="auto"/>
                <w:szCs w:val="21"/>
                <w:highlight w:val="none"/>
              </w:rPr>
              <w:t>责任事故处理、按时足额发放员工工资、服务质量等</w:t>
            </w:r>
            <w:r>
              <w:rPr>
                <w:rFonts w:hint="eastAsia" w:ascii="宋体" w:hAnsi="宋体" w:cs="Times New Roman"/>
                <w:color w:val="auto"/>
                <w:szCs w:val="21"/>
                <w:highlight w:val="none"/>
                <w:lang w:eastAsia="zh-CN"/>
              </w:rPr>
              <w:t>承诺，</w:t>
            </w:r>
            <w:r>
              <w:rPr>
                <w:rFonts w:hint="eastAsia" w:ascii="宋体" w:hAnsi="宋体" w:eastAsia="宋体" w:cs="Times New Roman"/>
                <w:color w:val="auto"/>
                <w:szCs w:val="21"/>
                <w:highlight w:val="none"/>
              </w:rPr>
              <w:t>内容齐全，陈述详细，有操作性及针对性</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 xml:space="preserve"> </w:t>
            </w:r>
          </w:p>
          <w:p w14:paraId="74F02A2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cs="Calibri"/>
                <w:color w:val="auto"/>
                <w:szCs w:val="21"/>
                <w:highlight w:val="none"/>
              </w:rPr>
            </w:pPr>
            <w:r>
              <w:rPr>
                <w:rFonts w:hint="eastAsia" w:ascii="宋体" w:hAnsi="宋体" w:cs="Calibri"/>
                <w:color w:val="auto"/>
                <w:szCs w:val="21"/>
                <w:highlight w:val="none"/>
              </w:rPr>
              <w:t>三档（</w:t>
            </w:r>
            <w:r>
              <w:rPr>
                <w:rFonts w:hint="eastAsia" w:ascii="宋体" w:hAnsi="宋体" w:cs="Calibri"/>
                <w:color w:val="auto"/>
                <w:szCs w:val="21"/>
                <w:highlight w:val="none"/>
                <w:lang w:val="en-US" w:eastAsia="zh-CN"/>
              </w:rPr>
              <w:t>15</w:t>
            </w:r>
            <w:r>
              <w:rPr>
                <w:rFonts w:hint="eastAsia" w:ascii="宋体" w:hAnsi="宋体" w:cs="Calibri"/>
                <w:color w:val="auto"/>
                <w:szCs w:val="21"/>
                <w:highlight w:val="none"/>
              </w:rPr>
              <w:t>分）：满</w:t>
            </w:r>
            <w:r>
              <w:rPr>
                <w:rFonts w:hint="eastAsia" w:ascii="宋体" w:hAnsi="宋体" w:eastAsia="宋体" w:cs="Times New Roman"/>
                <w:color w:val="auto"/>
                <w:szCs w:val="21"/>
                <w:highlight w:val="none"/>
              </w:rPr>
              <w:t>足二档要求，</w:t>
            </w:r>
            <w:r>
              <w:rPr>
                <w:rFonts w:hint="eastAsia" w:ascii="宋体" w:hAnsi="宋体" w:eastAsia="宋体" w:cs="宋体"/>
                <w:color w:val="auto"/>
                <w:highlight w:val="none"/>
                <w:lang w:val="en-US" w:eastAsia="zh-CN"/>
              </w:rPr>
              <w:t>能合理运用信息服务平台</w:t>
            </w:r>
            <w:r>
              <w:rPr>
                <w:rFonts w:hint="eastAsia" w:ascii="宋体" w:hAnsi="宋体" w:eastAsia="宋体" w:cs="Times New Roman"/>
                <w:color w:val="auto"/>
                <w:szCs w:val="21"/>
                <w:highlight w:val="none"/>
              </w:rPr>
              <w:t>，通过智能化服务手段提升运营服务和管理能力，能建立多级</w:t>
            </w:r>
            <w:r>
              <w:rPr>
                <w:rFonts w:hint="eastAsia" w:ascii="宋体" w:hAnsi="宋体" w:cs="Calibri"/>
                <w:color w:val="auto"/>
                <w:szCs w:val="21"/>
                <w:highlight w:val="none"/>
              </w:rPr>
              <w:t>调度</w:t>
            </w:r>
            <w:r>
              <w:rPr>
                <w:rFonts w:hint="eastAsia" w:ascii="宋体" w:hAnsi="宋体" w:cs="Calibri"/>
                <w:color w:val="auto"/>
                <w:szCs w:val="21"/>
                <w:highlight w:val="none"/>
                <w:lang w:eastAsia="zh-CN"/>
              </w:rPr>
              <w:t>监测</w:t>
            </w:r>
            <w:r>
              <w:rPr>
                <w:rFonts w:hint="eastAsia" w:ascii="宋体" w:hAnsi="宋体" w:cs="Calibri"/>
                <w:color w:val="auto"/>
                <w:szCs w:val="21"/>
                <w:highlight w:val="none"/>
              </w:rPr>
              <w:t>机制，能实现分站点、分时段、分类型等服务数据监测、分析、统计、调度、展示，科学直观地了解运营方、求职人员、用人单位有关服务动态和运营数据，确保数据的真实性及准确性，保障就业服务工作质量。</w:t>
            </w:r>
          </w:p>
          <w:p w14:paraId="0E46E4D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eastAsia="宋体" w:cs="宋体"/>
                <w:bCs/>
                <w:color w:val="auto"/>
                <w:kern w:val="2"/>
                <w:sz w:val="21"/>
                <w:highlight w:val="none"/>
                <w:lang w:val="en-US" w:eastAsia="zh-CN"/>
              </w:rPr>
            </w:pPr>
            <w:r>
              <w:rPr>
                <w:rFonts w:hint="eastAsia" w:ascii="宋体" w:hAnsi="宋体" w:cs="Calibri"/>
                <w:color w:val="auto"/>
                <w:szCs w:val="21"/>
                <w:highlight w:val="none"/>
                <w:lang w:eastAsia="zh-CN"/>
              </w:rPr>
              <w:t>四</w:t>
            </w:r>
            <w:r>
              <w:rPr>
                <w:rFonts w:hint="eastAsia" w:ascii="宋体" w:hAnsi="宋体" w:cs="Calibri"/>
                <w:color w:val="auto"/>
                <w:szCs w:val="21"/>
                <w:highlight w:val="none"/>
              </w:rPr>
              <w:t>档（</w:t>
            </w:r>
            <w:r>
              <w:rPr>
                <w:rFonts w:hint="eastAsia" w:ascii="宋体" w:hAnsi="宋体" w:cs="Calibri"/>
                <w:color w:val="auto"/>
                <w:szCs w:val="21"/>
                <w:highlight w:val="none"/>
                <w:lang w:val="en-US" w:eastAsia="zh-CN"/>
              </w:rPr>
              <w:t>20</w:t>
            </w:r>
            <w:r>
              <w:rPr>
                <w:rFonts w:hint="eastAsia" w:ascii="宋体" w:hAnsi="宋体" w:cs="Calibri"/>
                <w:color w:val="auto"/>
                <w:szCs w:val="21"/>
                <w:highlight w:val="none"/>
              </w:rPr>
              <w:t>分）：满足</w:t>
            </w:r>
            <w:r>
              <w:rPr>
                <w:rFonts w:hint="eastAsia" w:ascii="宋体" w:hAnsi="宋体" w:cs="Calibri"/>
                <w:color w:val="auto"/>
                <w:szCs w:val="21"/>
                <w:highlight w:val="none"/>
                <w:lang w:eastAsia="zh-CN"/>
              </w:rPr>
              <w:t>三</w:t>
            </w:r>
            <w:r>
              <w:rPr>
                <w:rFonts w:hint="eastAsia" w:ascii="宋体" w:hAnsi="宋体" w:cs="Calibri"/>
                <w:color w:val="auto"/>
                <w:szCs w:val="21"/>
                <w:highlight w:val="none"/>
              </w:rPr>
              <w:t>档要求，</w:t>
            </w:r>
            <w:r>
              <w:rPr>
                <w:rFonts w:hint="eastAsia" w:ascii="宋体" w:hAnsi="宋体" w:cs="Calibri"/>
                <w:color w:val="auto"/>
                <w:szCs w:val="21"/>
                <w:highlight w:val="none"/>
                <w:lang w:eastAsia="zh-CN"/>
              </w:rPr>
              <w:t>能结合武鸣区区域特色、产业布局及发展现状等，</w:t>
            </w:r>
            <w:r>
              <w:rPr>
                <w:rFonts w:hint="eastAsia" w:ascii="宋体" w:hAnsi="宋体" w:cs="Calibri"/>
                <w:color w:val="auto"/>
                <w:szCs w:val="21"/>
                <w:highlight w:val="none"/>
              </w:rPr>
              <w:t>在信息系统总体框架下开发属地就业</w:t>
            </w:r>
            <w:r>
              <w:rPr>
                <w:rFonts w:hint="eastAsia" w:ascii="宋体" w:hAnsi="宋体" w:cs="Calibri"/>
                <w:color w:val="auto"/>
                <w:szCs w:val="21"/>
                <w:highlight w:val="none"/>
                <w:lang w:eastAsia="zh-CN"/>
              </w:rPr>
              <w:t>创业服务数智化应用场景，提供具有武鸣区特色的人工智能</w:t>
            </w:r>
            <w:r>
              <w:rPr>
                <w:rFonts w:hint="eastAsia" w:ascii="宋体" w:hAnsi="宋体" w:cs="Calibri"/>
                <w:color w:val="auto"/>
                <w:szCs w:val="21"/>
                <w:highlight w:val="none"/>
                <w:lang w:val="en-US" w:eastAsia="zh-CN"/>
              </w:rPr>
              <w:t>+就业场景</w:t>
            </w:r>
            <w:r>
              <w:rPr>
                <w:rFonts w:hint="eastAsia" w:ascii="宋体" w:hAnsi="宋体" w:cs="Calibri"/>
                <w:color w:val="auto"/>
                <w:szCs w:val="21"/>
                <w:highlight w:val="none"/>
                <w:lang w:eastAsia="zh-CN"/>
              </w:rPr>
              <w:t>应用方案，利用</w:t>
            </w:r>
            <w:r>
              <w:rPr>
                <w:rFonts w:hint="eastAsia" w:ascii="宋体" w:hAnsi="宋体" w:cs="Calibri"/>
                <w:color w:val="auto"/>
                <w:szCs w:val="21"/>
                <w:highlight w:val="none"/>
                <w:lang w:val="en-US" w:eastAsia="zh-CN"/>
              </w:rPr>
              <w:t>AI技术，实现就业创业服务精准化、智能化，</w:t>
            </w:r>
            <w:r>
              <w:rPr>
                <w:rFonts w:hint="eastAsia" w:ascii="宋体" w:hAnsi="宋体" w:cs="Calibri"/>
                <w:color w:val="auto"/>
                <w:szCs w:val="21"/>
                <w:highlight w:val="none"/>
                <w:lang w:eastAsia="zh-CN"/>
              </w:rPr>
              <w:t>方案有针对性、可操作性，并承诺成交后投入开发应用。</w:t>
            </w:r>
          </w:p>
        </w:tc>
        <w:tc>
          <w:tcPr>
            <w:tcW w:w="0" w:type="auto"/>
            <w:noWrap w:val="0"/>
            <w:vAlign w:val="center"/>
          </w:tcPr>
          <w:p w14:paraId="3056C692">
            <w:pPr>
              <w:pStyle w:val="17"/>
              <w:keepNext w:val="0"/>
              <w:keepLines w:val="0"/>
              <w:suppressLineNumbers w:val="0"/>
              <w:spacing w:before="0" w:beforeAutospacing="0" w:after="0" w:afterAutospacing="0" w:line="360" w:lineRule="auto"/>
              <w:ind w:left="0" w:right="0"/>
              <w:jc w:val="left"/>
              <w:rPr>
                <w:rFonts w:hint="default"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20</w:t>
            </w:r>
          </w:p>
        </w:tc>
      </w:tr>
      <w:tr w14:paraId="4FA0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6F97B7A8">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2.4</w:t>
            </w:r>
          </w:p>
        </w:tc>
        <w:tc>
          <w:tcPr>
            <w:tcW w:w="0" w:type="auto"/>
            <w:noWrap w:val="0"/>
            <w:vAlign w:val="center"/>
          </w:tcPr>
          <w:p w14:paraId="41C045C1">
            <w:pPr>
              <w:pStyle w:val="17"/>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售后服务（满分10分）</w:t>
            </w:r>
          </w:p>
        </w:tc>
        <w:tc>
          <w:tcPr>
            <w:tcW w:w="0" w:type="auto"/>
            <w:noWrap w:val="0"/>
            <w:vAlign w:val="center"/>
          </w:tcPr>
          <w:p w14:paraId="7CF6209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leftChars="0" w:right="0"/>
              <w:jc w:val="left"/>
              <w:rPr>
                <w:rFonts w:hint="eastAsia" w:ascii="宋体" w:hAnsi="宋体" w:eastAsia="宋体" w:cs="宋体"/>
                <w:color w:val="auto"/>
                <w:szCs w:val="21"/>
                <w:highlight w:val="none"/>
                <w:lang w:eastAsia="zh-CN"/>
              </w:rPr>
            </w:pPr>
            <w:r>
              <w:rPr>
                <w:rFonts w:hint="eastAsia" w:ascii="宋体" w:hAnsi="宋体" w:eastAsia="宋体" w:cs="宋体"/>
                <w:bCs/>
                <w:color w:val="auto"/>
                <w:kern w:val="2"/>
                <w:sz w:val="21"/>
                <w:highlight w:val="none"/>
                <w:lang w:val="en-US" w:eastAsia="zh-CN"/>
              </w:rPr>
              <w:t>售后服务分（满分1</w:t>
            </w:r>
            <w:r>
              <w:rPr>
                <w:rFonts w:hint="eastAsia" w:ascii="宋体" w:hAnsi="宋体" w:cs="宋体"/>
                <w:bCs/>
                <w:color w:val="auto"/>
                <w:kern w:val="2"/>
                <w:sz w:val="21"/>
                <w:highlight w:val="none"/>
                <w:lang w:val="en-US" w:eastAsia="zh-CN"/>
              </w:rPr>
              <w:t>0</w:t>
            </w:r>
            <w:r>
              <w:rPr>
                <w:rFonts w:hint="eastAsia" w:ascii="宋体" w:hAnsi="宋体" w:eastAsia="宋体" w:cs="宋体"/>
                <w:bCs/>
                <w:color w:val="auto"/>
                <w:kern w:val="2"/>
                <w:sz w:val="21"/>
                <w:highlight w:val="none"/>
                <w:lang w:val="en-US" w:eastAsia="zh-CN"/>
              </w:rPr>
              <w:t>分，不满足一档或未提供本项内容的计0分）。</w:t>
            </w:r>
          </w:p>
          <w:p w14:paraId="5C0E12B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baseline"/>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一</w:t>
            </w:r>
            <w:r>
              <w:rPr>
                <w:rFonts w:hint="eastAsia" w:ascii="宋体" w:hAnsi="宋体" w:eastAsia="宋体" w:cs="宋体"/>
                <w:color w:val="auto"/>
                <w:highlight w:val="none"/>
                <w:lang w:val="en-US" w:eastAsia="zh-CN"/>
              </w:rPr>
              <w:t>档（</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分）</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售后</w:t>
            </w:r>
            <w:r>
              <w:rPr>
                <w:rFonts w:hint="eastAsia" w:ascii="宋体" w:hAnsi="宋体" w:eastAsia="宋体" w:cs="宋体"/>
                <w:color w:val="auto"/>
                <w:szCs w:val="21"/>
                <w:highlight w:val="none"/>
                <w:lang w:eastAsia="zh-CN"/>
              </w:rPr>
              <w:t>服务</w:t>
            </w:r>
            <w:r>
              <w:rPr>
                <w:rFonts w:hint="eastAsia" w:ascii="宋体" w:hAnsi="宋体" w:cs="宋体"/>
                <w:color w:val="auto"/>
                <w:szCs w:val="21"/>
                <w:highlight w:val="none"/>
                <w:lang w:eastAsia="zh-CN"/>
              </w:rPr>
              <w:t>有明确的响应时限、</w:t>
            </w:r>
            <w:r>
              <w:rPr>
                <w:rFonts w:hint="eastAsia" w:ascii="宋体" w:hAnsi="宋体" w:cs="宋体"/>
                <w:color w:val="auto"/>
                <w:highlight w:val="none"/>
                <w:lang w:eastAsia="zh-CN"/>
              </w:rPr>
              <w:t>回访制度、备品备件、人员替补、投诉处理等内容，能</w:t>
            </w:r>
            <w:r>
              <w:rPr>
                <w:rFonts w:hint="eastAsia" w:ascii="宋体" w:hAnsi="宋体" w:eastAsia="宋体" w:cs="宋体"/>
                <w:color w:val="auto"/>
                <w:highlight w:val="none"/>
                <w:lang w:val="en-US" w:eastAsia="zh-CN"/>
              </w:rPr>
              <w:t>基本</w:t>
            </w:r>
            <w:r>
              <w:rPr>
                <w:rFonts w:hint="eastAsia" w:ascii="宋体" w:hAnsi="宋体" w:cs="宋体"/>
                <w:color w:val="auto"/>
                <w:highlight w:val="none"/>
                <w:lang w:val="en-US" w:eastAsia="zh-CN"/>
              </w:rPr>
              <w:t>满足各</w:t>
            </w:r>
            <w:r>
              <w:rPr>
                <w:rFonts w:hint="eastAsia" w:ascii="宋体" w:hAnsi="宋体" w:eastAsia="宋体" w:cs="宋体"/>
                <w:color w:val="auto"/>
                <w:highlight w:val="none"/>
                <w:lang w:val="en-US" w:eastAsia="zh-CN"/>
              </w:rPr>
              <w:t>就业服务网点日常运</w:t>
            </w:r>
            <w:r>
              <w:rPr>
                <w:rFonts w:hint="eastAsia" w:ascii="宋体" w:hAnsi="宋体" w:cs="宋体"/>
                <w:color w:val="auto"/>
                <w:highlight w:val="none"/>
                <w:lang w:val="en-US" w:eastAsia="zh-CN"/>
              </w:rPr>
              <w:t>维</w:t>
            </w:r>
            <w:r>
              <w:rPr>
                <w:rFonts w:hint="eastAsia" w:ascii="宋体" w:hAnsi="宋体" w:eastAsia="宋体" w:cs="宋体"/>
                <w:color w:val="auto"/>
                <w:highlight w:val="none"/>
                <w:lang w:val="en-US" w:eastAsia="zh-CN"/>
              </w:rPr>
              <w:t>保障需求</w:t>
            </w:r>
            <w:r>
              <w:rPr>
                <w:rFonts w:hint="eastAsia" w:ascii="宋体" w:hAnsi="宋体" w:cs="宋体"/>
                <w:color w:val="auto"/>
                <w:highlight w:val="none"/>
                <w:lang w:val="en-US" w:eastAsia="zh-CN"/>
              </w:rPr>
              <w:t>，不出现服务空窗</w:t>
            </w:r>
            <w:r>
              <w:rPr>
                <w:rFonts w:hint="eastAsia" w:ascii="宋体" w:hAnsi="宋体" w:cs="宋体"/>
                <w:color w:val="auto"/>
                <w:highlight w:val="none"/>
                <w:lang w:eastAsia="zh-CN"/>
              </w:rPr>
              <w:t>，设立有针对服务站的</w:t>
            </w:r>
            <w:r>
              <w:rPr>
                <w:rFonts w:hint="eastAsia" w:ascii="宋体" w:hAnsi="宋体" w:eastAsia="宋体" w:cs="宋体"/>
                <w:color w:val="auto"/>
                <w:highlight w:val="none"/>
                <w:lang w:eastAsia="zh-CN"/>
              </w:rPr>
              <w:t>投诉、维权</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纠纷</w:t>
            </w:r>
            <w:r>
              <w:rPr>
                <w:rFonts w:hint="eastAsia" w:ascii="宋体" w:hAnsi="宋体" w:cs="宋体"/>
                <w:color w:val="auto"/>
                <w:highlight w:val="none"/>
                <w:lang w:eastAsia="zh-CN"/>
              </w:rPr>
              <w:t>解决</w:t>
            </w:r>
            <w:r>
              <w:rPr>
                <w:rFonts w:hint="eastAsia" w:ascii="宋体" w:hAnsi="宋体" w:eastAsia="宋体" w:cs="宋体"/>
                <w:color w:val="auto"/>
                <w:highlight w:val="none"/>
                <w:lang w:eastAsia="zh-CN"/>
              </w:rPr>
              <w:t>等内容。</w:t>
            </w:r>
          </w:p>
          <w:p w14:paraId="7997F89C">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leftChars="0" w:right="0" w:firstLine="420" w:firstLineChars="200"/>
              <w:rPr>
                <w:rFonts w:hint="default"/>
                <w:color w:val="auto"/>
                <w:highlight w:val="none"/>
                <w:lang w:val="en-US" w:eastAsia="zh-CN"/>
              </w:rPr>
            </w:pPr>
            <w:r>
              <w:rPr>
                <w:rFonts w:hint="eastAsia" w:ascii="宋体" w:hAnsi="宋体" w:cs="宋体"/>
                <w:color w:val="auto"/>
                <w:highlight w:val="none"/>
                <w:lang w:val="en-US" w:eastAsia="zh-CN"/>
              </w:rPr>
              <w:t>二</w:t>
            </w:r>
            <w:r>
              <w:rPr>
                <w:rFonts w:hint="eastAsia" w:ascii="宋体" w:hAnsi="宋体" w:eastAsia="宋体" w:cs="宋体"/>
                <w:color w:val="auto"/>
                <w:highlight w:val="none"/>
                <w:lang w:val="en-US" w:eastAsia="zh-CN"/>
              </w:rPr>
              <w:t>档（1</w:t>
            </w:r>
            <w:r>
              <w:rPr>
                <w:rFonts w:hint="eastAsia" w:ascii="宋体" w:hAnsi="宋体" w:cs="宋体"/>
                <w:color w:val="auto"/>
                <w:highlight w:val="none"/>
                <w:lang w:val="en-US" w:eastAsia="zh-CN"/>
              </w:rPr>
              <w:t>0</w:t>
            </w:r>
            <w:r>
              <w:rPr>
                <w:rFonts w:hint="eastAsia" w:ascii="宋体" w:hAnsi="宋体" w:eastAsia="宋体" w:cs="宋体"/>
                <w:color w:val="auto"/>
                <w:highlight w:val="none"/>
                <w:lang w:val="en-US" w:eastAsia="zh-CN"/>
              </w:rPr>
              <w:t>分）：</w:t>
            </w:r>
            <w:r>
              <w:rPr>
                <w:rFonts w:hint="eastAsia" w:ascii="宋体" w:hAnsi="宋体" w:cs="宋体"/>
                <w:color w:val="auto"/>
                <w:highlight w:val="none"/>
                <w:lang w:eastAsia="zh-CN"/>
              </w:rPr>
              <w:t>满足一</w:t>
            </w:r>
            <w:r>
              <w:rPr>
                <w:rFonts w:hint="eastAsia" w:ascii="宋体" w:hAnsi="宋体" w:eastAsia="宋体" w:cs="宋体"/>
                <w:color w:val="auto"/>
                <w:highlight w:val="none"/>
                <w:lang w:eastAsia="zh-CN"/>
              </w:rPr>
              <w:t>档</w:t>
            </w:r>
            <w:r>
              <w:rPr>
                <w:rFonts w:hint="eastAsia" w:ascii="宋体" w:hAnsi="宋体" w:cs="宋体"/>
                <w:color w:val="auto"/>
                <w:highlight w:val="none"/>
                <w:lang w:eastAsia="zh-CN"/>
              </w:rPr>
              <w:t>要求，</w:t>
            </w:r>
            <w:r>
              <w:rPr>
                <w:rFonts w:hint="eastAsia" w:ascii="宋体" w:hAnsi="宋体" w:eastAsia="宋体" w:cs="宋体"/>
                <w:color w:val="auto"/>
                <w:highlight w:val="none"/>
                <w:lang w:eastAsia="zh-CN"/>
              </w:rPr>
              <w:t>配备固定驻场人员</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建立考核整改机制（</w:t>
            </w:r>
            <w:r>
              <w:rPr>
                <w:rFonts w:hint="eastAsia" w:ascii="宋体" w:hAnsi="宋体" w:cs="宋体"/>
                <w:color w:val="auto"/>
                <w:highlight w:val="none"/>
                <w:lang w:eastAsia="zh-CN"/>
              </w:rPr>
              <w:t>备件清单及补给周期、</w:t>
            </w:r>
            <w:r>
              <w:rPr>
                <w:rFonts w:hint="eastAsia" w:ascii="宋体" w:hAnsi="宋体" w:eastAsia="宋体" w:cs="宋体"/>
                <w:color w:val="auto"/>
                <w:highlight w:val="none"/>
                <w:lang w:eastAsia="zh-CN"/>
              </w:rPr>
              <w:t>人员替补方案</w:t>
            </w:r>
            <w:r>
              <w:rPr>
                <w:rFonts w:hint="eastAsia" w:ascii="宋体" w:hAnsi="宋体" w:cs="宋体"/>
                <w:color w:val="auto"/>
                <w:highlight w:val="none"/>
                <w:lang w:eastAsia="zh-CN"/>
              </w:rPr>
              <w:t>、投诉处理流程等</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；针对</w:t>
            </w:r>
            <w:r>
              <w:rPr>
                <w:rFonts w:hint="eastAsia" w:ascii="宋体" w:hAnsi="宋体" w:eastAsia="宋体" w:cs="宋体"/>
                <w:color w:val="auto"/>
                <w:highlight w:val="none"/>
                <w:lang w:eastAsia="zh-CN"/>
              </w:rPr>
              <w:t>旺季（开春务工、秋招）</w:t>
            </w:r>
            <w:r>
              <w:rPr>
                <w:rFonts w:hint="eastAsia" w:ascii="宋体" w:hAnsi="宋体" w:cs="宋体"/>
                <w:color w:val="auto"/>
                <w:highlight w:val="none"/>
                <w:lang w:eastAsia="zh-CN"/>
              </w:rPr>
              <w:t>制定专项保障方案，缩短响应时间，确保备品备件、人员到位，保障高峰期各</w:t>
            </w:r>
            <w:r>
              <w:rPr>
                <w:rFonts w:hint="eastAsia" w:ascii="宋体" w:hAnsi="宋体" w:eastAsia="宋体" w:cs="宋体"/>
                <w:color w:val="auto"/>
                <w:highlight w:val="none"/>
                <w:lang w:val="en-US" w:eastAsia="zh-CN"/>
              </w:rPr>
              <w:t>就业服务网点</w:t>
            </w:r>
            <w:r>
              <w:rPr>
                <w:rFonts w:hint="eastAsia" w:ascii="宋体" w:hAnsi="宋体" w:cs="宋体"/>
                <w:color w:val="auto"/>
                <w:highlight w:val="none"/>
                <w:lang w:eastAsia="zh-CN"/>
              </w:rPr>
              <w:t>的承载服务；</w:t>
            </w:r>
            <w:r>
              <w:rPr>
                <w:rFonts w:hint="eastAsia" w:ascii="宋体" w:hAnsi="宋体" w:eastAsia="宋体" w:cs="宋体"/>
                <w:color w:val="auto"/>
                <w:highlight w:val="none"/>
                <w:lang w:eastAsia="zh-CN"/>
              </w:rPr>
              <w:t>合同期满</w:t>
            </w:r>
            <w:r>
              <w:rPr>
                <w:rFonts w:hint="eastAsia" w:ascii="宋体" w:hAnsi="宋体" w:cs="宋体"/>
                <w:color w:val="auto"/>
                <w:highlight w:val="none"/>
                <w:lang w:eastAsia="zh-CN"/>
              </w:rPr>
              <w:t>交接提供完整清单，对甲方指定的运维人员提供操作培训、</w:t>
            </w:r>
            <w:r>
              <w:rPr>
                <w:rFonts w:hint="eastAsia" w:ascii="宋体" w:hAnsi="宋体" w:cs="宋体"/>
                <w:color w:val="auto"/>
                <w:highlight w:val="none"/>
                <w:lang w:val="en-US" w:eastAsia="zh-CN"/>
              </w:rPr>
              <w:t>长效咨询与就业指导延续服务</w:t>
            </w:r>
            <w:r>
              <w:rPr>
                <w:rFonts w:hint="eastAsia" w:ascii="宋体" w:hAnsi="宋体" w:eastAsia="宋体" w:cs="宋体"/>
                <w:color w:val="auto"/>
                <w:highlight w:val="none"/>
                <w:lang w:eastAsia="zh-CN"/>
              </w:rPr>
              <w:t>等</w:t>
            </w:r>
            <w:r>
              <w:rPr>
                <w:rFonts w:hint="eastAsia" w:ascii="宋体" w:hAnsi="宋体" w:cs="宋体"/>
                <w:color w:val="auto"/>
                <w:highlight w:val="none"/>
                <w:lang w:eastAsia="zh-CN"/>
              </w:rPr>
              <w:t>，</w:t>
            </w:r>
            <w:r>
              <w:rPr>
                <w:rFonts w:hint="eastAsia" w:ascii="宋体" w:hAnsi="宋体" w:eastAsia="宋体" w:cs="宋体"/>
                <w:color w:val="auto"/>
                <w:highlight w:val="none"/>
                <w:lang w:val="en-US" w:eastAsia="zh-CN"/>
              </w:rPr>
              <w:t>售后</w:t>
            </w:r>
            <w:r>
              <w:rPr>
                <w:rFonts w:hint="eastAsia" w:ascii="宋体" w:hAnsi="宋体" w:eastAsia="宋体" w:cs="宋体"/>
                <w:color w:val="auto"/>
                <w:highlight w:val="none"/>
                <w:lang w:eastAsia="zh-CN"/>
              </w:rPr>
              <w:t>服务承诺完善</w:t>
            </w:r>
            <w:r>
              <w:rPr>
                <w:rFonts w:hint="eastAsia" w:ascii="宋体" w:hAnsi="宋体" w:cs="宋体"/>
                <w:color w:val="auto"/>
                <w:highlight w:val="none"/>
                <w:lang w:eastAsia="zh-CN"/>
              </w:rPr>
              <w:t>全面。</w:t>
            </w:r>
          </w:p>
        </w:tc>
        <w:tc>
          <w:tcPr>
            <w:tcW w:w="0" w:type="auto"/>
            <w:noWrap w:val="0"/>
            <w:vAlign w:val="center"/>
          </w:tcPr>
          <w:p w14:paraId="0A7451A0">
            <w:pPr>
              <w:pStyle w:val="17"/>
              <w:keepNext w:val="0"/>
              <w:keepLines w:val="0"/>
              <w:suppressLineNumbers w:val="0"/>
              <w:spacing w:before="0" w:beforeAutospacing="0" w:after="0" w:afterAutospacing="0" w:line="360" w:lineRule="auto"/>
              <w:ind w:left="0" w:right="0"/>
              <w:jc w:val="left"/>
              <w:rPr>
                <w:rFonts w:hint="default" w:hAnsi="宋体" w:cs="宋体"/>
                <w:bCs/>
                <w:color w:val="auto"/>
                <w:kern w:val="2"/>
                <w:sz w:val="21"/>
                <w:highlight w:val="none"/>
                <w:lang w:val="en-US" w:eastAsia="zh-CN"/>
              </w:rPr>
            </w:pPr>
            <w:r>
              <w:rPr>
                <w:rFonts w:hint="eastAsia" w:hAnsi="宋体" w:cs="宋体"/>
                <w:bCs/>
                <w:color w:val="auto"/>
                <w:kern w:val="2"/>
                <w:sz w:val="21"/>
                <w:highlight w:val="none"/>
                <w:lang w:val="en-US" w:eastAsia="zh-CN"/>
              </w:rPr>
              <w:t>10</w:t>
            </w:r>
          </w:p>
        </w:tc>
      </w:tr>
      <w:tr w14:paraId="2FDE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234A1916">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w:t>
            </w:r>
            <w:r>
              <w:rPr>
                <w:rFonts w:hint="eastAsia" w:ascii="宋体" w:hAnsi="宋体" w:cs="宋体"/>
                <w:bCs/>
                <w:color w:val="auto"/>
                <w:szCs w:val="21"/>
                <w:highlight w:val="none"/>
                <w:lang w:val="en-US" w:eastAsia="zh-CN"/>
              </w:rPr>
              <w:t>5</w:t>
            </w:r>
          </w:p>
        </w:tc>
        <w:tc>
          <w:tcPr>
            <w:tcW w:w="0" w:type="auto"/>
            <w:noWrap w:val="0"/>
            <w:vAlign w:val="center"/>
          </w:tcPr>
          <w:p w14:paraId="2BB82A7E">
            <w:pPr>
              <w:pStyle w:val="17"/>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auto"/>
                <w:spacing w:val="-11"/>
                <w:sz w:val="21"/>
                <w:szCs w:val="21"/>
                <w:highlight w:val="none"/>
                <w:lang w:val="en-US" w:eastAsia="zh-CN"/>
              </w:rPr>
            </w:pPr>
            <w:r>
              <w:rPr>
                <w:rFonts w:hint="eastAsia" w:ascii="宋体" w:hAnsi="宋体" w:cs="Calibri"/>
                <w:color w:val="auto"/>
                <w:sz w:val="21"/>
                <w:szCs w:val="21"/>
                <w:highlight w:val="none"/>
                <w:lang w:eastAsia="zh-CN"/>
              </w:rPr>
              <w:t>拟投入</w:t>
            </w:r>
            <w:r>
              <w:rPr>
                <w:rFonts w:hint="eastAsia" w:ascii="宋体" w:hAnsi="宋体" w:cs="Calibri"/>
                <w:color w:val="auto"/>
                <w:sz w:val="21"/>
                <w:szCs w:val="21"/>
                <w:highlight w:val="none"/>
              </w:rPr>
              <w:t>人员</w:t>
            </w:r>
            <w:r>
              <w:rPr>
                <w:rFonts w:hint="eastAsia" w:ascii="Times New Roman" w:hAnsi="Times New Roman" w:eastAsia="宋体" w:cs="Times New Roman"/>
                <w:color w:val="auto"/>
                <w:spacing w:val="-11"/>
                <w:sz w:val="21"/>
                <w:szCs w:val="21"/>
                <w:highlight w:val="none"/>
                <w:lang w:val="en-US" w:eastAsia="zh-CN"/>
              </w:rPr>
              <w:t>（</w:t>
            </w:r>
            <w:r>
              <w:rPr>
                <w:rFonts w:hint="eastAsia" w:cs="Times New Roman"/>
                <w:color w:val="auto"/>
                <w:spacing w:val="-11"/>
                <w:sz w:val="21"/>
                <w:szCs w:val="21"/>
                <w:highlight w:val="none"/>
                <w:lang w:val="en-US" w:eastAsia="zh-CN"/>
              </w:rPr>
              <w:t>满分15分</w:t>
            </w:r>
            <w:r>
              <w:rPr>
                <w:rFonts w:hint="eastAsia" w:ascii="Times New Roman" w:hAnsi="Times New Roman" w:eastAsia="宋体" w:cs="Times New Roman"/>
                <w:color w:val="auto"/>
                <w:spacing w:val="-11"/>
                <w:sz w:val="21"/>
                <w:szCs w:val="21"/>
                <w:highlight w:val="none"/>
                <w:lang w:val="en-US" w:eastAsia="zh-CN"/>
              </w:rPr>
              <w:t>）</w:t>
            </w:r>
          </w:p>
          <w:p w14:paraId="7119AD3F">
            <w:pPr>
              <w:pStyle w:val="17"/>
              <w:keepNext w:val="0"/>
              <w:keepLines w:val="0"/>
              <w:suppressLineNumbers w:val="0"/>
              <w:spacing w:before="0" w:beforeAutospacing="0" w:after="0" w:afterAutospacing="0" w:line="360" w:lineRule="auto"/>
              <w:ind w:left="0" w:right="0"/>
              <w:jc w:val="both"/>
              <w:rPr>
                <w:rFonts w:hint="eastAsia" w:ascii="宋体" w:hAnsi="宋体" w:cs="Calibri"/>
                <w:color w:val="auto"/>
                <w:sz w:val="21"/>
                <w:szCs w:val="21"/>
                <w:highlight w:val="none"/>
                <w:lang w:val="en-US" w:eastAsia="zh-CN"/>
              </w:rPr>
            </w:pPr>
          </w:p>
        </w:tc>
        <w:tc>
          <w:tcPr>
            <w:tcW w:w="0" w:type="auto"/>
            <w:noWrap w:val="0"/>
            <w:vAlign w:val="center"/>
          </w:tcPr>
          <w:p w14:paraId="23D684BA">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hAnsi="宋体" w:eastAsia="宋体" w:cs="宋体"/>
                <w:bCs/>
                <w:color w:val="auto"/>
                <w:kern w:val="2"/>
                <w:sz w:val="21"/>
                <w:szCs w:val="21"/>
                <w:highlight w:val="none"/>
                <w:lang w:val="en-US" w:eastAsia="zh-CN"/>
              </w:rPr>
            </w:pPr>
            <w:r>
              <w:rPr>
                <w:rFonts w:hint="eastAsia" w:hAnsi="宋体" w:eastAsia="宋体" w:cs="宋体"/>
                <w:bCs/>
                <w:color w:val="auto"/>
                <w:kern w:val="2"/>
                <w:sz w:val="21"/>
                <w:szCs w:val="21"/>
                <w:highlight w:val="none"/>
                <w:lang w:val="en-US" w:eastAsia="zh-CN"/>
              </w:rPr>
              <w:t>1</w:t>
            </w:r>
            <w:r>
              <w:rPr>
                <w:rFonts w:hint="eastAsia" w:hAnsi="宋体" w:cs="宋体"/>
                <w:bCs/>
                <w:color w:val="auto"/>
                <w:kern w:val="2"/>
                <w:sz w:val="21"/>
                <w:szCs w:val="21"/>
                <w:highlight w:val="none"/>
                <w:lang w:val="en-US" w:eastAsia="zh-CN"/>
              </w:rPr>
              <w:t>.</w:t>
            </w:r>
            <w:r>
              <w:rPr>
                <w:rFonts w:hint="eastAsia" w:ascii="宋体" w:hAnsi="宋体" w:eastAsia="宋体" w:cs="宋体"/>
                <w:bCs/>
                <w:color w:val="auto"/>
                <w:kern w:val="2"/>
                <w:sz w:val="21"/>
                <w:szCs w:val="21"/>
                <w:highlight w:val="none"/>
                <w:lang w:val="en-US" w:eastAsia="zh-CN"/>
              </w:rPr>
              <w:t>项目负责人（满分</w:t>
            </w:r>
            <w:r>
              <w:rPr>
                <w:rFonts w:hint="eastAsia" w:hAnsi="宋体" w:eastAsia="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en-US" w:eastAsia="zh-CN"/>
              </w:rPr>
              <w:t>分）</w:t>
            </w:r>
            <w:r>
              <w:rPr>
                <w:rFonts w:hint="eastAsia" w:hAnsi="宋体" w:eastAsia="宋体" w:cs="宋体"/>
                <w:bCs/>
                <w:color w:val="auto"/>
                <w:kern w:val="2"/>
                <w:sz w:val="21"/>
                <w:szCs w:val="21"/>
                <w:highlight w:val="none"/>
                <w:lang w:val="en-US" w:eastAsia="zh-CN"/>
              </w:rPr>
              <w:t>：</w:t>
            </w:r>
          </w:p>
          <w:p w14:paraId="5B31A631">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项目负责人持有一级企业人力资源管理师或高级人力资源管理师证书的5分；具有二级至四级企业人力资源管理师或中级、初级人力资源管理师证书得2分；没有证书不得分。</w:t>
            </w:r>
          </w:p>
          <w:p w14:paraId="2D32BCAA">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211" w:firstLineChars="100"/>
              <w:textAlignment w:val="auto"/>
              <w:rPr>
                <w:rFonts w:hint="eastAsia" w:ascii="宋体" w:hAnsi="宋体" w:eastAsia="宋体" w:cs="宋体"/>
                <w:b/>
                <w:bCs/>
                <w:color w:val="auto"/>
                <w:kern w:val="2"/>
                <w:sz w:val="21"/>
                <w:szCs w:val="21"/>
                <w:highlight w:val="none"/>
                <w:lang w:val="en-US" w:eastAsia="zh-CN"/>
              </w:rPr>
            </w:pPr>
            <w:r>
              <w:rPr>
                <w:rFonts w:hint="eastAsia" w:ascii="宋体" w:hAnsi="宋体" w:eastAsia="宋体" w:cs="宋体"/>
                <w:b/>
                <w:bCs/>
                <w:color w:val="auto"/>
                <w:sz w:val="21"/>
                <w:szCs w:val="21"/>
                <w:highlight w:val="none"/>
                <w:lang w:eastAsia="zh-CN"/>
              </w:rPr>
              <w:t>注：</w:t>
            </w:r>
            <w:r>
              <w:rPr>
                <w:rFonts w:hint="eastAsia"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文件中需提供人员证书扫描件，并提供</w:t>
            </w:r>
            <w:r>
              <w:rPr>
                <w:rFonts w:hint="eastAsia"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标人在</w:t>
            </w:r>
            <w:r>
              <w:rPr>
                <w:rFonts w:hint="eastAsia"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标截止时间前半年内至少近1个月为其缴纳的社保证明或劳动合同</w:t>
            </w:r>
            <w:r>
              <w:rPr>
                <w:rFonts w:hint="eastAsia" w:hAnsi="宋体" w:cs="宋体"/>
                <w:b/>
                <w:bCs/>
                <w:color w:val="auto"/>
                <w:sz w:val="21"/>
                <w:szCs w:val="21"/>
                <w:highlight w:val="none"/>
                <w:lang w:eastAsia="zh-CN"/>
              </w:rPr>
              <w:t>复印件，无证明材料或材料不齐全的不得分。具有多个证书的只计一次分，按其获得最高证书计分。</w:t>
            </w:r>
          </w:p>
          <w:p w14:paraId="39E4CEF6">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textAlignment w:val="auto"/>
              <w:rPr>
                <w:rFonts w:hint="eastAsia" w:hAnsi="宋体" w:eastAsia="宋体" w:cs="宋体"/>
                <w:color w:val="auto"/>
                <w:sz w:val="21"/>
                <w:szCs w:val="21"/>
                <w:highlight w:val="none"/>
                <w:lang w:val="en-US" w:eastAsia="zh-CN"/>
              </w:rPr>
            </w:pPr>
            <w:r>
              <w:rPr>
                <w:rFonts w:hint="eastAsia" w:hAnsi="宋体" w:eastAsia="宋体" w:cs="宋体"/>
                <w:color w:val="auto"/>
                <w:sz w:val="21"/>
                <w:szCs w:val="21"/>
                <w:highlight w:val="none"/>
                <w:lang w:val="en-US" w:eastAsia="zh-CN"/>
              </w:rPr>
              <w:t>2</w:t>
            </w:r>
            <w:r>
              <w:rPr>
                <w:rFonts w:hint="eastAsia" w:hAnsi="宋体" w:cs="宋体"/>
                <w:color w:val="auto"/>
                <w:sz w:val="21"/>
                <w:szCs w:val="21"/>
                <w:highlight w:val="none"/>
                <w:lang w:val="en-US" w:eastAsia="zh-CN"/>
              </w:rPr>
              <w:t>.</w:t>
            </w:r>
            <w:r>
              <w:rPr>
                <w:rFonts w:hint="eastAsia" w:hAnsi="宋体" w:eastAsia="宋体" w:cs="宋体"/>
                <w:color w:val="auto"/>
                <w:sz w:val="21"/>
                <w:szCs w:val="21"/>
                <w:highlight w:val="none"/>
                <w:lang w:val="en-US" w:eastAsia="zh-CN"/>
              </w:rPr>
              <w:t>拟投入</w:t>
            </w:r>
            <w:r>
              <w:rPr>
                <w:rFonts w:hint="eastAsia" w:ascii="宋体" w:hAnsi="宋体" w:eastAsia="宋体" w:cs="宋体"/>
                <w:color w:val="auto"/>
                <w:sz w:val="21"/>
                <w:szCs w:val="21"/>
                <w:highlight w:val="none"/>
                <w:lang w:val="en-US" w:eastAsia="zh-CN"/>
              </w:rPr>
              <w:t>团队（满分</w:t>
            </w: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r>
              <w:rPr>
                <w:rFonts w:hint="eastAsia" w:hAnsi="宋体" w:eastAsia="宋体" w:cs="宋体"/>
                <w:color w:val="auto"/>
                <w:sz w:val="21"/>
                <w:szCs w:val="21"/>
                <w:highlight w:val="none"/>
                <w:lang w:val="en-US" w:eastAsia="zh-CN"/>
              </w:rPr>
              <w:t>：</w:t>
            </w:r>
          </w:p>
          <w:p w14:paraId="0E85D92E">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210" w:firstLineChars="100"/>
              <w:textAlignment w:val="auto"/>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r>
              <w:rPr>
                <w:rFonts w:hint="eastAsia"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）拟投入的团队人员（除项目负责人外），具有</w:t>
            </w:r>
            <w:r>
              <w:rPr>
                <w:rFonts w:hint="eastAsia" w:ascii="宋体" w:hAnsi="宋体" w:eastAsia="宋体" w:cs="宋体"/>
                <w:bCs/>
                <w:color w:val="auto"/>
                <w:kern w:val="2"/>
                <w:sz w:val="21"/>
                <w:szCs w:val="21"/>
                <w:highlight w:val="none"/>
                <w:lang w:val="en-US" w:eastAsia="zh-CN"/>
              </w:rPr>
              <w:t>人力资源管理师或职业指导师或互联网营销师资格证书，每人得1分，本项最高得</w:t>
            </w:r>
            <w:r>
              <w:rPr>
                <w:rFonts w:hint="eastAsia" w:hAnsi="宋体" w:cs="宋体"/>
                <w:bCs/>
                <w:color w:val="auto"/>
                <w:kern w:val="2"/>
                <w:sz w:val="21"/>
                <w:szCs w:val="21"/>
                <w:highlight w:val="none"/>
                <w:lang w:val="en-US" w:eastAsia="zh-CN"/>
              </w:rPr>
              <w:t>4</w:t>
            </w:r>
            <w:r>
              <w:rPr>
                <w:rFonts w:hint="eastAsia" w:ascii="宋体" w:hAnsi="宋体" w:eastAsia="宋体" w:cs="宋体"/>
                <w:bCs/>
                <w:color w:val="auto"/>
                <w:kern w:val="2"/>
                <w:sz w:val="21"/>
                <w:szCs w:val="21"/>
                <w:highlight w:val="none"/>
                <w:lang w:val="en-US" w:eastAsia="zh-CN"/>
              </w:rPr>
              <w:t>分。</w:t>
            </w:r>
          </w:p>
          <w:p w14:paraId="4762E0E8">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211" w:firstLineChars="100"/>
              <w:textAlignment w:val="auto"/>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
                <w:bCs/>
                <w:color w:val="auto"/>
                <w:sz w:val="21"/>
                <w:szCs w:val="21"/>
                <w:highlight w:val="none"/>
                <w:lang w:eastAsia="zh-CN"/>
              </w:rPr>
              <w:t>注：</w:t>
            </w:r>
            <w:r>
              <w:rPr>
                <w:rFonts w:hint="eastAsia"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文件中需提供</w:t>
            </w:r>
            <w:r>
              <w:rPr>
                <w:rFonts w:hint="eastAsia" w:hAnsi="宋体" w:eastAsia="宋体" w:cs="宋体"/>
                <w:b/>
                <w:bCs/>
                <w:color w:val="auto"/>
                <w:sz w:val="21"/>
                <w:szCs w:val="21"/>
                <w:highlight w:val="none"/>
                <w:lang w:eastAsia="zh-CN"/>
              </w:rPr>
              <w:t>以上</w:t>
            </w:r>
            <w:r>
              <w:rPr>
                <w:rFonts w:hint="eastAsia" w:ascii="宋体" w:hAnsi="宋体" w:eastAsia="宋体" w:cs="宋体"/>
                <w:b/>
                <w:bCs/>
                <w:color w:val="auto"/>
                <w:sz w:val="21"/>
                <w:szCs w:val="21"/>
                <w:highlight w:val="none"/>
              </w:rPr>
              <w:t>人员证书扫描件，并提供</w:t>
            </w:r>
            <w:r>
              <w:rPr>
                <w:rFonts w:hint="eastAsia"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标人在</w:t>
            </w:r>
            <w:r>
              <w:rPr>
                <w:rFonts w:hint="eastAsia"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标截止时间前半年内至少近1个月为其缴纳的社保证明或劳动合同</w:t>
            </w:r>
            <w:r>
              <w:rPr>
                <w:rFonts w:hint="eastAsia" w:hAnsi="宋体" w:cs="宋体"/>
                <w:b/>
                <w:bCs/>
                <w:color w:val="auto"/>
                <w:sz w:val="21"/>
                <w:szCs w:val="21"/>
                <w:highlight w:val="none"/>
                <w:lang w:eastAsia="zh-CN"/>
              </w:rPr>
              <w:t>复印件。具有多个证书的只计一次分。</w:t>
            </w:r>
          </w:p>
          <w:p w14:paraId="3B25A149">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210" w:firstLineChars="100"/>
              <w:textAlignment w:val="auto"/>
              <w:rPr>
                <w:rFonts w:hint="eastAsia" w:hAnsi="宋体" w:cs="宋体"/>
                <w:bCs/>
                <w:color w:val="auto"/>
                <w:kern w:val="2"/>
                <w:sz w:val="21"/>
                <w:szCs w:val="21"/>
                <w:highlight w:val="none"/>
                <w:lang w:val="en-US" w:eastAsia="zh-CN"/>
              </w:rPr>
            </w:pPr>
            <w:r>
              <w:rPr>
                <w:rFonts w:hint="eastAsia" w:hAnsi="宋体" w:cs="宋体"/>
                <w:bCs/>
                <w:color w:val="auto"/>
                <w:kern w:val="2"/>
                <w:sz w:val="21"/>
                <w:szCs w:val="21"/>
                <w:highlight w:val="none"/>
                <w:lang w:val="en-US" w:eastAsia="zh-CN"/>
              </w:rPr>
              <w:t>（2）拟投入的团队人员，在满足项目采购需求不少于16人，且离校未就业高校毕业生、有相关工作经验的人员比例分别不少于30%（即离校未就业高校毕业生5人、有相关工作经验的人员5人）</w:t>
            </w:r>
            <w:r>
              <w:rPr>
                <w:rFonts w:hint="eastAsia" w:hAnsi="宋体" w:cs="宋体"/>
                <w:b/>
                <w:bCs w:val="0"/>
                <w:color w:val="auto"/>
                <w:kern w:val="2"/>
                <w:sz w:val="21"/>
                <w:szCs w:val="21"/>
                <w:highlight w:val="none"/>
                <w:lang w:val="en-US" w:eastAsia="zh-CN"/>
              </w:rPr>
              <w:t>的基础上，承诺为本项目增加投入1人得2分，本项最高得分6分</w:t>
            </w:r>
            <w:r>
              <w:rPr>
                <w:rFonts w:hint="eastAsia" w:hAnsi="宋体" w:cs="宋体"/>
                <w:bCs/>
                <w:color w:val="auto"/>
                <w:kern w:val="2"/>
                <w:sz w:val="21"/>
                <w:szCs w:val="21"/>
                <w:highlight w:val="none"/>
                <w:lang w:val="en-US" w:eastAsia="zh-CN"/>
              </w:rPr>
              <w:t>。</w:t>
            </w:r>
          </w:p>
          <w:p w14:paraId="659A719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jc w:val="both"/>
              <w:textAlignment w:val="auto"/>
              <w:rPr>
                <w:rFonts w:hint="default"/>
                <w:color w:val="auto"/>
                <w:highlight w:val="none"/>
              </w:rPr>
            </w:pPr>
            <w:r>
              <w:rPr>
                <w:rFonts w:hint="eastAsia" w:ascii="宋体" w:hAnsi="宋体" w:eastAsia="宋体" w:cs="宋体"/>
                <w:b/>
                <w:bCs/>
                <w:color w:val="auto"/>
                <w:sz w:val="21"/>
                <w:szCs w:val="21"/>
                <w:highlight w:val="none"/>
                <w:lang w:eastAsia="zh-CN"/>
              </w:rPr>
              <w:t>注:</w:t>
            </w:r>
            <w:r>
              <w:rPr>
                <w:rFonts w:hint="eastAsia" w:hAnsi="宋体" w:eastAsia="宋体" w:cs="宋体"/>
                <w:b/>
                <w:bCs/>
                <w:color w:val="auto"/>
                <w:sz w:val="21"/>
                <w:szCs w:val="21"/>
                <w:highlight w:val="none"/>
                <w:lang w:val="en-US" w:eastAsia="zh-CN"/>
              </w:rPr>
              <w:t>离校未就业高校毕业生：</w:t>
            </w:r>
            <w:r>
              <w:rPr>
                <w:rFonts w:hint="eastAsia" w:hAnsi="宋体" w:eastAsia="宋体" w:cs="宋体"/>
                <w:b/>
                <w:bCs/>
                <w:color w:val="auto"/>
                <w:sz w:val="21"/>
                <w:szCs w:val="21"/>
                <w:highlight w:val="none"/>
                <w:lang w:eastAsia="zh-CN"/>
              </w:rPr>
              <w:t>聘用合同签订之日，毕业未满2年的国内全日制高等院校毕业生，未与任何单位建立劳动关系、无职工社会保险缴纳记录、无自主创业营业执照，处于待业失业状态。</w:t>
            </w:r>
          </w:p>
        </w:tc>
        <w:tc>
          <w:tcPr>
            <w:tcW w:w="0" w:type="auto"/>
            <w:noWrap w:val="0"/>
            <w:vAlign w:val="center"/>
          </w:tcPr>
          <w:p w14:paraId="3DFA398D">
            <w:pPr>
              <w:pStyle w:val="17"/>
              <w:keepNext w:val="0"/>
              <w:keepLines w:val="0"/>
              <w:suppressLineNumbers w:val="0"/>
              <w:spacing w:before="0" w:beforeAutospacing="0" w:after="0" w:afterAutospacing="0" w:line="360" w:lineRule="auto"/>
              <w:ind w:left="0" w:right="0"/>
              <w:jc w:val="left"/>
              <w:rPr>
                <w:rFonts w:hint="default"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15</w:t>
            </w:r>
          </w:p>
        </w:tc>
      </w:tr>
      <w:tr w14:paraId="23C9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3E483A0B">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w:t>
            </w:r>
          </w:p>
        </w:tc>
        <w:tc>
          <w:tcPr>
            <w:tcW w:w="0" w:type="auto"/>
            <w:noWrap w:val="0"/>
            <w:vAlign w:val="center"/>
          </w:tcPr>
          <w:p w14:paraId="0C37EE4A">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商务</w:t>
            </w:r>
            <w:r>
              <w:rPr>
                <w:rFonts w:hint="eastAsia" w:ascii="宋体" w:hAnsi="宋体" w:cs="宋体"/>
                <w:bCs/>
                <w:color w:val="auto"/>
                <w:szCs w:val="21"/>
                <w:highlight w:val="none"/>
                <w:lang w:eastAsia="zh-CN"/>
              </w:rPr>
              <w:t>分</w:t>
            </w:r>
          </w:p>
        </w:tc>
        <w:tc>
          <w:tcPr>
            <w:tcW w:w="0" w:type="auto"/>
            <w:gridSpan w:val="2"/>
            <w:noWrap w:val="0"/>
            <w:vAlign w:val="center"/>
          </w:tcPr>
          <w:p w14:paraId="7DED8285">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rPr>
            </w:pPr>
            <w:r>
              <w:rPr>
                <w:rFonts w:hint="eastAsia" w:ascii="宋体" w:hAnsi="宋体" w:eastAsia="宋体" w:cs="宋体"/>
                <w:bCs/>
                <w:color w:val="auto"/>
                <w:kern w:val="2"/>
                <w:sz w:val="21"/>
                <w:szCs w:val="21"/>
                <w:highlight w:val="none"/>
                <w:lang w:val="en-US" w:eastAsia="zh-CN" w:bidi="ar-SA"/>
              </w:rPr>
              <w:t>满分（</w:t>
            </w:r>
            <w:r>
              <w:rPr>
                <w:rFonts w:hint="eastAsia" w:ascii="Calibri" w:hAnsi="宋体" w:eastAsia="宋体" w:cs="宋体"/>
                <w:bCs/>
                <w:color w:val="auto"/>
                <w:kern w:val="2"/>
                <w:sz w:val="21"/>
                <w:szCs w:val="21"/>
                <w:highlight w:val="none"/>
                <w:lang w:val="en-US" w:eastAsia="zh-CN" w:bidi="ar-SA"/>
              </w:rPr>
              <w:t>15</w:t>
            </w:r>
            <w:r>
              <w:rPr>
                <w:rFonts w:hint="eastAsia" w:ascii="宋体" w:hAnsi="宋体" w:eastAsia="宋体" w:cs="宋体"/>
                <w:bCs/>
                <w:color w:val="auto"/>
                <w:kern w:val="2"/>
                <w:sz w:val="21"/>
                <w:szCs w:val="21"/>
                <w:highlight w:val="none"/>
                <w:lang w:val="en-US" w:eastAsia="zh-CN" w:bidi="ar-SA"/>
              </w:rPr>
              <w:t>分）</w:t>
            </w:r>
          </w:p>
        </w:tc>
      </w:tr>
      <w:tr w14:paraId="05A1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10421D51">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3.</w:t>
            </w:r>
            <w:r>
              <w:rPr>
                <w:rFonts w:hint="eastAsia" w:ascii="宋体" w:hAnsi="宋体" w:eastAsia="宋体" w:cs="宋体"/>
                <w:bCs/>
                <w:color w:val="auto"/>
                <w:szCs w:val="21"/>
                <w:highlight w:val="none"/>
                <w:lang w:val="en-US" w:eastAsia="zh-CN"/>
              </w:rPr>
              <w:t>1</w:t>
            </w:r>
          </w:p>
        </w:tc>
        <w:tc>
          <w:tcPr>
            <w:tcW w:w="0" w:type="auto"/>
            <w:noWrap w:val="0"/>
            <w:vAlign w:val="center"/>
          </w:tcPr>
          <w:p w14:paraId="4ED5CF54">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业绩</w:t>
            </w:r>
          </w:p>
          <w:p w14:paraId="36AF639D">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eastAsia" w:ascii="Times New Roman" w:hAnsi="Times New Roman" w:eastAsia="宋体" w:cs="Times New Roman"/>
                <w:color w:val="auto"/>
                <w:spacing w:val="-11"/>
                <w:sz w:val="21"/>
                <w:szCs w:val="21"/>
                <w:highlight w:val="none"/>
                <w:lang w:val="en-US" w:eastAsia="zh-CN"/>
              </w:rPr>
              <w:t>（</w:t>
            </w:r>
            <w:r>
              <w:rPr>
                <w:rFonts w:hint="eastAsia" w:cs="Times New Roman"/>
                <w:color w:val="auto"/>
                <w:spacing w:val="-11"/>
                <w:sz w:val="21"/>
                <w:szCs w:val="21"/>
                <w:highlight w:val="none"/>
                <w:lang w:val="en-US" w:eastAsia="zh-CN"/>
              </w:rPr>
              <w:t>满分6分</w:t>
            </w:r>
            <w:r>
              <w:rPr>
                <w:rFonts w:hint="eastAsia" w:ascii="Times New Roman" w:hAnsi="Times New Roman" w:eastAsia="宋体" w:cs="Times New Roman"/>
                <w:color w:val="auto"/>
                <w:spacing w:val="-11"/>
                <w:sz w:val="21"/>
                <w:szCs w:val="21"/>
                <w:highlight w:val="none"/>
                <w:lang w:val="en-US" w:eastAsia="zh-CN"/>
              </w:rPr>
              <w:t>）</w:t>
            </w:r>
          </w:p>
          <w:p w14:paraId="081DBABD">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eastAsia="zh-CN"/>
              </w:rPr>
            </w:pPr>
          </w:p>
        </w:tc>
        <w:tc>
          <w:tcPr>
            <w:tcW w:w="0" w:type="auto"/>
            <w:noWrap w:val="0"/>
            <w:vAlign w:val="center"/>
          </w:tcPr>
          <w:p w14:paraId="1590C56D">
            <w:pPr>
              <w:keepNext w:val="0"/>
              <w:keepLines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Times New Roman"/>
                <w:bCs/>
                <w:color w:val="auto"/>
                <w:kern w:val="0"/>
                <w:sz w:val="21"/>
                <w:szCs w:val="21"/>
                <w:highlight w:val="none"/>
                <w:lang w:val="en-US" w:eastAsia="zh-CN" w:bidi="ar-SA"/>
              </w:rPr>
              <w:t>竞标人20</w:t>
            </w:r>
            <w:r>
              <w:rPr>
                <w:rFonts w:hint="eastAsia" w:ascii="宋体" w:hAnsi="宋体" w:cs="Times New Roman"/>
                <w:bCs/>
                <w:color w:val="auto"/>
                <w:kern w:val="0"/>
                <w:sz w:val="21"/>
                <w:szCs w:val="21"/>
                <w:highlight w:val="none"/>
                <w:lang w:val="en-US" w:eastAsia="zh-CN" w:bidi="ar-SA"/>
              </w:rPr>
              <w:t>23</w:t>
            </w:r>
            <w:r>
              <w:rPr>
                <w:rFonts w:hint="eastAsia" w:ascii="宋体" w:hAnsi="宋体" w:eastAsia="宋体" w:cs="Times New Roman"/>
                <w:bCs/>
                <w:color w:val="auto"/>
                <w:kern w:val="0"/>
                <w:sz w:val="21"/>
                <w:szCs w:val="21"/>
                <w:highlight w:val="none"/>
                <w:lang w:val="en-US" w:eastAsia="zh-CN" w:bidi="ar-SA"/>
              </w:rPr>
              <w:t>年1月1日以来承接过同类服务项目（如：就业服务站、就业驿站、零工市场、零工驿站等建设运营，公共就业服务</w:t>
            </w:r>
            <w:r>
              <w:rPr>
                <w:rFonts w:hint="eastAsia" w:ascii="宋体" w:hAnsi="宋体" w:cs="Times New Roman"/>
                <w:bCs/>
                <w:color w:val="auto"/>
                <w:kern w:val="0"/>
                <w:sz w:val="21"/>
                <w:szCs w:val="21"/>
                <w:highlight w:val="none"/>
                <w:lang w:val="en-US" w:eastAsia="zh-CN" w:bidi="ar-SA"/>
              </w:rPr>
              <w:t>建设项目</w:t>
            </w:r>
            <w:r>
              <w:rPr>
                <w:rFonts w:hint="eastAsia" w:ascii="宋体" w:hAnsi="宋体" w:eastAsia="宋体" w:cs="Times New Roman"/>
                <w:bCs/>
                <w:color w:val="auto"/>
                <w:kern w:val="0"/>
                <w:sz w:val="21"/>
                <w:szCs w:val="21"/>
                <w:highlight w:val="none"/>
                <w:lang w:val="en-US" w:eastAsia="zh-CN" w:bidi="ar-SA"/>
              </w:rPr>
              <w:t>）的，每个项目得</w:t>
            </w:r>
            <w:r>
              <w:rPr>
                <w:rFonts w:hint="eastAsia" w:ascii="宋体" w:hAnsi="宋体" w:cs="Times New Roman"/>
                <w:bCs/>
                <w:color w:val="auto"/>
                <w:kern w:val="0"/>
                <w:sz w:val="21"/>
                <w:szCs w:val="21"/>
                <w:highlight w:val="none"/>
                <w:lang w:val="en-US" w:eastAsia="zh-CN" w:bidi="ar-SA"/>
              </w:rPr>
              <w:t>2</w:t>
            </w:r>
            <w:r>
              <w:rPr>
                <w:rFonts w:hint="eastAsia" w:ascii="宋体" w:hAnsi="宋体" w:eastAsia="宋体" w:cs="Times New Roman"/>
                <w:bCs/>
                <w:color w:val="auto"/>
                <w:kern w:val="0"/>
                <w:sz w:val="21"/>
                <w:szCs w:val="21"/>
                <w:highlight w:val="none"/>
                <w:lang w:val="en-US" w:eastAsia="zh-CN" w:bidi="ar-SA"/>
              </w:rPr>
              <w:t>分，本项最高得</w:t>
            </w:r>
            <w:r>
              <w:rPr>
                <w:rFonts w:hint="eastAsia" w:ascii="宋体" w:hAnsi="宋体" w:cs="Times New Roman"/>
                <w:bCs/>
                <w:color w:val="auto"/>
                <w:kern w:val="0"/>
                <w:sz w:val="21"/>
                <w:szCs w:val="21"/>
                <w:highlight w:val="none"/>
                <w:lang w:val="en-US" w:eastAsia="zh-CN" w:bidi="ar-SA"/>
              </w:rPr>
              <w:t>6</w:t>
            </w:r>
            <w:r>
              <w:rPr>
                <w:rFonts w:hint="eastAsia" w:ascii="宋体" w:hAnsi="宋体" w:eastAsia="宋体" w:cs="Times New Roman"/>
                <w:bCs/>
                <w:color w:val="auto"/>
                <w:kern w:val="0"/>
                <w:sz w:val="21"/>
                <w:szCs w:val="21"/>
                <w:highlight w:val="none"/>
                <w:lang w:val="en-US" w:eastAsia="zh-CN" w:bidi="ar-SA"/>
              </w:rPr>
              <w:t>分。（响应文件须提供合同复印件并加盖竞标人电子公章）</w:t>
            </w:r>
          </w:p>
        </w:tc>
        <w:tc>
          <w:tcPr>
            <w:tcW w:w="0" w:type="auto"/>
            <w:noWrap w:val="0"/>
            <w:vAlign w:val="center"/>
          </w:tcPr>
          <w:p w14:paraId="73AB32BD">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w:t>
            </w:r>
          </w:p>
        </w:tc>
      </w:tr>
      <w:tr w14:paraId="33E0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4923EE2E">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3.2</w:t>
            </w:r>
          </w:p>
        </w:tc>
        <w:tc>
          <w:tcPr>
            <w:tcW w:w="0" w:type="auto"/>
            <w:noWrap w:val="0"/>
            <w:vAlign w:val="center"/>
          </w:tcPr>
          <w:p w14:paraId="36F81AAB">
            <w:pPr>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eastAsia" w:ascii="宋体" w:hAnsi="宋体" w:eastAsia="宋体" w:cs="宋体"/>
                <w:bCs/>
                <w:color w:val="auto"/>
                <w:szCs w:val="21"/>
                <w:highlight w:val="none"/>
                <w:lang w:eastAsia="zh-CN"/>
              </w:rPr>
              <w:t>服务能力</w:t>
            </w:r>
            <w:r>
              <w:rPr>
                <w:rFonts w:hint="eastAsia" w:ascii="Times New Roman" w:hAnsi="Times New Roman" w:eastAsia="宋体" w:cs="Times New Roman"/>
                <w:color w:val="auto"/>
                <w:spacing w:val="-11"/>
                <w:sz w:val="21"/>
                <w:szCs w:val="21"/>
                <w:highlight w:val="none"/>
                <w:lang w:val="en-US" w:eastAsia="zh-CN"/>
              </w:rPr>
              <w:t>（</w:t>
            </w:r>
            <w:r>
              <w:rPr>
                <w:rFonts w:hint="eastAsia" w:cs="Times New Roman"/>
                <w:color w:val="auto"/>
                <w:spacing w:val="-11"/>
                <w:sz w:val="21"/>
                <w:szCs w:val="21"/>
                <w:highlight w:val="none"/>
                <w:lang w:val="en-US" w:eastAsia="zh-CN"/>
              </w:rPr>
              <w:t>满分9分</w:t>
            </w:r>
            <w:r>
              <w:rPr>
                <w:rFonts w:hint="eastAsia" w:ascii="Times New Roman" w:hAnsi="Times New Roman" w:eastAsia="宋体" w:cs="Times New Roman"/>
                <w:color w:val="auto"/>
                <w:spacing w:val="-11"/>
                <w:sz w:val="21"/>
                <w:szCs w:val="21"/>
                <w:highlight w:val="none"/>
                <w:lang w:val="en-US" w:eastAsia="zh-CN"/>
              </w:rPr>
              <w:t>）</w:t>
            </w:r>
          </w:p>
          <w:p w14:paraId="0F7D793A">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eastAsia="zh-CN"/>
              </w:rPr>
            </w:pPr>
          </w:p>
        </w:tc>
        <w:tc>
          <w:tcPr>
            <w:tcW w:w="0" w:type="auto"/>
            <w:noWrap w:val="0"/>
            <w:vAlign w:val="center"/>
          </w:tcPr>
          <w:p w14:paraId="1595A6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color w:val="auto"/>
                <w:highlight w:val="none"/>
                <w:lang w:val="en-US" w:eastAsia="zh-CN"/>
              </w:rPr>
            </w:pPr>
            <w:r>
              <w:rPr>
                <w:rFonts w:hint="eastAsia" w:ascii="Times New Roman" w:hAnsi="宋体" w:eastAsia="宋体" w:cs="Times New Roman"/>
                <w:strike w:val="0"/>
                <w:dstrike w:val="0"/>
                <w:color w:val="auto"/>
                <w:szCs w:val="21"/>
                <w:highlight w:val="none"/>
                <w:lang w:val="en-US" w:eastAsia="zh-CN"/>
              </w:rPr>
              <w:t>供应商自有线上就业服务平台（招聘服务网站、APP、公众号、微信小程序等服务平台）的</w:t>
            </w:r>
            <w:r>
              <w:rPr>
                <w:rFonts w:hint="eastAsia" w:hAnsi="宋体" w:cs="Times New Roman"/>
                <w:strike w:val="0"/>
                <w:dstrike w:val="0"/>
                <w:color w:val="auto"/>
                <w:szCs w:val="21"/>
                <w:highlight w:val="none"/>
                <w:lang w:val="en-US" w:eastAsia="zh-CN"/>
              </w:rPr>
              <w:t>每个得2分，最高</w:t>
            </w:r>
            <w:r>
              <w:rPr>
                <w:rFonts w:hint="eastAsia" w:ascii="Times New Roman" w:hAnsi="宋体" w:eastAsia="宋体" w:cs="Times New Roman"/>
                <w:strike w:val="0"/>
                <w:dstrike w:val="0"/>
                <w:color w:val="auto"/>
                <w:szCs w:val="21"/>
                <w:highlight w:val="none"/>
                <w:lang w:val="en-US" w:eastAsia="zh-CN"/>
              </w:rPr>
              <w:t>得4分</w:t>
            </w:r>
            <w:r>
              <w:rPr>
                <w:rFonts w:hint="eastAsia" w:ascii="Times New Roman" w:hAnsi="宋体" w:eastAsia="宋体" w:cs="Times New Roman"/>
                <w:strike w:val="0"/>
                <w:color w:val="auto"/>
                <w:szCs w:val="21"/>
                <w:highlight w:val="none"/>
                <w:lang w:val="en-US" w:eastAsia="zh-CN"/>
              </w:rPr>
              <w:t>；</w:t>
            </w:r>
            <w:r>
              <w:rPr>
                <w:rFonts w:hint="eastAsia" w:ascii="宋体" w:hAnsi="宋体" w:eastAsia="宋体" w:cs="Times New Roman"/>
                <w:bCs/>
                <w:color w:val="auto"/>
                <w:kern w:val="0"/>
                <w:szCs w:val="21"/>
                <w:highlight w:val="none"/>
                <w:lang w:val="en-US" w:eastAsia="zh-CN"/>
              </w:rPr>
              <w:t>提供的信息化平台</w:t>
            </w:r>
            <w:r>
              <w:rPr>
                <w:rFonts w:hint="eastAsia" w:ascii="Times New Roman" w:hAnsi="宋体" w:eastAsia="宋体" w:cs="Times New Roman"/>
                <w:color w:val="auto"/>
                <w:szCs w:val="21"/>
                <w:highlight w:val="none"/>
                <w:lang w:val="en-US" w:eastAsia="zh-CN"/>
              </w:rPr>
              <w:t>能够</w:t>
            </w:r>
            <w:r>
              <w:rPr>
                <w:rFonts w:hint="eastAsia" w:ascii="宋体" w:hAnsi="宋体" w:eastAsia="宋体" w:cs="Times New Roman"/>
                <w:bCs/>
                <w:color w:val="auto"/>
                <w:kern w:val="0"/>
                <w:szCs w:val="21"/>
                <w:highlight w:val="none"/>
                <w:lang w:val="en-US" w:eastAsia="zh-CN"/>
              </w:rPr>
              <w:t>在线实现信息发布、居民求职、企业招聘、零工发布、零工招聘、创业服务等服务的，每实现一项得</w:t>
            </w:r>
            <w:r>
              <w:rPr>
                <w:rFonts w:hint="eastAsia" w:ascii="宋体" w:hAnsi="宋体" w:cs="Times New Roman"/>
                <w:bCs/>
                <w:color w:val="auto"/>
                <w:kern w:val="0"/>
                <w:szCs w:val="21"/>
                <w:highlight w:val="none"/>
                <w:lang w:val="en-US" w:eastAsia="zh-CN"/>
              </w:rPr>
              <w:t>1</w:t>
            </w:r>
            <w:r>
              <w:rPr>
                <w:rFonts w:hint="eastAsia" w:ascii="宋体" w:hAnsi="宋体" w:eastAsia="宋体" w:cs="Times New Roman"/>
                <w:bCs/>
                <w:color w:val="auto"/>
                <w:kern w:val="0"/>
                <w:szCs w:val="21"/>
                <w:highlight w:val="none"/>
                <w:lang w:val="en-US" w:eastAsia="zh-CN"/>
              </w:rPr>
              <w:t>分，最多得</w:t>
            </w:r>
            <w:r>
              <w:rPr>
                <w:rFonts w:hint="eastAsia" w:ascii="宋体" w:hAnsi="宋体" w:cs="Times New Roman"/>
                <w:bCs/>
                <w:color w:val="auto"/>
                <w:kern w:val="0"/>
                <w:szCs w:val="21"/>
                <w:highlight w:val="none"/>
                <w:lang w:val="en-US" w:eastAsia="zh-CN"/>
              </w:rPr>
              <w:t>5</w:t>
            </w:r>
            <w:r>
              <w:rPr>
                <w:rFonts w:hint="eastAsia" w:ascii="宋体" w:hAnsi="宋体" w:eastAsia="宋体" w:cs="Times New Roman"/>
                <w:bCs/>
                <w:color w:val="auto"/>
                <w:kern w:val="0"/>
                <w:szCs w:val="21"/>
                <w:highlight w:val="none"/>
                <w:lang w:val="en-US" w:eastAsia="zh-CN"/>
              </w:rPr>
              <w:t>分</w:t>
            </w:r>
            <w:r>
              <w:rPr>
                <w:rFonts w:hint="eastAsia" w:ascii="宋体" w:hAnsi="宋体" w:cs="Times New Roman"/>
                <w:bCs/>
                <w:color w:val="auto"/>
                <w:kern w:val="0"/>
                <w:szCs w:val="21"/>
                <w:highlight w:val="none"/>
                <w:lang w:val="en-US" w:eastAsia="zh-CN"/>
              </w:rPr>
              <w:t>。</w:t>
            </w:r>
          </w:p>
          <w:p w14:paraId="5DD9C1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color w:val="auto"/>
                <w:szCs w:val="21"/>
                <w:highlight w:val="none"/>
                <w:lang w:val="en-US" w:eastAsia="zh-CN"/>
              </w:rPr>
              <w:t>（须提供自有网站备案材料或网页截图或使用页面截图等材料扫描件）</w:t>
            </w:r>
          </w:p>
        </w:tc>
        <w:tc>
          <w:tcPr>
            <w:tcW w:w="0" w:type="auto"/>
            <w:noWrap w:val="0"/>
            <w:vAlign w:val="center"/>
          </w:tcPr>
          <w:p w14:paraId="05EB9494">
            <w:pPr>
              <w:keepNext w:val="0"/>
              <w:keepLines w:val="0"/>
              <w:suppressLineNumbers w:val="0"/>
              <w:spacing w:before="0" w:beforeAutospacing="0" w:after="0" w:afterAutospacing="0" w:line="360" w:lineRule="auto"/>
              <w:ind w:left="0" w:right="0"/>
              <w:jc w:val="both"/>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9</w:t>
            </w:r>
          </w:p>
        </w:tc>
      </w:tr>
      <w:tr w14:paraId="549B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322D076E">
            <w:pPr>
              <w:keepNext w:val="0"/>
              <w:keepLines w:val="0"/>
              <w:suppressLineNumbers w:val="0"/>
              <w:spacing w:before="0" w:beforeAutospacing="0" w:after="0" w:afterAutospacing="0" w:line="360" w:lineRule="auto"/>
              <w:ind w:left="0" w:right="0"/>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w:t>
            </w:r>
          </w:p>
        </w:tc>
        <w:tc>
          <w:tcPr>
            <w:tcW w:w="0" w:type="auto"/>
            <w:noWrap w:val="0"/>
            <w:vAlign w:val="center"/>
          </w:tcPr>
          <w:p w14:paraId="37C884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Calibri"/>
                <w:bCs/>
                <w:color w:val="auto"/>
                <w:kern w:val="2"/>
                <w:sz w:val="21"/>
                <w:szCs w:val="21"/>
                <w:highlight w:val="none"/>
                <w:lang w:val="en-US" w:eastAsia="zh-CN" w:bidi="ar-SA"/>
              </w:rPr>
            </w:pPr>
            <w:r>
              <w:rPr>
                <w:rFonts w:hint="eastAsia" w:ascii="宋体" w:hAnsi="宋体" w:cs="Calibri"/>
                <w:bCs/>
                <w:color w:val="auto"/>
                <w:szCs w:val="21"/>
                <w:highlight w:val="none"/>
              </w:rPr>
              <w:t>诚信</w:t>
            </w:r>
            <w:r>
              <w:rPr>
                <w:rFonts w:hint="eastAsia" w:ascii="宋体" w:hAnsi="宋体" w:cs="Calibri"/>
                <w:bCs/>
                <w:color w:val="auto"/>
                <w:szCs w:val="21"/>
                <w:highlight w:val="none"/>
                <w:lang w:eastAsia="zh-CN"/>
              </w:rPr>
              <w:t>分（</w:t>
            </w:r>
            <w:r>
              <w:rPr>
                <w:rFonts w:hint="eastAsia" w:ascii="宋体" w:hAnsi="宋体" w:cs="Calibri"/>
                <w:bCs/>
                <w:color w:val="auto"/>
                <w:szCs w:val="21"/>
                <w:highlight w:val="none"/>
                <w:lang w:val="en-US" w:eastAsia="zh-CN"/>
              </w:rPr>
              <w:t>-6分</w:t>
            </w:r>
            <w:r>
              <w:rPr>
                <w:rFonts w:hint="eastAsia" w:ascii="宋体" w:hAnsi="宋体" w:cs="Calibri"/>
                <w:bCs/>
                <w:color w:val="auto"/>
                <w:szCs w:val="21"/>
                <w:highlight w:val="none"/>
                <w:lang w:eastAsia="zh-CN"/>
              </w:rPr>
              <w:t>）</w:t>
            </w:r>
          </w:p>
        </w:tc>
        <w:tc>
          <w:tcPr>
            <w:tcW w:w="0" w:type="auto"/>
            <w:noWrap w:val="0"/>
            <w:vAlign w:val="top"/>
          </w:tcPr>
          <w:p w14:paraId="3303D2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Calibri"/>
                <w:bCs/>
                <w:color w:val="auto"/>
                <w:kern w:val="2"/>
                <w:sz w:val="21"/>
                <w:szCs w:val="21"/>
                <w:highlight w:val="none"/>
                <w:lang w:val="en-US" w:eastAsia="zh-CN" w:bidi="ar-SA"/>
              </w:rPr>
            </w:pPr>
            <w:r>
              <w:rPr>
                <w:rFonts w:hint="eastAsia" w:ascii="宋体" w:hAnsi="宋体" w:cs="Calibri"/>
                <w:bCs/>
                <w:color w:val="auto"/>
                <w:szCs w:val="21"/>
                <w:highlight w:val="none"/>
                <w:lang w:eastAsia="zh-CN"/>
              </w:rPr>
              <w:t>供应商</w:t>
            </w:r>
            <w:r>
              <w:rPr>
                <w:rFonts w:hint="eastAsia" w:ascii="宋体" w:hAnsi="宋体" w:cs="Calibri"/>
                <w:bCs/>
                <w:color w:val="auto"/>
                <w:szCs w:val="21"/>
                <w:highlight w:val="none"/>
              </w:rPr>
              <w:t>在截标日前1年内在政府采购活动中存在违约违规情形的（以财政部门出具的书面材料为评分依据），每次扣除3分，最高扣分6分扣完为止。</w:t>
            </w:r>
          </w:p>
        </w:tc>
        <w:tc>
          <w:tcPr>
            <w:tcW w:w="0" w:type="auto"/>
            <w:noWrap w:val="0"/>
            <w:vAlign w:val="center"/>
          </w:tcPr>
          <w:p w14:paraId="760EF9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Calibri"/>
                <w:bCs/>
                <w:color w:val="auto"/>
                <w:kern w:val="2"/>
                <w:sz w:val="21"/>
                <w:szCs w:val="21"/>
                <w:highlight w:val="none"/>
                <w:lang w:val="en-US" w:eastAsia="zh-CN" w:bidi="ar-SA"/>
              </w:rPr>
            </w:pPr>
            <w:r>
              <w:rPr>
                <w:rFonts w:hint="eastAsia" w:ascii="宋体" w:hAnsi="宋体" w:cs="Calibri"/>
                <w:bCs/>
                <w:color w:val="auto"/>
                <w:kern w:val="2"/>
                <w:sz w:val="21"/>
                <w:szCs w:val="21"/>
                <w:highlight w:val="none"/>
                <w:lang w:val="en-US" w:eastAsia="zh-CN" w:bidi="ar-SA"/>
              </w:rPr>
              <w:t>-6</w:t>
            </w:r>
          </w:p>
        </w:tc>
      </w:tr>
    </w:tbl>
    <w:p w14:paraId="625D7E56">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 xml:space="preserve"> </w:t>
      </w:r>
      <w:bookmarkEnd w:id="72"/>
    </w:p>
    <w:p w14:paraId="1F84E9EE">
      <w:pPr>
        <w:spacing w:line="360" w:lineRule="auto"/>
        <w:ind w:firstLine="420" w:firstLineChars="200"/>
        <w:rPr>
          <w:rFonts w:hint="eastAsia" w:ascii="宋体" w:hAnsi="宋体" w:eastAsia="宋体" w:cs="Times New Roman"/>
          <w:bCs/>
          <w:color w:val="auto"/>
          <w:szCs w:val="21"/>
          <w:highlight w:val="none"/>
        </w:rPr>
      </w:pPr>
      <w:bookmarkStart w:id="73" w:name="_Toc80205935"/>
      <w:r>
        <w:rPr>
          <w:rFonts w:hint="eastAsia" w:ascii="宋体" w:hAnsi="宋体" w:eastAsia="宋体" w:cs="Times New Roman"/>
          <w:bCs/>
          <w:color w:val="auto"/>
          <w:szCs w:val="21"/>
          <w:highlight w:val="none"/>
        </w:rPr>
        <w:t>8.2商务技术评审因素为客观评分项的，应在评分项目或评分标准中予以标注为“客观分”。对供应商的客观评分项目，各评审专家评分应当一致。</w:t>
      </w:r>
    </w:p>
    <w:p w14:paraId="2BCAB662">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8.3.终止竞争性磋商采购活动</w:t>
      </w:r>
    </w:p>
    <w:p w14:paraId="4FDD6DA2">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2403052">
      <w:pPr>
        <w:rPr>
          <w:rFonts w:hint="eastAsia"/>
          <w:color w:val="auto"/>
          <w:highlight w:val="none"/>
          <w:lang w:eastAsia="zh-CN"/>
        </w:rPr>
      </w:pPr>
    </w:p>
    <w:bookmarkEnd w:id="73"/>
    <w:p w14:paraId="7071A98F">
      <w:pPr>
        <w:rPr>
          <w:rFonts w:hint="eastAsia"/>
          <w:color w:val="auto"/>
          <w:highlight w:val="none"/>
        </w:rPr>
      </w:pPr>
    </w:p>
    <w:p w14:paraId="77172E9A">
      <w:pPr>
        <w:pStyle w:val="3"/>
        <w:spacing w:before="0" w:after="0" w:line="360" w:lineRule="auto"/>
        <w:ind w:firstLine="640" w:firstLineChars="200"/>
        <w:jc w:val="center"/>
        <w:rPr>
          <w:rFonts w:hint="eastAsia" w:ascii="宋体" w:hAnsi="宋体"/>
          <w:b w:val="0"/>
          <w:color w:val="auto"/>
          <w:highlight w:val="none"/>
        </w:rPr>
      </w:pPr>
      <w:bookmarkStart w:id="74" w:name="_Toc6285"/>
      <w:r>
        <w:rPr>
          <w:rFonts w:hint="eastAsia" w:ascii="宋体" w:hAnsi="宋体"/>
          <w:b w:val="0"/>
          <w:color w:val="auto"/>
          <w:highlight w:val="none"/>
        </w:rPr>
        <w:t>第二节 评标报告</w:t>
      </w:r>
      <w:bookmarkEnd w:id="74"/>
    </w:p>
    <w:p w14:paraId="55546EF7">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062DD596">
      <w:pPr>
        <w:spacing w:line="360" w:lineRule="auto"/>
        <w:ind w:firstLine="420" w:firstLineChars="200"/>
        <w:rPr>
          <w:rFonts w:hint="eastAsia"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bCs/>
          <w:color w:val="auto"/>
          <w:szCs w:val="21"/>
          <w:highlight w:val="none"/>
          <w:lang w:eastAsia="zh-CN"/>
        </w:rPr>
        <w:t>，</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410584E">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0733F7D7">
      <w:pPr>
        <w:pStyle w:val="44"/>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w:t>
      </w:r>
      <w:r>
        <w:rPr>
          <w:rFonts w:hint="eastAsia" w:ascii="宋体" w:hAnsi="宋体" w:cs="宋体"/>
          <w:color w:val="auto"/>
          <w:kern w:val="2"/>
          <w:sz w:val="21"/>
          <w:szCs w:val="24"/>
          <w:highlight w:val="none"/>
          <w:lang w:eastAsia="zh-CN"/>
        </w:rPr>
        <w:t>做出</w:t>
      </w:r>
      <w:r>
        <w:rPr>
          <w:rFonts w:hint="eastAsia" w:ascii="宋体" w:hAnsi="宋体" w:cs="宋体"/>
          <w:color w:val="auto"/>
          <w:kern w:val="2"/>
          <w:sz w:val="21"/>
          <w:szCs w:val="24"/>
          <w:highlight w:val="none"/>
        </w:rPr>
        <w:t>结论。持不同意见的磋商小组成员应当在评标报告上签署不同意见及理由，否则视为同意评标报告。</w:t>
      </w:r>
    </w:p>
    <w:p w14:paraId="7517254B">
      <w:pPr>
        <w:rPr>
          <w:rFonts w:hint="eastAsia"/>
          <w:color w:val="auto"/>
          <w:highlight w:val="none"/>
        </w:rPr>
      </w:pPr>
      <w:bookmarkStart w:id="75" w:name="_Toc80205936"/>
    </w:p>
    <w:p w14:paraId="0BAFA3EF">
      <w:pPr>
        <w:pStyle w:val="3"/>
        <w:spacing w:before="0" w:after="0" w:line="360" w:lineRule="auto"/>
        <w:ind w:firstLine="640" w:firstLineChars="200"/>
        <w:jc w:val="center"/>
        <w:rPr>
          <w:rFonts w:hint="eastAsia" w:ascii="宋体" w:hAnsi="宋体" w:cs="宋体"/>
          <w:b w:val="0"/>
          <w:color w:val="auto"/>
          <w:highlight w:val="none"/>
        </w:rPr>
      </w:pPr>
      <w:bookmarkStart w:id="76" w:name="_Toc24718"/>
      <w:r>
        <w:rPr>
          <w:rFonts w:hint="eastAsia" w:ascii="宋体" w:hAnsi="宋体"/>
          <w:b w:val="0"/>
          <w:color w:val="auto"/>
          <w:highlight w:val="none"/>
        </w:rPr>
        <w:t>第三节 评审过程的保密与录像</w:t>
      </w:r>
      <w:bookmarkEnd w:id="75"/>
      <w:bookmarkEnd w:id="76"/>
    </w:p>
    <w:p w14:paraId="305DA98A">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7811E496">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967F372">
      <w:pPr>
        <w:widowControl/>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7BE62A1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1BDF8B0A">
      <w:pPr>
        <w:spacing w:line="400" w:lineRule="exact"/>
        <w:ind w:firstLine="420" w:firstLineChars="200"/>
        <w:rPr>
          <w:rFonts w:hint="eastAsia" w:ascii="宋体" w:hAnsi="宋体" w:cs="宋体"/>
          <w:color w:val="auto"/>
          <w:highlight w:val="none"/>
        </w:rPr>
      </w:pPr>
    </w:p>
    <w:p w14:paraId="6692B804">
      <w:pPr>
        <w:spacing w:line="400" w:lineRule="exact"/>
        <w:ind w:firstLine="420" w:firstLineChars="200"/>
        <w:rPr>
          <w:rFonts w:hint="eastAsia" w:ascii="宋体" w:hAnsi="宋体" w:cs="宋体"/>
          <w:color w:val="auto"/>
          <w:highlight w:val="none"/>
        </w:rPr>
      </w:pPr>
    </w:p>
    <w:p w14:paraId="5F4D661B">
      <w:pPr>
        <w:rPr>
          <w:color w:val="auto"/>
          <w:highlight w:val="none"/>
        </w:rPr>
      </w:pPr>
      <w:r>
        <w:rPr>
          <w:color w:val="auto"/>
          <w:highlight w:val="none"/>
        </w:rPr>
        <w:br w:type="page"/>
      </w:r>
    </w:p>
    <w:p w14:paraId="618EE723">
      <w:pPr>
        <w:rPr>
          <w:color w:val="auto"/>
          <w:highlight w:val="none"/>
        </w:rPr>
      </w:pPr>
    </w:p>
    <w:p w14:paraId="6395D6E3">
      <w:pPr>
        <w:rPr>
          <w:color w:val="auto"/>
          <w:highlight w:val="none"/>
        </w:rPr>
      </w:pPr>
    </w:p>
    <w:p w14:paraId="496D6F59">
      <w:pPr>
        <w:rPr>
          <w:color w:val="auto"/>
          <w:highlight w:val="none"/>
        </w:rPr>
      </w:pPr>
    </w:p>
    <w:p w14:paraId="07EC061B">
      <w:pPr>
        <w:rPr>
          <w:color w:val="auto"/>
          <w:highlight w:val="none"/>
        </w:rPr>
      </w:pPr>
    </w:p>
    <w:p w14:paraId="6FF53456">
      <w:pPr>
        <w:rPr>
          <w:color w:val="auto"/>
          <w:highlight w:val="none"/>
        </w:rPr>
      </w:pPr>
    </w:p>
    <w:p w14:paraId="77A0CD90">
      <w:pPr>
        <w:pStyle w:val="2"/>
        <w:jc w:val="center"/>
        <w:rPr>
          <w:color w:val="auto"/>
          <w:highlight w:val="none"/>
        </w:rPr>
        <w:sectPr>
          <w:footerReference r:id="rId10" w:type="first"/>
          <w:footerReference r:id="rId9" w:type="default"/>
          <w:pgSz w:w="11910" w:h="16840"/>
          <w:pgMar w:top="1340" w:right="1474" w:bottom="1134" w:left="1587" w:header="720" w:footer="720" w:gutter="0"/>
          <w:pgNumType w:fmt="decimal"/>
          <w:cols w:space="720" w:num="1"/>
        </w:sectPr>
      </w:pPr>
      <w:bookmarkStart w:id="77" w:name="_Toc4729"/>
      <w:r>
        <w:rPr>
          <w:rFonts w:hint="eastAsia"/>
          <w:color w:val="auto"/>
          <w:highlight w:val="none"/>
        </w:rPr>
        <w:t>第五章 响应文件格式</w:t>
      </w:r>
      <w:bookmarkEnd w:id="77"/>
    </w:p>
    <w:p w14:paraId="7F969B93">
      <w:pPr>
        <w:pStyle w:val="3"/>
        <w:jc w:val="center"/>
        <w:rPr>
          <w:rFonts w:hint="eastAsia" w:ascii="宋体" w:hAnsi="宋体"/>
          <w:b w:val="0"/>
          <w:color w:val="auto"/>
          <w:highlight w:val="none"/>
          <w:lang w:val="en-US" w:eastAsia="zh-CN"/>
        </w:rPr>
      </w:pPr>
      <w:bookmarkStart w:id="78" w:name="_Toc80205938"/>
      <w:bookmarkStart w:id="79" w:name="_Toc31265"/>
      <w:r>
        <w:rPr>
          <w:rFonts w:hint="eastAsia" w:ascii="宋体" w:hAnsi="宋体"/>
          <w:b w:val="0"/>
          <w:color w:val="auto"/>
          <w:highlight w:val="none"/>
          <w:lang w:val="en-US" w:eastAsia="zh-CN"/>
        </w:rPr>
        <w:t>第一节 封面格式</w:t>
      </w:r>
      <w:bookmarkEnd w:id="78"/>
      <w:bookmarkEnd w:id="79"/>
    </w:p>
    <w:p w14:paraId="1319B876">
      <w:pPr>
        <w:snapToGrid w:val="0"/>
        <w:spacing w:before="120" w:beforeLines="50" w:after="50"/>
        <w:rPr>
          <w:rFonts w:hint="eastAsia" w:ascii="宋体" w:hAnsi="宋体"/>
          <w:color w:val="auto"/>
          <w:sz w:val="24"/>
          <w:szCs w:val="20"/>
          <w:highlight w:val="none"/>
        </w:rPr>
      </w:pPr>
    </w:p>
    <w:p w14:paraId="6BF3FF81">
      <w:pPr>
        <w:snapToGrid w:val="0"/>
        <w:spacing w:before="120" w:beforeLines="50" w:after="50"/>
        <w:jc w:val="center"/>
        <w:rPr>
          <w:rFonts w:hint="eastAsia" w:ascii="宋体" w:hAnsi="宋体"/>
          <w:bCs/>
          <w:color w:val="auto"/>
          <w:sz w:val="24"/>
          <w:szCs w:val="20"/>
          <w:highlight w:val="none"/>
        </w:rPr>
      </w:pPr>
    </w:p>
    <w:p w14:paraId="7A9B5304">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响  应  文  件</w:t>
      </w:r>
    </w:p>
    <w:p w14:paraId="03EB0F51">
      <w:pPr>
        <w:snapToGrid w:val="0"/>
        <w:spacing w:before="120" w:beforeLines="50" w:after="50"/>
        <w:rPr>
          <w:rFonts w:hint="eastAsia" w:ascii="宋体" w:hAnsi="宋体"/>
          <w:bCs/>
          <w:color w:val="auto"/>
          <w:sz w:val="24"/>
          <w:szCs w:val="20"/>
          <w:highlight w:val="none"/>
        </w:rPr>
      </w:pPr>
    </w:p>
    <w:p w14:paraId="3BF7FA50">
      <w:pPr>
        <w:snapToGrid w:val="0"/>
        <w:spacing w:before="120" w:beforeLines="50" w:after="50"/>
        <w:rPr>
          <w:rFonts w:hint="eastAsia" w:ascii="宋体" w:hAnsi="宋体"/>
          <w:bCs/>
          <w:color w:val="auto"/>
          <w:sz w:val="24"/>
          <w:szCs w:val="20"/>
          <w:highlight w:val="none"/>
        </w:rPr>
      </w:pPr>
    </w:p>
    <w:p w14:paraId="13F9B80F">
      <w:pPr>
        <w:snapToGrid w:val="0"/>
        <w:spacing w:before="120" w:beforeLines="50" w:after="50"/>
        <w:rPr>
          <w:rFonts w:hint="eastAsia" w:ascii="仿宋_GB2312" w:hAnsi="仿宋_GB2312" w:eastAsia="仿宋_GB2312" w:cs="仿宋_GB2312"/>
          <w:bCs/>
          <w:color w:val="auto"/>
          <w:sz w:val="32"/>
          <w:szCs w:val="32"/>
          <w:highlight w:val="none"/>
        </w:rPr>
      </w:pPr>
    </w:p>
    <w:p w14:paraId="6A3FAFA9">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2026年南宁市武鸣区基层就业服务网点（就业服务站）项目</w:t>
      </w:r>
    </w:p>
    <w:p w14:paraId="22CA4D44">
      <w:pPr>
        <w:snapToGrid w:val="0"/>
        <w:spacing w:before="120" w:beforeLines="50" w:after="50"/>
        <w:ind w:firstLine="480" w:firstLineChars="150"/>
        <w:rPr>
          <w:rFonts w:hint="eastAsia" w:ascii="宋体" w:hAnsi="宋体" w:cs="仿宋_GB2312"/>
          <w:bCs/>
          <w:color w:val="auto"/>
          <w:sz w:val="32"/>
          <w:szCs w:val="32"/>
          <w:highlight w:val="none"/>
        </w:rPr>
      </w:pPr>
    </w:p>
    <w:p w14:paraId="0216825B">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NNZC2026-C3-100081-GXXZ</w:t>
      </w:r>
    </w:p>
    <w:p w14:paraId="5BE54144">
      <w:pPr>
        <w:snapToGrid w:val="0"/>
        <w:spacing w:before="120" w:beforeLines="50" w:after="50"/>
        <w:ind w:firstLine="480" w:firstLineChars="150"/>
        <w:rPr>
          <w:rFonts w:hint="eastAsia" w:ascii="宋体" w:hAnsi="宋体" w:cs="仿宋_GB2312"/>
          <w:bCs/>
          <w:color w:val="auto"/>
          <w:sz w:val="32"/>
          <w:szCs w:val="32"/>
          <w:highlight w:val="none"/>
        </w:rPr>
      </w:pPr>
    </w:p>
    <w:p w14:paraId="1D8FE70E">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25CA4A0">
      <w:pPr>
        <w:snapToGrid w:val="0"/>
        <w:spacing w:before="120" w:beforeLines="50" w:after="50"/>
        <w:rPr>
          <w:rFonts w:hint="eastAsia" w:ascii="宋体" w:hAnsi="宋体" w:cs="仿宋_GB2312"/>
          <w:bCs/>
          <w:color w:val="auto"/>
          <w:sz w:val="32"/>
          <w:szCs w:val="32"/>
          <w:highlight w:val="none"/>
        </w:rPr>
      </w:pPr>
    </w:p>
    <w:p w14:paraId="31310293">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DEAF5A6">
      <w:pPr>
        <w:snapToGrid w:val="0"/>
        <w:spacing w:before="120" w:beforeLines="50" w:after="50"/>
        <w:rPr>
          <w:rFonts w:hint="eastAsia" w:ascii="宋体" w:hAnsi="宋体" w:cs="仿宋_GB2312"/>
          <w:bCs/>
          <w:color w:val="auto"/>
          <w:sz w:val="32"/>
          <w:szCs w:val="32"/>
          <w:highlight w:val="none"/>
        </w:rPr>
      </w:pPr>
    </w:p>
    <w:p w14:paraId="5881B42F">
      <w:pPr>
        <w:snapToGrid w:val="0"/>
        <w:spacing w:before="120" w:beforeLines="50" w:after="50"/>
        <w:ind w:firstLine="480" w:firstLineChars="150"/>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405B5445">
      <w:pPr>
        <w:snapToGrid w:val="0"/>
        <w:spacing w:before="120" w:beforeLines="50" w:after="50"/>
        <w:ind w:firstLine="5440" w:firstLineChars="1700"/>
        <w:jc w:val="center"/>
        <w:rPr>
          <w:rFonts w:hint="eastAsia" w:ascii="宋体" w:hAnsi="宋体" w:cs="仿宋_GB2312"/>
          <w:bCs/>
          <w:color w:val="auto"/>
          <w:sz w:val="32"/>
          <w:szCs w:val="32"/>
          <w:highlight w:val="none"/>
        </w:rPr>
      </w:pPr>
    </w:p>
    <w:p w14:paraId="67808E9F">
      <w:pPr>
        <w:snapToGrid w:val="0"/>
        <w:spacing w:before="120" w:beforeLines="50" w:after="50"/>
        <w:ind w:firstLine="645"/>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62CE8737">
      <w:pPr>
        <w:rPr>
          <w:color w:val="auto"/>
          <w:highlight w:val="none"/>
        </w:rPr>
        <w:sectPr>
          <w:pgSz w:w="11910" w:h="16840"/>
          <w:pgMar w:top="1340" w:right="1474" w:bottom="1134" w:left="1587" w:header="720" w:footer="720" w:gutter="0"/>
          <w:pgNumType w:fmt="decimal"/>
          <w:cols w:space="720" w:num="1"/>
        </w:sectPr>
      </w:pPr>
    </w:p>
    <w:p w14:paraId="5C4018CE">
      <w:pPr>
        <w:pStyle w:val="3"/>
        <w:jc w:val="center"/>
        <w:rPr>
          <w:rFonts w:hint="eastAsia" w:ascii="宋体" w:hAnsi="宋体"/>
          <w:bCs w:val="0"/>
          <w:color w:val="auto"/>
          <w:highlight w:val="none"/>
        </w:rPr>
      </w:pPr>
      <w:bookmarkStart w:id="80" w:name="_Toc14688"/>
      <w:bookmarkStart w:id="81" w:name="_Toc80205939"/>
      <w:r>
        <w:rPr>
          <w:rFonts w:hint="eastAsia" w:ascii="宋体" w:hAnsi="宋体"/>
          <w:bCs w:val="0"/>
          <w:color w:val="auto"/>
          <w:highlight w:val="none"/>
        </w:rPr>
        <w:t>第二节 资格证明文件格式</w:t>
      </w:r>
      <w:bookmarkEnd w:id="80"/>
      <w:bookmarkEnd w:id="81"/>
    </w:p>
    <w:p w14:paraId="64A8090B">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750BDD47">
      <w:pPr>
        <w:snapToGrid w:val="0"/>
        <w:spacing w:before="120" w:beforeLines="50" w:after="50"/>
        <w:rPr>
          <w:rFonts w:hint="eastAsia" w:ascii="宋体" w:hAnsi="宋体"/>
          <w:color w:val="auto"/>
          <w:sz w:val="24"/>
          <w:szCs w:val="20"/>
          <w:highlight w:val="none"/>
        </w:rPr>
      </w:pPr>
    </w:p>
    <w:p w14:paraId="4D17C387">
      <w:pPr>
        <w:snapToGrid w:val="0"/>
        <w:spacing w:before="120" w:beforeLines="50" w:after="50"/>
        <w:rPr>
          <w:rFonts w:hint="eastAsia" w:ascii="宋体" w:hAnsi="宋体"/>
          <w:color w:val="auto"/>
          <w:sz w:val="24"/>
          <w:szCs w:val="20"/>
          <w:highlight w:val="none"/>
        </w:rPr>
      </w:pPr>
    </w:p>
    <w:p w14:paraId="2DCE4D31">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资  格  证  明  文  件（封面）</w:t>
      </w:r>
    </w:p>
    <w:p w14:paraId="37D20F34">
      <w:pPr>
        <w:snapToGrid w:val="0"/>
        <w:spacing w:before="120" w:beforeLines="50" w:after="50"/>
        <w:rPr>
          <w:rFonts w:hint="eastAsia" w:ascii="宋体" w:hAnsi="宋体"/>
          <w:bCs/>
          <w:color w:val="auto"/>
          <w:sz w:val="24"/>
          <w:szCs w:val="20"/>
          <w:highlight w:val="none"/>
        </w:rPr>
      </w:pPr>
    </w:p>
    <w:p w14:paraId="412DA676">
      <w:pPr>
        <w:snapToGrid w:val="0"/>
        <w:spacing w:before="120" w:beforeLines="50" w:after="50"/>
        <w:rPr>
          <w:rFonts w:hint="eastAsia" w:ascii="宋体" w:hAnsi="宋体"/>
          <w:bCs/>
          <w:color w:val="auto"/>
          <w:sz w:val="24"/>
          <w:szCs w:val="20"/>
          <w:highlight w:val="none"/>
        </w:rPr>
      </w:pPr>
    </w:p>
    <w:p w14:paraId="6557F618">
      <w:pPr>
        <w:snapToGrid w:val="0"/>
        <w:spacing w:before="120" w:beforeLines="50" w:after="50"/>
        <w:rPr>
          <w:rFonts w:hint="eastAsia" w:ascii="宋体" w:hAnsi="宋体"/>
          <w:bCs/>
          <w:color w:val="auto"/>
          <w:sz w:val="24"/>
          <w:szCs w:val="20"/>
          <w:highlight w:val="none"/>
        </w:rPr>
      </w:pPr>
    </w:p>
    <w:p w14:paraId="4A73F006">
      <w:pPr>
        <w:snapToGrid w:val="0"/>
        <w:spacing w:before="120" w:beforeLines="50" w:after="50"/>
        <w:rPr>
          <w:rFonts w:hint="eastAsia" w:ascii="宋体" w:hAnsi="宋体"/>
          <w:bCs/>
          <w:color w:val="auto"/>
          <w:sz w:val="24"/>
          <w:szCs w:val="20"/>
          <w:highlight w:val="none"/>
        </w:rPr>
      </w:pPr>
    </w:p>
    <w:p w14:paraId="0B715805">
      <w:pPr>
        <w:snapToGrid w:val="0"/>
        <w:spacing w:before="120" w:beforeLines="50" w:after="50"/>
        <w:rPr>
          <w:rFonts w:hint="eastAsia" w:ascii="宋体" w:hAnsi="宋体"/>
          <w:bCs/>
          <w:color w:val="auto"/>
          <w:sz w:val="24"/>
          <w:szCs w:val="20"/>
          <w:highlight w:val="none"/>
        </w:rPr>
      </w:pPr>
    </w:p>
    <w:p w14:paraId="78470625">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2026年南宁市武鸣区基层就业服务网点（就业服务站）项目</w:t>
      </w:r>
    </w:p>
    <w:p w14:paraId="7ABE02B4">
      <w:pPr>
        <w:snapToGrid w:val="0"/>
        <w:spacing w:before="120" w:beforeLines="50" w:after="50"/>
        <w:ind w:firstLine="720" w:firstLineChars="225"/>
        <w:rPr>
          <w:rFonts w:hint="eastAsia" w:ascii="宋体" w:hAnsi="宋体" w:cs="仿宋_GB2312"/>
          <w:bCs/>
          <w:color w:val="auto"/>
          <w:sz w:val="32"/>
          <w:szCs w:val="32"/>
          <w:highlight w:val="none"/>
        </w:rPr>
      </w:pPr>
    </w:p>
    <w:p w14:paraId="667B0158">
      <w:pPr>
        <w:snapToGrid w:val="0"/>
        <w:spacing w:before="120" w:beforeLines="50" w:after="50"/>
        <w:ind w:firstLine="720" w:firstLineChars="225"/>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NNZC2026-C3-100081-GXXZ</w:t>
      </w:r>
    </w:p>
    <w:p w14:paraId="423CCFA0">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24C6F157">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14080FE">
      <w:pPr>
        <w:snapToGrid w:val="0"/>
        <w:spacing w:before="120" w:beforeLines="50" w:after="50"/>
        <w:ind w:firstLine="720" w:firstLineChars="225"/>
        <w:rPr>
          <w:rFonts w:hint="eastAsia" w:ascii="宋体" w:hAnsi="宋体" w:cs="仿宋_GB2312"/>
          <w:bCs/>
          <w:color w:val="auto"/>
          <w:sz w:val="32"/>
          <w:szCs w:val="32"/>
          <w:highlight w:val="none"/>
        </w:rPr>
      </w:pPr>
    </w:p>
    <w:p w14:paraId="718A1BBA">
      <w:pPr>
        <w:pStyle w:val="7"/>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05EE486">
      <w:pPr>
        <w:pStyle w:val="7"/>
        <w:snapToGrid w:val="0"/>
        <w:spacing w:before="50" w:after="50"/>
        <w:ind w:firstLine="720" w:firstLineChars="225"/>
        <w:rPr>
          <w:rFonts w:hint="eastAsia" w:ascii="宋体" w:hAnsi="宋体" w:cs="仿宋_GB2312"/>
          <w:bCs/>
          <w:color w:val="auto"/>
          <w:sz w:val="32"/>
          <w:szCs w:val="32"/>
          <w:highlight w:val="none"/>
        </w:rPr>
      </w:pPr>
    </w:p>
    <w:p w14:paraId="49516BA8">
      <w:pPr>
        <w:pStyle w:val="7"/>
        <w:snapToGrid w:val="0"/>
        <w:spacing w:before="50" w:after="50"/>
        <w:ind w:firstLine="720" w:firstLineChars="225"/>
        <w:rPr>
          <w:rFonts w:hint="eastAsia" w:ascii="宋体" w:hAnsi="宋体" w:cs="仿宋_GB2312"/>
          <w:bCs/>
          <w:color w:val="auto"/>
          <w:sz w:val="32"/>
          <w:szCs w:val="32"/>
          <w:highlight w:val="none"/>
        </w:rPr>
      </w:pPr>
    </w:p>
    <w:p w14:paraId="2D601C3E">
      <w:pPr>
        <w:pStyle w:val="7"/>
        <w:snapToGrid w:val="0"/>
        <w:spacing w:before="50" w:after="50"/>
        <w:ind w:firstLine="720" w:firstLineChars="225"/>
        <w:rPr>
          <w:rFonts w:hint="eastAsia" w:ascii="宋体" w:hAnsi="宋体" w:cs="仿宋_GB2312"/>
          <w:bCs/>
          <w:color w:val="auto"/>
          <w:sz w:val="32"/>
          <w:szCs w:val="32"/>
          <w:highlight w:val="none"/>
        </w:rPr>
      </w:pPr>
    </w:p>
    <w:p w14:paraId="7EF44E69">
      <w:pPr>
        <w:pStyle w:val="7"/>
        <w:snapToGrid w:val="0"/>
        <w:spacing w:before="50" w:after="50"/>
        <w:ind w:firstLine="1280" w:firstLineChars="400"/>
        <w:rPr>
          <w:rFonts w:hint="eastAsia" w:ascii="宋体" w:hAnsi="宋体" w:cs="仿宋_GB2312"/>
          <w:bCs/>
          <w:color w:val="auto"/>
          <w:sz w:val="32"/>
          <w:szCs w:val="32"/>
          <w:highlight w:val="none"/>
        </w:rPr>
      </w:pPr>
    </w:p>
    <w:p w14:paraId="7E024483">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CD004DF">
      <w:pPr>
        <w:snapToGrid w:val="0"/>
        <w:spacing w:before="120" w:beforeLines="50" w:after="50" w:line="360" w:lineRule="auto"/>
        <w:jc w:val="center"/>
        <w:rPr>
          <w:rFonts w:hint="eastAsia" w:ascii="仿宋_GB2312" w:hAnsi="仿宋" w:eastAsia="仿宋_GB2312" w:cs="仿宋_GB2312"/>
          <w:b/>
          <w:color w:val="auto"/>
          <w:kern w:val="0"/>
          <w:sz w:val="36"/>
          <w:szCs w:val="36"/>
          <w:highlight w:val="none"/>
        </w:rPr>
      </w:pPr>
      <w:r>
        <w:rPr>
          <w:rFonts w:ascii="宋体" w:hAnsi="宋体"/>
          <w:color w:val="auto"/>
          <w:sz w:val="24"/>
          <w:highlight w:val="none"/>
        </w:rPr>
        <w:br w:type="page"/>
      </w:r>
      <w:r>
        <w:rPr>
          <w:rFonts w:hint="eastAsia" w:ascii="宋体" w:hAnsi="宋体"/>
          <w:b/>
          <w:bCs/>
          <w:color w:val="auto"/>
          <w:sz w:val="32"/>
          <w:szCs w:val="32"/>
          <w:highlight w:val="none"/>
        </w:rPr>
        <w:t xml:space="preserve"> </w:t>
      </w:r>
      <w:r>
        <w:rPr>
          <w:rFonts w:hint="eastAsia" w:ascii="仿宋_GB2312" w:hAnsi="仿宋" w:eastAsia="仿宋_GB2312" w:cs="仿宋_GB2312"/>
          <w:b/>
          <w:color w:val="auto"/>
          <w:kern w:val="0"/>
          <w:sz w:val="36"/>
          <w:szCs w:val="36"/>
          <w:highlight w:val="none"/>
        </w:rPr>
        <w:t>资格证明文件目录</w:t>
      </w:r>
    </w:p>
    <w:p w14:paraId="216E87B2">
      <w:pPr>
        <w:snapToGrid w:val="0"/>
        <w:spacing w:line="360" w:lineRule="auto"/>
        <w:rPr>
          <w:rFonts w:hint="eastAsia" w:ascii="仿宋_GB2312" w:hAnsi="仿宋" w:eastAsia="仿宋_GB2312" w:cs="仿宋_GB2312"/>
          <w:color w:val="auto"/>
          <w:kern w:val="0"/>
          <w:sz w:val="24"/>
          <w:highlight w:val="none"/>
        </w:rPr>
      </w:pPr>
    </w:p>
    <w:p w14:paraId="26D77565">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营业执照</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或事业法人登记证或其他工商等登记证明材料</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复印件（供应商为自然人的，须提供</w:t>
      </w:r>
      <w:r>
        <w:rPr>
          <w:rFonts w:hint="eastAsia" w:ascii="仿宋_GB2312" w:hAnsi="仿宋" w:eastAsia="仿宋_GB2312" w:cs="Helvetica"/>
          <w:color w:val="auto"/>
          <w:kern w:val="0"/>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kern w:val="0"/>
          <w:sz w:val="24"/>
          <w:highlight w:val="none"/>
        </w:rPr>
        <w:t>…………………………………………（页码）</w:t>
      </w:r>
    </w:p>
    <w:p w14:paraId="4CFF8496">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二、符合参与政府采购活动的资格条件依法缴纳税收、社会保障资金等方面的材料…………………………………………………………………………………（页码）</w:t>
      </w:r>
    </w:p>
    <w:p w14:paraId="10FB86D5">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三、财务状况报告方面的材料…………………………………………………（页码）</w:t>
      </w:r>
    </w:p>
    <w:p w14:paraId="6F7B842A">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四、供应商直接控股股东信息</w:t>
      </w:r>
      <w:r>
        <w:rPr>
          <w:rFonts w:hint="eastAsia" w:ascii="仿宋_GB2312" w:hAnsi="仿宋" w:eastAsia="仿宋_GB2312" w:cs="仿宋_GB2312"/>
          <w:color w:val="auto"/>
          <w:kern w:val="0"/>
          <w:sz w:val="24"/>
          <w:highlight w:val="none"/>
        </w:rPr>
        <w:t>…………………………………………………（页码）</w:t>
      </w:r>
    </w:p>
    <w:p w14:paraId="67B6D153">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五、供应商直接关联关系信息表</w:t>
      </w:r>
      <w:r>
        <w:rPr>
          <w:rFonts w:hint="eastAsia" w:ascii="仿宋_GB2312" w:hAnsi="仿宋" w:eastAsia="仿宋_GB2312" w:cs="仿宋_GB2312"/>
          <w:color w:val="auto"/>
          <w:kern w:val="0"/>
          <w:sz w:val="24"/>
          <w:highlight w:val="none"/>
        </w:rPr>
        <w:t>………………………………………………（页码）</w:t>
      </w:r>
    </w:p>
    <w:p w14:paraId="07BE1068">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六、资格声明函…………………………………………………………………（页码）</w:t>
      </w:r>
    </w:p>
    <w:p w14:paraId="321DD804">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七、</w:t>
      </w:r>
      <w:r>
        <w:rPr>
          <w:rFonts w:hint="eastAsia" w:ascii="仿宋_GB2312" w:hAnsi="仿宋" w:eastAsia="仿宋_GB2312" w:cs="仿宋_GB2312"/>
          <w:color w:val="auto"/>
          <w:kern w:val="0"/>
          <w:sz w:val="24"/>
          <w:highlight w:val="none"/>
          <w:lang w:eastAsia="zh-CN"/>
        </w:rPr>
        <w:t>人力资源服务许可证扫描件</w:t>
      </w:r>
      <w:r>
        <w:rPr>
          <w:rFonts w:hint="eastAsia" w:ascii="仿宋_GB2312" w:hAnsi="仿宋" w:eastAsia="仿宋_GB2312" w:cs="仿宋_GB2312"/>
          <w:color w:val="auto"/>
          <w:kern w:val="0"/>
          <w:sz w:val="24"/>
          <w:highlight w:val="none"/>
        </w:rPr>
        <w:t>…………………</w:t>
      </w:r>
      <w:r>
        <w:rPr>
          <w:rFonts w:hint="eastAsia" w:ascii="仿宋_GB2312" w:hAnsi="仿宋" w:eastAsia="仿宋_GB2312" w:cs="仿宋_GB2312"/>
          <w:color w:val="auto"/>
          <w:kern w:val="0"/>
          <w:sz w:val="24"/>
          <w:highlight w:val="none"/>
          <w:lang w:eastAsia="zh-CN"/>
        </w:rPr>
        <w:t>…</w:t>
      </w:r>
      <w:r>
        <w:rPr>
          <w:rFonts w:hint="eastAsia" w:ascii="仿宋_GB2312" w:hAnsi="仿宋" w:eastAsia="仿宋_GB2312" w:cs="仿宋_GB2312"/>
          <w:color w:val="auto"/>
          <w:kern w:val="0"/>
          <w:sz w:val="24"/>
          <w:highlight w:val="none"/>
        </w:rPr>
        <w:t>……………………（页码）</w:t>
      </w:r>
    </w:p>
    <w:p w14:paraId="5E9A3C12">
      <w:pPr>
        <w:snapToGrid w:val="0"/>
        <w:spacing w:line="360" w:lineRule="auto"/>
        <w:rPr>
          <w:rFonts w:hint="eastAsia" w:ascii="仿宋_GB2312" w:hAnsi="仿宋" w:eastAsia="仿宋_GB2312" w:cs="仿宋_GB2312"/>
          <w:color w:val="auto"/>
          <w:kern w:val="0"/>
          <w:sz w:val="24"/>
          <w:highlight w:val="none"/>
          <w:lang w:eastAsia="zh-CN"/>
        </w:rPr>
      </w:pPr>
      <w:r>
        <w:rPr>
          <w:rFonts w:hint="eastAsia" w:ascii="仿宋_GB2312" w:hAnsi="仿宋" w:eastAsia="仿宋_GB2312" w:cs="仿宋_GB2312"/>
          <w:color w:val="auto"/>
          <w:kern w:val="0"/>
          <w:sz w:val="24"/>
          <w:highlight w:val="none"/>
          <w:lang w:eastAsia="zh-CN"/>
        </w:rPr>
        <w:t>八、</w:t>
      </w:r>
      <w:r>
        <w:rPr>
          <w:rFonts w:hint="eastAsia" w:ascii="仿宋_GB2312" w:hAnsi="仿宋" w:eastAsia="仿宋_GB2312" w:cs="仿宋_GB2312"/>
          <w:color w:val="auto"/>
          <w:sz w:val="24"/>
          <w:highlight w:val="none"/>
        </w:rPr>
        <w:t>中小企业声明函或残疾人福利性单位声明函或投标人属于监狱企业的证明材料（页码）</w:t>
      </w:r>
    </w:p>
    <w:p w14:paraId="3CE41A50">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eastAsia="zh-CN"/>
        </w:rPr>
        <w:t>九、</w:t>
      </w:r>
      <w:r>
        <w:rPr>
          <w:rFonts w:hint="eastAsia" w:ascii="仿宋_GB2312" w:hAnsi="仿宋" w:eastAsia="仿宋_GB2312" w:cs="仿宋_GB2312"/>
          <w:color w:val="auto"/>
          <w:kern w:val="0"/>
          <w:sz w:val="24"/>
          <w:highlight w:val="none"/>
        </w:rPr>
        <w:t>除磋商文件规定必须提供以外，供应商认为需要提供的其他证明材料（页码）</w:t>
      </w:r>
    </w:p>
    <w:p w14:paraId="40BADD1D">
      <w:pPr>
        <w:spacing w:line="360" w:lineRule="auto"/>
        <w:rPr>
          <w:rFonts w:hint="eastAsia" w:ascii="仿宋_GB2312" w:hAnsi="仿宋_GB2312" w:eastAsia="仿宋_GB2312" w:cs="仿宋_GB2312"/>
          <w:b/>
          <w:bCs/>
          <w:color w:val="auto"/>
          <w:sz w:val="24"/>
          <w:highlight w:val="none"/>
        </w:rPr>
      </w:pPr>
    </w:p>
    <w:p w14:paraId="056D8A2D">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注：以上目录是编制供应商响应文件的基本格式要求，各供应商可根据自身情况进一步细化。</w:t>
      </w:r>
    </w:p>
    <w:p w14:paraId="3DF8D413">
      <w:pPr>
        <w:snapToGrid w:val="0"/>
        <w:spacing w:before="120" w:beforeLines="50" w:after="50" w:line="360" w:lineRule="auto"/>
        <w:ind w:left="142" w:firstLine="420" w:firstLineChars="200"/>
        <w:jc w:val="left"/>
        <w:rPr>
          <w:rFonts w:hint="eastAsia" w:ascii="宋体" w:hAnsi="宋体"/>
          <w:color w:val="auto"/>
          <w:szCs w:val="21"/>
          <w:highlight w:val="none"/>
        </w:rPr>
      </w:pPr>
    </w:p>
    <w:p w14:paraId="13EEEFF6">
      <w:pPr>
        <w:spacing w:line="300" w:lineRule="auto"/>
        <w:rPr>
          <w:rFonts w:hint="eastAsia" w:ascii="宋体" w:hAnsi="宋体"/>
          <w:color w:val="auto"/>
          <w:szCs w:val="21"/>
          <w:highlight w:val="none"/>
        </w:rPr>
      </w:pPr>
    </w:p>
    <w:p w14:paraId="69C92025">
      <w:pPr>
        <w:spacing w:line="300" w:lineRule="auto"/>
        <w:rPr>
          <w:rFonts w:hint="eastAsia" w:ascii="宋体" w:hAnsi="宋体"/>
          <w:color w:val="auto"/>
          <w:szCs w:val="21"/>
          <w:highlight w:val="none"/>
        </w:rPr>
      </w:pPr>
    </w:p>
    <w:p w14:paraId="6E421494">
      <w:pPr>
        <w:spacing w:line="300" w:lineRule="auto"/>
        <w:rPr>
          <w:rFonts w:hint="eastAsia" w:ascii="宋体" w:hAnsi="宋体"/>
          <w:color w:val="auto"/>
          <w:szCs w:val="21"/>
          <w:highlight w:val="none"/>
        </w:rPr>
      </w:pPr>
    </w:p>
    <w:p w14:paraId="571D27DB">
      <w:pPr>
        <w:spacing w:line="300" w:lineRule="auto"/>
        <w:rPr>
          <w:rFonts w:hint="eastAsia" w:ascii="宋体" w:hAnsi="宋体"/>
          <w:color w:val="auto"/>
          <w:szCs w:val="21"/>
          <w:highlight w:val="none"/>
        </w:rPr>
      </w:pPr>
    </w:p>
    <w:p w14:paraId="3E27FA77">
      <w:pPr>
        <w:spacing w:line="300" w:lineRule="auto"/>
        <w:rPr>
          <w:rFonts w:hint="eastAsia" w:ascii="宋体" w:hAnsi="宋体"/>
          <w:color w:val="auto"/>
          <w:szCs w:val="21"/>
          <w:highlight w:val="none"/>
        </w:rPr>
      </w:pPr>
    </w:p>
    <w:p w14:paraId="11EFEE41">
      <w:pPr>
        <w:spacing w:line="300" w:lineRule="auto"/>
        <w:rPr>
          <w:rFonts w:hint="eastAsia" w:ascii="宋体" w:hAnsi="宋体"/>
          <w:color w:val="auto"/>
          <w:szCs w:val="21"/>
          <w:highlight w:val="none"/>
        </w:rPr>
      </w:pPr>
    </w:p>
    <w:p w14:paraId="0487CCD8">
      <w:pPr>
        <w:spacing w:line="300" w:lineRule="auto"/>
        <w:rPr>
          <w:rFonts w:hint="eastAsia" w:ascii="宋体" w:hAnsi="宋体"/>
          <w:color w:val="auto"/>
          <w:szCs w:val="21"/>
          <w:highlight w:val="none"/>
        </w:rPr>
      </w:pPr>
    </w:p>
    <w:p w14:paraId="7255B3B3">
      <w:pPr>
        <w:spacing w:line="300" w:lineRule="auto"/>
        <w:rPr>
          <w:rFonts w:hint="eastAsia" w:ascii="宋体" w:hAnsi="宋体"/>
          <w:color w:val="auto"/>
          <w:szCs w:val="21"/>
          <w:highlight w:val="none"/>
        </w:rPr>
      </w:pPr>
    </w:p>
    <w:p w14:paraId="0E1B0C84">
      <w:pPr>
        <w:spacing w:line="300" w:lineRule="auto"/>
        <w:rPr>
          <w:rFonts w:hint="eastAsia" w:ascii="宋体" w:hAnsi="宋体"/>
          <w:color w:val="auto"/>
          <w:szCs w:val="21"/>
          <w:highlight w:val="none"/>
        </w:rPr>
      </w:pPr>
    </w:p>
    <w:p w14:paraId="6D6B34AE">
      <w:pPr>
        <w:pStyle w:val="17"/>
        <w:spacing w:line="360" w:lineRule="auto"/>
        <w:ind w:firstLine="400" w:firstLineChars="200"/>
        <w:rPr>
          <w:rFonts w:ascii="仿宋" w:hAnsi="仿宋" w:eastAsia="仿宋" w:cs="仿宋_GB2312"/>
          <w:b/>
          <w:color w:val="auto"/>
          <w:sz w:val="30"/>
          <w:szCs w:val="30"/>
          <w:highlight w:val="none"/>
        </w:rPr>
      </w:pPr>
      <w:r>
        <w:rPr>
          <w:rFonts w:hAnsi="宋体"/>
          <w:color w:val="auto"/>
          <w:highlight w:val="none"/>
        </w:rPr>
        <w:br w:type="page"/>
      </w:r>
      <w:r>
        <w:rPr>
          <w:rFonts w:hint="eastAsia" w:hAnsi="宋体"/>
          <w:color w:val="auto"/>
          <w:highlight w:val="none"/>
        </w:rPr>
        <w:t xml:space="preserve"> </w:t>
      </w:r>
      <w:r>
        <w:rPr>
          <w:rFonts w:hAnsi="宋体"/>
          <w:color w:val="auto"/>
          <w:highlight w:val="none"/>
        </w:rPr>
        <w:t xml:space="preserve"> </w:t>
      </w:r>
      <w:r>
        <w:rPr>
          <w:rFonts w:hint="eastAsia" w:hAnsi="宋体"/>
          <w:color w:val="auto"/>
          <w:highlight w:val="none"/>
        </w:rPr>
        <w:t xml:space="preserve"> </w:t>
      </w:r>
      <w:r>
        <w:rPr>
          <w:rFonts w:hint="eastAsia" w:ascii="仿宋" w:hAnsi="仿宋" w:eastAsia="仿宋" w:cs="仿宋_GB2312"/>
          <w:b/>
          <w:color w:val="auto"/>
          <w:sz w:val="30"/>
          <w:szCs w:val="30"/>
          <w:highlight w:val="none"/>
        </w:rPr>
        <w:t>一、营业执照</w:t>
      </w:r>
      <w:r>
        <w:rPr>
          <w:rFonts w:hint="eastAsia" w:ascii="仿宋" w:hAnsi="仿宋" w:eastAsia="仿宋" w:cs="仿宋_GB2312"/>
          <w:b/>
          <w:color w:val="auto"/>
          <w:sz w:val="30"/>
          <w:szCs w:val="30"/>
          <w:highlight w:val="none"/>
          <w:lang w:eastAsia="zh-CN"/>
        </w:rPr>
        <w:t>（</w:t>
      </w:r>
      <w:r>
        <w:rPr>
          <w:rFonts w:hint="eastAsia" w:ascii="仿宋" w:hAnsi="仿宋" w:eastAsia="仿宋" w:cs="仿宋_GB2312"/>
          <w:b/>
          <w:color w:val="auto"/>
          <w:sz w:val="30"/>
          <w:szCs w:val="30"/>
          <w:highlight w:val="none"/>
        </w:rPr>
        <w:t>或事业法人登记证或其他工商等登记证明材料</w:t>
      </w:r>
      <w:r>
        <w:rPr>
          <w:rFonts w:hint="eastAsia" w:ascii="仿宋" w:hAnsi="仿宋" w:eastAsia="仿宋" w:cs="仿宋_GB2312"/>
          <w:b/>
          <w:color w:val="auto"/>
          <w:sz w:val="30"/>
          <w:szCs w:val="30"/>
          <w:highlight w:val="none"/>
          <w:lang w:eastAsia="zh-CN"/>
        </w:rPr>
        <w:t>）</w:t>
      </w:r>
      <w:r>
        <w:rPr>
          <w:rFonts w:hint="eastAsia" w:ascii="仿宋" w:hAnsi="仿宋" w:eastAsia="仿宋" w:cs="仿宋_GB2312"/>
          <w:b/>
          <w:color w:val="auto"/>
          <w:sz w:val="30"/>
          <w:szCs w:val="30"/>
          <w:highlight w:val="none"/>
        </w:rPr>
        <w:t>复印件（</w:t>
      </w:r>
      <w:r>
        <w:rPr>
          <w:rFonts w:hint="eastAsia" w:ascii="仿宋" w:hAnsi="仿宋" w:eastAsia="仿宋" w:cs="仿宋_GB2312"/>
          <w:b/>
          <w:color w:val="auto"/>
          <w:sz w:val="30"/>
          <w:szCs w:val="30"/>
          <w:highlight w:val="none"/>
          <w:lang w:eastAsia="zh-CN"/>
        </w:rPr>
        <w:t>供应商</w:t>
      </w:r>
      <w:r>
        <w:rPr>
          <w:rFonts w:hint="eastAsia" w:ascii="仿宋" w:hAnsi="仿宋" w:eastAsia="仿宋" w:cs="仿宋_GB2312"/>
          <w:b/>
          <w:color w:val="auto"/>
          <w:sz w:val="30"/>
          <w:szCs w:val="30"/>
          <w:highlight w:val="none"/>
        </w:rPr>
        <w:t>为自然人的，提供自然人的身份证明）</w:t>
      </w:r>
    </w:p>
    <w:p w14:paraId="3AC5BA85">
      <w:pPr>
        <w:pStyle w:val="17"/>
        <w:spacing w:line="360" w:lineRule="auto"/>
        <w:ind w:firstLine="602" w:firstLineChars="200"/>
        <w:rPr>
          <w:rFonts w:ascii="仿宋" w:hAnsi="仿宋" w:eastAsia="仿宋" w:cs="仿宋_GB2312"/>
          <w:b/>
          <w:color w:val="auto"/>
          <w:sz w:val="30"/>
          <w:szCs w:val="30"/>
          <w:highlight w:val="none"/>
        </w:rPr>
      </w:pPr>
    </w:p>
    <w:p w14:paraId="2C3D83C6">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0F8EB6C">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051C6AE1">
      <w:pPr>
        <w:snapToGrid w:val="0"/>
        <w:spacing w:before="120" w:beforeLines="50" w:after="50"/>
        <w:rPr>
          <w:rFonts w:ascii="宋体" w:hAnsi="宋体"/>
          <w:color w:val="auto"/>
          <w:sz w:val="24"/>
          <w:szCs w:val="20"/>
          <w:highlight w:val="none"/>
        </w:rPr>
      </w:pPr>
    </w:p>
    <w:p w14:paraId="22BD2717">
      <w:pPr>
        <w:pStyle w:val="17"/>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eastAsia="zh-CN"/>
        </w:rPr>
        <w:t>二、</w:t>
      </w:r>
      <w:r>
        <w:rPr>
          <w:rFonts w:hint="eastAsia" w:ascii="仿宋" w:hAnsi="仿宋" w:eastAsia="仿宋" w:cs="仿宋_GB2312"/>
          <w:b/>
          <w:color w:val="auto"/>
          <w:sz w:val="30"/>
          <w:szCs w:val="30"/>
          <w:highlight w:val="none"/>
        </w:rPr>
        <w:t>符合参与政府采购活动的资格条件依法缴纳税收、社会保障资金等方面的材料</w:t>
      </w:r>
    </w:p>
    <w:p w14:paraId="0DF0C349">
      <w:pPr>
        <w:spacing w:line="300" w:lineRule="auto"/>
        <w:rPr>
          <w:rFonts w:hint="eastAsia" w:ascii="宋体" w:hAnsi="宋体"/>
          <w:color w:val="auto"/>
          <w:szCs w:val="21"/>
          <w:highlight w:val="none"/>
        </w:rPr>
      </w:pPr>
    </w:p>
    <w:p w14:paraId="2F0DBA27">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1AE0CB6">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778DAEB0">
      <w:pPr>
        <w:spacing w:line="300" w:lineRule="auto"/>
        <w:rPr>
          <w:rFonts w:hint="eastAsia" w:ascii="宋体" w:hAnsi="宋体"/>
          <w:color w:val="auto"/>
          <w:szCs w:val="21"/>
          <w:highlight w:val="none"/>
        </w:rPr>
      </w:pPr>
    </w:p>
    <w:p w14:paraId="5A4F9F1B">
      <w:pPr>
        <w:spacing w:line="300" w:lineRule="auto"/>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三、财务状况报告方面的材料</w:t>
      </w:r>
    </w:p>
    <w:p w14:paraId="70C98582">
      <w:pPr>
        <w:spacing w:line="300" w:lineRule="auto"/>
        <w:rPr>
          <w:rFonts w:hint="eastAsia" w:ascii="宋体" w:hAnsi="宋体"/>
          <w:color w:val="auto"/>
          <w:szCs w:val="21"/>
          <w:highlight w:val="none"/>
        </w:rPr>
      </w:pPr>
    </w:p>
    <w:p w14:paraId="7CCCC508">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DB56804">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54E1E1BE">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00CCF98F">
      <w:pPr>
        <w:snapToGrid w:val="0"/>
        <w:spacing w:before="120" w:beforeLines="50" w:after="50" w:line="360" w:lineRule="auto"/>
        <w:jc w:val="center"/>
        <w:rPr>
          <w:rFonts w:hint="eastAsia" w:ascii="宋体" w:hAnsi="宋体"/>
          <w:b/>
          <w:color w:val="auto"/>
          <w:sz w:val="24"/>
          <w:highlight w:val="none"/>
        </w:rPr>
      </w:pPr>
    </w:p>
    <w:p w14:paraId="603B938D">
      <w:pPr>
        <w:spacing w:line="360" w:lineRule="auto"/>
        <w:ind w:firstLine="596" w:firstLineChars="198"/>
        <w:contextualSpacing/>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四、供应商直接控股股东信息</w:t>
      </w:r>
    </w:p>
    <w:p w14:paraId="60A5A094">
      <w:pPr>
        <w:spacing w:line="360" w:lineRule="auto"/>
        <w:contextualSpacing/>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53D297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2B50AE">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6651E8">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34AED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015901">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F5DF3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BE5315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7421B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895301">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FA603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E1461F">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809A53">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r w14:paraId="33BD7AC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6B18E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22ED52">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8C2CF0">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2CBA52">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5B6E18">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r w14:paraId="561209C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BE245F">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E23CEE">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18FC0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9042E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FC7C18">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r w14:paraId="44E6159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371E59">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1C23FA">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6AF6EF">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8BD8C6">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E99960">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auto"/>
                <w:kern w:val="0"/>
                <w:sz w:val="24"/>
                <w:highlight w:val="none"/>
              </w:rPr>
            </w:pPr>
          </w:p>
        </w:tc>
      </w:tr>
    </w:tbl>
    <w:p w14:paraId="68A9B242">
      <w:pPr>
        <w:spacing w:line="360" w:lineRule="auto"/>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5DE16349">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7722378">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2.本表所指的控股关系仅限于直接控股关系，不包括间接的控股关系。公司实际控制人与公司之间的关系不属于本表所指的直接控股关系。</w:t>
      </w:r>
    </w:p>
    <w:p w14:paraId="10D295A4">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3.供应商不存在直接控股股东的，则填“无”。</w:t>
      </w:r>
    </w:p>
    <w:p w14:paraId="134C5BB6">
      <w:pPr>
        <w:snapToGrid w:val="0"/>
        <w:spacing w:line="360" w:lineRule="auto"/>
        <w:jc w:val="left"/>
        <w:rPr>
          <w:rFonts w:hint="eastAsia" w:ascii="宋体" w:hAnsi="宋体" w:cs="宋体"/>
          <w:color w:val="auto"/>
          <w:sz w:val="24"/>
          <w:highlight w:val="none"/>
        </w:rPr>
      </w:pPr>
    </w:p>
    <w:p w14:paraId="7650B9A9">
      <w:pPr>
        <w:snapToGrid w:val="0"/>
        <w:spacing w:line="360" w:lineRule="auto"/>
        <w:jc w:val="left"/>
        <w:rPr>
          <w:rFonts w:hint="eastAsia" w:ascii="宋体" w:hAnsi="宋体" w:cs="宋体"/>
          <w:color w:val="auto"/>
          <w:sz w:val="24"/>
          <w:highlight w:val="none"/>
        </w:rPr>
      </w:pPr>
    </w:p>
    <w:p w14:paraId="692E60A6">
      <w:pPr>
        <w:snapToGrid w:val="0"/>
        <w:spacing w:line="360" w:lineRule="auto"/>
        <w:jc w:val="left"/>
        <w:rPr>
          <w:rFonts w:hint="eastAsia" w:ascii="宋体" w:hAnsi="宋体" w:cs="宋体"/>
          <w:color w:val="auto"/>
          <w:sz w:val="24"/>
          <w:highlight w:val="none"/>
        </w:rPr>
      </w:pPr>
    </w:p>
    <w:p w14:paraId="168711ED">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8D7C302">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065B3BB8">
      <w:pPr>
        <w:snapToGrid w:val="0"/>
        <w:rPr>
          <w:rFonts w:hint="eastAsia" w:ascii="仿宋" w:hAnsi="仿宋" w:eastAsia="仿宋" w:cs="仿宋_GB2312"/>
          <w:b/>
          <w:color w:val="auto"/>
          <w:kern w:val="0"/>
          <w:sz w:val="30"/>
          <w:szCs w:val="30"/>
          <w:highlight w:val="none"/>
        </w:rPr>
      </w:pPr>
    </w:p>
    <w:p w14:paraId="377C8F30">
      <w:pPr>
        <w:snapToGrid w:val="0"/>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五、供应商直接管理关系信息表</w:t>
      </w:r>
    </w:p>
    <w:p w14:paraId="7D5B08EB">
      <w:pPr>
        <w:snapToGrid w:val="0"/>
        <w:spacing w:line="360" w:lineRule="auto"/>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BF7F0B5">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0BCB0E">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A70F62">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4E9000">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C938D9">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1D773A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83E93E">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942A89">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5BC02C">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075770">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r w14:paraId="68EB42A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8CB79A">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32197">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B17727">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8A7A2E">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r w14:paraId="5AAAD0A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D50989">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9022F5">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ECC7AF">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39C5BD">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r w14:paraId="6114E76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5C169D">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EB9556">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6BAA64">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4AF64B">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auto"/>
                <w:kern w:val="0"/>
                <w:sz w:val="24"/>
                <w:highlight w:val="none"/>
              </w:rPr>
            </w:pPr>
          </w:p>
        </w:tc>
      </w:tr>
    </w:tbl>
    <w:p w14:paraId="0380E3A2">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664368B6">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1.管理关系：是指不具有出资持股关系的其他单位之间存在的管理与被管理关系，如一些上下级关系的事业单位和团体组织。</w:t>
      </w:r>
    </w:p>
    <w:p w14:paraId="00AA0FDE">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2.本表所指的管理关系仅限于直接管理关系，不包括间接的管理关系。</w:t>
      </w:r>
    </w:p>
    <w:p w14:paraId="43E8CBAA">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3.供应商不存在直接管理关系的，则填“无”。</w:t>
      </w:r>
    </w:p>
    <w:p w14:paraId="71554B93">
      <w:pPr>
        <w:spacing w:line="360" w:lineRule="auto"/>
        <w:contextualSpacing/>
        <w:jc w:val="left"/>
        <w:rPr>
          <w:rFonts w:hint="eastAsia"/>
          <w:color w:val="auto"/>
          <w:sz w:val="24"/>
          <w:highlight w:val="none"/>
        </w:rPr>
      </w:pPr>
    </w:p>
    <w:p w14:paraId="7B7C0CE2">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4E4CC58">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77448369">
      <w:pPr>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w:t>
      </w:r>
    </w:p>
    <w:p w14:paraId="0A6F5C9F">
      <w:pPr>
        <w:spacing w:line="320" w:lineRule="exact"/>
        <w:ind w:firstLine="560" w:firstLineChars="200"/>
        <w:jc w:val="left"/>
        <w:rPr>
          <w:rFonts w:ascii="宋体" w:hAnsi="宋体"/>
          <w:color w:val="auto"/>
          <w:sz w:val="28"/>
          <w:szCs w:val="28"/>
          <w:highlight w:val="none"/>
        </w:rPr>
      </w:pPr>
      <w:r>
        <w:rPr>
          <w:rFonts w:ascii="宋体" w:hAnsi="宋体"/>
          <w:color w:val="auto"/>
          <w:sz w:val="28"/>
          <w:szCs w:val="28"/>
          <w:highlight w:val="none"/>
        </w:rPr>
        <w:br w:type="page"/>
      </w:r>
      <w:r>
        <w:rPr>
          <w:rFonts w:hint="eastAsia" w:ascii="仿宋" w:hAnsi="仿宋" w:eastAsia="仿宋" w:cs="仿宋_GB2312"/>
          <w:b/>
          <w:color w:val="auto"/>
          <w:kern w:val="0"/>
          <w:sz w:val="30"/>
          <w:szCs w:val="30"/>
          <w:highlight w:val="none"/>
        </w:rPr>
        <w:t>六、资格声明函</w:t>
      </w:r>
    </w:p>
    <w:p w14:paraId="3FDC599D">
      <w:pPr>
        <w:spacing w:line="320" w:lineRule="exact"/>
        <w:jc w:val="center"/>
        <w:rPr>
          <w:rFonts w:hint="eastAsia" w:ascii="宋体" w:hAnsi="宋体"/>
          <w:b/>
          <w:color w:val="auto"/>
          <w:sz w:val="32"/>
          <w:szCs w:val="32"/>
          <w:highlight w:val="none"/>
        </w:rPr>
      </w:pPr>
    </w:p>
    <w:p w14:paraId="49B421A6">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6E6468EA">
      <w:pPr>
        <w:spacing w:line="320" w:lineRule="exact"/>
        <w:jc w:val="center"/>
        <w:rPr>
          <w:rFonts w:hint="eastAsia" w:ascii="宋体" w:hAnsi="宋体"/>
          <w:color w:val="auto"/>
          <w:sz w:val="24"/>
          <w:szCs w:val="20"/>
          <w:highlight w:val="none"/>
        </w:rPr>
      </w:pPr>
    </w:p>
    <w:p w14:paraId="1B12D226">
      <w:pPr>
        <w:spacing w:line="360" w:lineRule="auto"/>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致：</w:t>
      </w:r>
      <w:bookmarkStart w:id="82" w:name="PO_3000001868_PM031_6"/>
      <w:r>
        <w:rPr>
          <w:rFonts w:hint="eastAsia" w:ascii="仿宋_GB2312" w:hAnsi="宋体" w:eastAsia="仿宋_GB2312" w:cs="宋体"/>
          <w:color w:val="auto"/>
          <w:sz w:val="24"/>
          <w:highlight w:val="none"/>
          <w:u w:val="single"/>
        </w:rPr>
        <w:t>广西翔正项目管理有限公司</w:t>
      </w:r>
      <w:bookmarkEnd w:id="82"/>
      <w:r>
        <w:rPr>
          <w:rFonts w:hint="eastAsia" w:ascii="仿宋_GB2312" w:hAnsi="宋体" w:eastAsia="仿宋_GB2312" w:cs="宋体"/>
          <w:color w:val="auto"/>
          <w:sz w:val="24"/>
          <w:highlight w:val="none"/>
        </w:rPr>
        <w:t>：</w:t>
      </w:r>
    </w:p>
    <w:p w14:paraId="1FB796CF">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w:t>
      </w:r>
    </w:p>
    <w:p w14:paraId="2349C78E">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r>
        <w:rPr>
          <w:rFonts w:hint="eastAsia" w:ascii="仿宋_GB2312" w:hAnsi="宋体" w:eastAsia="仿宋_GB2312" w:cs="宋体"/>
          <w:color w:val="auto"/>
          <w:sz w:val="24"/>
          <w:highlight w:val="none"/>
          <w:u w:val="single"/>
          <w:lang w:eastAsia="zh-CN"/>
        </w:rPr>
        <w:t>2026年南宁市武鸣区基层就业服务网点（就业服务站）项目</w:t>
      </w:r>
      <w:r>
        <w:rPr>
          <w:rFonts w:hint="eastAsia" w:ascii="仿宋_GB2312" w:hAnsi="宋体" w:eastAsia="仿宋_GB2312" w:cs="宋体"/>
          <w:color w:val="auto"/>
          <w:sz w:val="24"/>
          <w:highlight w:val="none"/>
          <w:u w:val="single"/>
        </w:rPr>
        <w:t>）</w:t>
      </w:r>
      <w:r>
        <w:rPr>
          <w:rFonts w:hint="eastAsia" w:ascii="仿宋_GB2312" w:hAnsi="宋体" w:eastAsia="仿宋_GB2312" w:cs="宋体"/>
          <w:color w:val="auto"/>
          <w:sz w:val="24"/>
          <w:highlight w:val="none"/>
        </w:rPr>
        <w:t>项目的竞标，为便于贵方公正、</w:t>
      </w:r>
      <w:r>
        <w:rPr>
          <w:rFonts w:hint="eastAsia" w:ascii="仿宋_GB2312" w:hAnsi="宋体" w:eastAsia="仿宋_GB2312" w:cs="宋体"/>
          <w:color w:val="auto"/>
          <w:sz w:val="24"/>
          <w:highlight w:val="none"/>
          <w:lang w:eastAsia="zh-CN"/>
        </w:rPr>
        <w:t>择优地确定</w:t>
      </w:r>
      <w:r>
        <w:rPr>
          <w:rFonts w:hint="eastAsia" w:ascii="仿宋_GB2312" w:hAnsi="宋体" w:eastAsia="仿宋_GB2312" w:cs="宋体"/>
          <w:color w:val="auto"/>
          <w:sz w:val="24"/>
          <w:highlight w:val="none"/>
        </w:rPr>
        <w:t>成交供应商及其竞标产品和服务，我方就本次竞标有关事项郑重声明如下：</w:t>
      </w:r>
    </w:p>
    <w:p w14:paraId="0B62C331">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7DB864C0">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1EDC6D5">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7E9AA536">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（1）将按磋商文件的约定履行合同责任和义务；</w:t>
      </w:r>
    </w:p>
    <w:p w14:paraId="7092E9F2">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（2）已详细审查全部磋商文件，包括澄清或者更正公告（如有）；</w:t>
      </w:r>
    </w:p>
    <w:p w14:paraId="728D6857">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（3）同意提供按照贵方可能要求的与谈判有关的一切数据或者资料；</w:t>
      </w:r>
    </w:p>
    <w:p w14:paraId="4E6EF409">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（4）响应磋商文件规定的竞标有效期。</w:t>
      </w:r>
    </w:p>
    <w:p w14:paraId="7FE2018C">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902F22F">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1D60E7E">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583B554">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内容中</w:t>
      </w:r>
      <w:r>
        <w:rPr>
          <w:rFonts w:hint="eastAsia" w:ascii="仿宋_GB2312" w:hAnsi="宋体" w:eastAsia="仿宋_GB2312" w:cs="宋体"/>
          <w:color w:val="auto"/>
          <w:sz w:val="24"/>
          <w:highlight w:val="none"/>
        </w:rPr>
        <w:t>未</w:t>
      </w:r>
      <w:r>
        <w:rPr>
          <w:rFonts w:hint="eastAsia" w:ascii="仿宋_GB2312" w:hAnsi="宋体" w:eastAsia="仿宋_GB2312" w:cs="宋体"/>
          <w:color w:val="auto"/>
          <w:kern w:val="0"/>
          <w:sz w:val="24"/>
          <w:highlight w:val="none"/>
        </w:rPr>
        <w:t>涉及商业秘密；</w:t>
      </w:r>
    </w:p>
    <w:p w14:paraId="78E10F27">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涉及商业秘密的内容有：</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w:t>
      </w:r>
    </w:p>
    <w:p w14:paraId="203DFEF2">
      <w:pPr>
        <w:pStyle w:val="17"/>
        <w:spacing w:line="360" w:lineRule="auto"/>
        <w:ind w:firstLine="480" w:firstLineChars="200"/>
        <w:contextualSpacing/>
        <w:rPr>
          <w:rFonts w:hint="eastAsia" w:ascii="仿宋_GB2312" w:hAnsi="宋体" w:eastAsia="仿宋_GB2312" w:cs="宋体"/>
          <w:color w:val="auto"/>
          <w:sz w:val="24"/>
          <w:szCs w:val="24"/>
          <w:highlight w:val="none"/>
          <w:u w:val="single"/>
        </w:rPr>
      </w:pPr>
      <w:r>
        <w:rPr>
          <w:rFonts w:hint="eastAsia" w:ascii="仿宋_GB2312" w:hAnsi="宋体" w:eastAsia="仿宋_GB2312" w:cs="宋体"/>
          <w:color w:val="auto"/>
          <w:sz w:val="24"/>
          <w:szCs w:val="24"/>
          <w:highlight w:val="none"/>
        </w:rPr>
        <w:t>7.与本</w:t>
      </w:r>
      <w:r>
        <w:rPr>
          <w:rFonts w:hint="eastAsia" w:ascii="仿宋_GB2312" w:hAnsi="宋体" w:eastAsia="仿宋_GB2312" w:cs="宋体"/>
          <w:color w:val="auto"/>
          <w:sz w:val="24"/>
          <w:szCs w:val="24"/>
          <w:highlight w:val="none"/>
          <w:lang w:eastAsia="zh-CN"/>
        </w:rPr>
        <w:t>磋商</w:t>
      </w:r>
      <w:r>
        <w:rPr>
          <w:rFonts w:hint="eastAsia" w:ascii="仿宋_GB2312" w:hAnsi="宋体" w:eastAsia="仿宋_GB2312" w:cs="宋体"/>
          <w:color w:val="auto"/>
          <w:sz w:val="24"/>
          <w:szCs w:val="24"/>
          <w:highlight w:val="none"/>
        </w:rPr>
        <w:t>有关的一切正式往来信函请寄：</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邮政编号：</w:t>
      </w:r>
      <w:r>
        <w:rPr>
          <w:rFonts w:hint="eastAsia" w:ascii="仿宋_GB2312" w:hAnsi="宋体" w:eastAsia="仿宋_GB2312" w:cs="宋体"/>
          <w:color w:val="auto"/>
          <w:sz w:val="24"/>
          <w:szCs w:val="24"/>
          <w:highlight w:val="none"/>
          <w:u w:val="single"/>
        </w:rPr>
        <w:t xml:space="preserve">        </w:t>
      </w:r>
    </w:p>
    <w:p w14:paraId="5AEF6940">
      <w:pPr>
        <w:pStyle w:val="17"/>
        <w:spacing w:line="360" w:lineRule="auto"/>
        <w:ind w:firstLine="480" w:firstLineChars="200"/>
        <w:contextualSpacing/>
        <w:rPr>
          <w:rFonts w:hint="eastAsia"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电话/传真：</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 xml:space="preserve"> 电子函件：</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 xml:space="preserve">    </w:t>
      </w:r>
    </w:p>
    <w:p w14:paraId="402089B4">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 xml:space="preserve">  </w:t>
      </w:r>
      <w:r>
        <w:rPr>
          <w:rFonts w:hint="eastAsia" w:ascii="仿宋_GB2312" w:hAnsi="宋体" w:eastAsia="仿宋_GB2312" w:cs="宋体"/>
          <w:color w:val="auto"/>
          <w:sz w:val="24"/>
          <w:highlight w:val="none"/>
          <w:lang w:eastAsia="zh-CN"/>
        </w:rPr>
        <w:t>账号</w:t>
      </w:r>
      <w:r>
        <w:rPr>
          <w:rFonts w:hint="eastAsia" w:ascii="仿宋_GB2312" w:hAnsi="宋体" w:eastAsia="仿宋_GB2312" w:cs="宋体"/>
          <w:color w:val="auto"/>
          <w:sz w:val="24"/>
          <w:highlight w:val="none"/>
        </w:rPr>
        <w:t>：</w:t>
      </w:r>
      <w:r>
        <w:rPr>
          <w:rFonts w:hint="eastAsia" w:ascii="仿宋_GB2312" w:hAnsi="宋体" w:eastAsia="仿宋_GB2312" w:cs="宋体"/>
          <w:color w:val="auto"/>
          <w:sz w:val="24"/>
          <w:highlight w:val="none"/>
          <w:u w:val="single"/>
        </w:rPr>
        <w:t xml:space="preserve">                               </w:t>
      </w:r>
    </w:p>
    <w:p w14:paraId="42D8E184">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7E94CE14">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0629485A">
      <w:pPr>
        <w:pStyle w:val="15"/>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2D70434E">
      <w:pPr>
        <w:pStyle w:val="15"/>
        <w:tabs>
          <w:tab w:val="left" w:pos="939"/>
        </w:tabs>
        <w:spacing w:line="360" w:lineRule="auto"/>
        <w:ind w:left="0" w:leftChars="0" w:firstLine="480" w:firstLineChars="200"/>
        <w:rPr>
          <w:rFonts w:hint="eastAsia" w:ascii="宋体" w:hAnsi="宋体" w:cs="宋体"/>
          <w:color w:val="auto"/>
          <w:sz w:val="24"/>
          <w:highlight w:val="none"/>
        </w:rPr>
      </w:pPr>
    </w:p>
    <w:p w14:paraId="02B252C0">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56585E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2ADC4422">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315DC5F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365346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1226422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610914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1E097A2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8483DD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20AE9F70">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3261B3E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3169EE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6DDFE670">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59C02A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054BE46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08B71E2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5CBA9EE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179B372">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19F7B55C">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01F2A5F6">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329BFC25">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0196F01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24A0E7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141FF77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2DFD0C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_GB2312"/>
          <w:b/>
          <w:color w:val="auto"/>
          <w:kern w:val="0"/>
          <w:sz w:val="30"/>
          <w:szCs w:val="30"/>
          <w:highlight w:val="none"/>
          <w:lang w:val="en-US" w:eastAsia="zh-CN" w:bidi="ar-SA"/>
        </w:rPr>
      </w:pPr>
      <w:r>
        <w:rPr>
          <w:rFonts w:hint="eastAsia" w:ascii="仿宋" w:hAnsi="仿宋" w:eastAsia="仿宋" w:cs="仿宋_GB2312"/>
          <w:b/>
          <w:color w:val="auto"/>
          <w:kern w:val="0"/>
          <w:sz w:val="30"/>
          <w:szCs w:val="30"/>
          <w:highlight w:val="none"/>
          <w:lang w:val="en-US" w:eastAsia="zh-CN" w:bidi="ar-SA"/>
        </w:rPr>
        <w:t>七、人力资源服务许可证扫描件（必须提供，否则响应文件按无效响应处理）</w:t>
      </w:r>
    </w:p>
    <w:p w14:paraId="5E17E45C">
      <w:pPr>
        <w:rPr>
          <w:rFonts w:hint="eastAsia"/>
          <w:color w:val="auto"/>
          <w:highlight w:val="none"/>
          <w:lang w:val="en-US" w:eastAsia="zh-CN"/>
        </w:rPr>
      </w:pPr>
    </w:p>
    <w:p w14:paraId="49116A8E">
      <w:pPr>
        <w:rPr>
          <w:rFonts w:hint="eastAsia" w:ascii="仿宋" w:hAnsi="仿宋" w:eastAsia="仿宋" w:cs="仿宋_GB2312"/>
          <w:b/>
          <w:color w:val="auto"/>
          <w:kern w:val="0"/>
          <w:sz w:val="30"/>
          <w:szCs w:val="30"/>
          <w:highlight w:val="none"/>
          <w:lang w:val="en-US" w:eastAsia="zh-CN" w:bidi="ar-SA"/>
        </w:rPr>
      </w:pPr>
    </w:p>
    <w:p w14:paraId="4A3D1CD0">
      <w:pPr>
        <w:rPr>
          <w:rFonts w:hint="eastAsia" w:ascii="仿宋" w:hAnsi="仿宋" w:eastAsia="仿宋" w:cs="仿宋_GB2312"/>
          <w:b/>
          <w:color w:val="auto"/>
          <w:kern w:val="0"/>
          <w:sz w:val="30"/>
          <w:szCs w:val="30"/>
          <w:highlight w:val="none"/>
          <w:lang w:val="en-US" w:eastAsia="zh-CN" w:bidi="ar-SA"/>
        </w:rPr>
      </w:pPr>
    </w:p>
    <w:p w14:paraId="1B84C5CE">
      <w:pPr>
        <w:rPr>
          <w:rFonts w:hint="eastAsia" w:ascii="仿宋" w:hAnsi="仿宋" w:eastAsia="仿宋" w:cs="仿宋_GB2312"/>
          <w:b/>
          <w:color w:val="auto"/>
          <w:kern w:val="0"/>
          <w:sz w:val="30"/>
          <w:szCs w:val="30"/>
          <w:highlight w:val="none"/>
          <w:lang w:val="en-US" w:eastAsia="zh-CN" w:bidi="ar-SA"/>
        </w:rPr>
      </w:pPr>
    </w:p>
    <w:p w14:paraId="15476B18">
      <w:pPr>
        <w:rPr>
          <w:rFonts w:hint="eastAsia" w:ascii="仿宋" w:hAnsi="仿宋" w:eastAsia="仿宋" w:cs="仿宋_GB2312"/>
          <w:b/>
          <w:color w:val="auto"/>
          <w:kern w:val="0"/>
          <w:sz w:val="30"/>
          <w:szCs w:val="30"/>
          <w:highlight w:val="none"/>
          <w:lang w:val="en-US" w:eastAsia="zh-CN" w:bidi="ar-SA"/>
        </w:rPr>
      </w:pPr>
    </w:p>
    <w:p w14:paraId="6525F4B7">
      <w:pPr>
        <w:rPr>
          <w:rFonts w:hint="eastAsia" w:ascii="仿宋" w:hAnsi="仿宋" w:eastAsia="仿宋" w:cs="仿宋_GB2312"/>
          <w:b/>
          <w:color w:val="auto"/>
          <w:kern w:val="0"/>
          <w:sz w:val="30"/>
          <w:szCs w:val="30"/>
          <w:highlight w:val="none"/>
          <w:lang w:val="en-US" w:eastAsia="zh-CN" w:bidi="ar-SA"/>
        </w:rPr>
      </w:pPr>
    </w:p>
    <w:p w14:paraId="7F7B5D02">
      <w:pPr>
        <w:rPr>
          <w:rFonts w:hint="eastAsia" w:ascii="仿宋" w:hAnsi="仿宋" w:eastAsia="仿宋" w:cs="仿宋_GB2312"/>
          <w:b/>
          <w:color w:val="auto"/>
          <w:kern w:val="0"/>
          <w:sz w:val="30"/>
          <w:szCs w:val="30"/>
          <w:highlight w:val="none"/>
          <w:lang w:val="en-US" w:eastAsia="zh-CN" w:bidi="ar-SA"/>
        </w:rPr>
      </w:pPr>
    </w:p>
    <w:p w14:paraId="2B79186E">
      <w:pPr>
        <w:rPr>
          <w:rFonts w:hint="eastAsia" w:ascii="仿宋" w:hAnsi="仿宋" w:eastAsia="仿宋" w:cs="仿宋_GB2312"/>
          <w:b/>
          <w:color w:val="auto"/>
          <w:kern w:val="0"/>
          <w:sz w:val="30"/>
          <w:szCs w:val="30"/>
          <w:highlight w:val="none"/>
          <w:lang w:val="en-US" w:eastAsia="zh-CN" w:bidi="ar-SA"/>
        </w:rPr>
      </w:pPr>
    </w:p>
    <w:p w14:paraId="6BC8E462">
      <w:pPr>
        <w:rPr>
          <w:rFonts w:hint="eastAsia" w:ascii="仿宋" w:hAnsi="仿宋" w:eastAsia="仿宋" w:cs="仿宋_GB2312"/>
          <w:b/>
          <w:color w:val="auto"/>
          <w:kern w:val="0"/>
          <w:sz w:val="30"/>
          <w:szCs w:val="30"/>
          <w:highlight w:val="none"/>
          <w:lang w:val="en-US" w:eastAsia="zh-CN" w:bidi="ar-SA"/>
        </w:rPr>
      </w:pPr>
    </w:p>
    <w:p w14:paraId="2E0DA9AE">
      <w:pPr>
        <w:rPr>
          <w:rFonts w:hint="eastAsia" w:ascii="仿宋" w:hAnsi="仿宋" w:eastAsia="仿宋" w:cs="仿宋_GB2312"/>
          <w:b/>
          <w:color w:val="auto"/>
          <w:kern w:val="0"/>
          <w:sz w:val="30"/>
          <w:szCs w:val="30"/>
          <w:highlight w:val="none"/>
          <w:lang w:val="en-US" w:eastAsia="zh-CN" w:bidi="ar-SA"/>
        </w:rPr>
      </w:pPr>
    </w:p>
    <w:p w14:paraId="40C8C1AC">
      <w:pPr>
        <w:rPr>
          <w:rFonts w:hint="eastAsia" w:ascii="仿宋" w:hAnsi="仿宋" w:eastAsia="仿宋" w:cs="仿宋_GB2312"/>
          <w:b/>
          <w:color w:val="auto"/>
          <w:kern w:val="0"/>
          <w:sz w:val="30"/>
          <w:szCs w:val="30"/>
          <w:highlight w:val="none"/>
          <w:lang w:val="en-US" w:eastAsia="zh-CN" w:bidi="ar-SA"/>
        </w:rPr>
      </w:pPr>
    </w:p>
    <w:p w14:paraId="670D30B5">
      <w:pPr>
        <w:rPr>
          <w:rFonts w:hint="eastAsia" w:ascii="仿宋" w:hAnsi="仿宋" w:eastAsia="仿宋" w:cs="仿宋_GB2312"/>
          <w:b/>
          <w:color w:val="auto"/>
          <w:kern w:val="0"/>
          <w:sz w:val="30"/>
          <w:szCs w:val="30"/>
          <w:highlight w:val="none"/>
          <w:lang w:val="en-US" w:eastAsia="zh-CN" w:bidi="ar-SA"/>
        </w:rPr>
      </w:pPr>
    </w:p>
    <w:p w14:paraId="3D6A0FCD">
      <w:pPr>
        <w:rPr>
          <w:rFonts w:hint="eastAsia" w:ascii="仿宋" w:hAnsi="仿宋" w:eastAsia="仿宋" w:cs="仿宋_GB2312"/>
          <w:b/>
          <w:color w:val="auto"/>
          <w:kern w:val="0"/>
          <w:sz w:val="30"/>
          <w:szCs w:val="30"/>
          <w:highlight w:val="none"/>
          <w:lang w:val="en-US" w:eastAsia="zh-CN" w:bidi="ar-SA"/>
        </w:rPr>
      </w:pPr>
    </w:p>
    <w:p w14:paraId="462B8BCA">
      <w:pPr>
        <w:rPr>
          <w:rFonts w:hint="eastAsia" w:ascii="仿宋" w:hAnsi="仿宋" w:eastAsia="仿宋" w:cs="仿宋_GB2312"/>
          <w:b/>
          <w:color w:val="auto"/>
          <w:kern w:val="0"/>
          <w:sz w:val="30"/>
          <w:szCs w:val="30"/>
          <w:highlight w:val="none"/>
          <w:lang w:val="en-US" w:eastAsia="zh-CN" w:bidi="ar-SA"/>
        </w:rPr>
      </w:pPr>
    </w:p>
    <w:p w14:paraId="78CEE7D7">
      <w:pPr>
        <w:rPr>
          <w:rFonts w:hint="eastAsia" w:ascii="仿宋" w:hAnsi="仿宋" w:eastAsia="仿宋" w:cs="仿宋_GB2312"/>
          <w:b/>
          <w:color w:val="auto"/>
          <w:kern w:val="0"/>
          <w:sz w:val="30"/>
          <w:szCs w:val="30"/>
          <w:highlight w:val="none"/>
          <w:lang w:val="en-US" w:eastAsia="zh-CN" w:bidi="ar-SA"/>
        </w:rPr>
      </w:pPr>
    </w:p>
    <w:p w14:paraId="2DC887DE">
      <w:pPr>
        <w:rPr>
          <w:rFonts w:hint="eastAsia" w:ascii="仿宋" w:hAnsi="仿宋" w:eastAsia="仿宋" w:cs="仿宋_GB2312"/>
          <w:b/>
          <w:color w:val="auto"/>
          <w:kern w:val="0"/>
          <w:sz w:val="30"/>
          <w:szCs w:val="30"/>
          <w:highlight w:val="none"/>
          <w:lang w:val="en-US" w:eastAsia="zh-CN" w:bidi="ar-SA"/>
        </w:rPr>
      </w:pPr>
    </w:p>
    <w:p w14:paraId="4D5C4A70">
      <w:pPr>
        <w:rPr>
          <w:rFonts w:hint="eastAsia" w:ascii="仿宋" w:hAnsi="仿宋" w:eastAsia="仿宋" w:cs="仿宋_GB2312"/>
          <w:b/>
          <w:color w:val="auto"/>
          <w:kern w:val="0"/>
          <w:sz w:val="30"/>
          <w:szCs w:val="30"/>
          <w:highlight w:val="none"/>
          <w:lang w:val="en-US" w:eastAsia="zh-CN" w:bidi="ar-SA"/>
        </w:rPr>
      </w:pPr>
    </w:p>
    <w:p w14:paraId="41670913">
      <w:pPr>
        <w:rPr>
          <w:rFonts w:hint="eastAsia" w:ascii="仿宋" w:hAnsi="仿宋" w:eastAsia="仿宋" w:cs="仿宋_GB2312"/>
          <w:b/>
          <w:color w:val="auto"/>
          <w:kern w:val="0"/>
          <w:sz w:val="30"/>
          <w:szCs w:val="30"/>
          <w:highlight w:val="none"/>
          <w:lang w:val="en-US" w:eastAsia="zh-CN" w:bidi="ar-SA"/>
        </w:rPr>
      </w:pPr>
    </w:p>
    <w:p w14:paraId="63D3ED6F">
      <w:pPr>
        <w:rPr>
          <w:rFonts w:hint="eastAsia" w:ascii="仿宋" w:hAnsi="仿宋" w:eastAsia="仿宋" w:cs="仿宋_GB2312"/>
          <w:b/>
          <w:color w:val="auto"/>
          <w:kern w:val="0"/>
          <w:sz w:val="30"/>
          <w:szCs w:val="30"/>
          <w:highlight w:val="none"/>
          <w:lang w:val="en-US" w:eastAsia="zh-CN" w:bidi="ar-SA"/>
        </w:rPr>
      </w:pPr>
    </w:p>
    <w:p w14:paraId="72152C48">
      <w:pPr>
        <w:rPr>
          <w:rFonts w:hint="eastAsia" w:ascii="仿宋" w:hAnsi="仿宋" w:eastAsia="仿宋" w:cs="仿宋_GB2312"/>
          <w:b/>
          <w:color w:val="auto"/>
          <w:kern w:val="0"/>
          <w:sz w:val="30"/>
          <w:szCs w:val="30"/>
          <w:highlight w:val="none"/>
          <w:lang w:val="en-US" w:eastAsia="zh-CN" w:bidi="ar-SA"/>
        </w:rPr>
      </w:pPr>
    </w:p>
    <w:p w14:paraId="5696D43D">
      <w:pPr>
        <w:rPr>
          <w:rFonts w:hint="eastAsia" w:ascii="仿宋" w:hAnsi="仿宋" w:eastAsia="仿宋" w:cs="仿宋_GB2312"/>
          <w:b/>
          <w:color w:val="auto"/>
          <w:kern w:val="0"/>
          <w:sz w:val="30"/>
          <w:szCs w:val="30"/>
          <w:highlight w:val="none"/>
          <w:lang w:val="en-US" w:eastAsia="zh-CN" w:bidi="ar-SA"/>
        </w:rPr>
      </w:pPr>
    </w:p>
    <w:p w14:paraId="4266C361">
      <w:pPr>
        <w:rPr>
          <w:rFonts w:hint="eastAsia" w:ascii="仿宋" w:hAnsi="仿宋" w:eastAsia="仿宋" w:cs="仿宋_GB2312"/>
          <w:b/>
          <w:color w:val="auto"/>
          <w:kern w:val="0"/>
          <w:sz w:val="30"/>
          <w:szCs w:val="30"/>
          <w:highlight w:val="none"/>
          <w:lang w:val="en-US" w:eastAsia="zh-CN" w:bidi="ar-SA"/>
        </w:rPr>
      </w:pPr>
    </w:p>
    <w:p w14:paraId="70C9C226">
      <w:pPr>
        <w:rPr>
          <w:rFonts w:hint="eastAsia" w:ascii="仿宋" w:hAnsi="仿宋" w:eastAsia="仿宋" w:cs="仿宋_GB2312"/>
          <w:b/>
          <w:color w:val="auto"/>
          <w:kern w:val="0"/>
          <w:sz w:val="30"/>
          <w:szCs w:val="30"/>
          <w:highlight w:val="none"/>
          <w:lang w:val="en-US" w:eastAsia="zh-CN" w:bidi="ar-SA"/>
        </w:rPr>
      </w:pPr>
    </w:p>
    <w:p w14:paraId="78BF5F21">
      <w:pPr>
        <w:rPr>
          <w:rFonts w:hint="eastAsia" w:ascii="仿宋" w:hAnsi="仿宋" w:eastAsia="仿宋" w:cs="仿宋_GB2312"/>
          <w:b/>
          <w:color w:val="auto"/>
          <w:kern w:val="0"/>
          <w:sz w:val="30"/>
          <w:szCs w:val="30"/>
          <w:highlight w:val="none"/>
          <w:lang w:val="en-US" w:eastAsia="zh-CN" w:bidi="ar-SA"/>
        </w:rPr>
      </w:pPr>
    </w:p>
    <w:p w14:paraId="476C1628">
      <w:pPr>
        <w:rPr>
          <w:rFonts w:hint="eastAsia" w:ascii="仿宋" w:hAnsi="仿宋" w:eastAsia="仿宋" w:cs="仿宋_GB2312"/>
          <w:b/>
          <w:color w:val="auto"/>
          <w:kern w:val="0"/>
          <w:sz w:val="30"/>
          <w:szCs w:val="30"/>
          <w:highlight w:val="none"/>
          <w:lang w:val="en-US" w:eastAsia="zh-CN" w:bidi="ar-SA"/>
        </w:rPr>
      </w:pPr>
    </w:p>
    <w:p w14:paraId="234CABDA">
      <w:pPr>
        <w:rPr>
          <w:rFonts w:hint="eastAsia" w:ascii="仿宋" w:hAnsi="仿宋" w:eastAsia="仿宋" w:cs="仿宋_GB2312"/>
          <w:b/>
          <w:color w:val="auto"/>
          <w:kern w:val="0"/>
          <w:sz w:val="30"/>
          <w:szCs w:val="30"/>
          <w:highlight w:val="none"/>
          <w:lang w:val="en-US" w:eastAsia="zh-CN" w:bidi="ar-SA"/>
        </w:rPr>
      </w:pPr>
    </w:p>
    <w:p w14:paraId="510ACA90">
      <w:pPr>
        <w:rPr>
          <w:rFonts w:hint="eastAsia" w:ascii="仿宋" w:hAnsi="仿宋" w:eastAsia="仿宋" w:cs="仿宋_GB2312"/>
          <w:b/>
          <w:color w:val="auto"/>
          <w:kern w:val="0"/>
          <w:sz w:val="30"/>
          <w:szCs w:val="30"/>
          <w:highlight w:val="none"/>
          <w:lang w:val="en-US" w:eastAsia="zh-CN" w:bidi="ar-SA"/>
        </w:rPr>
      </w:pPr>
    </w:p>
    <w:p w14:paraId="700DE929">
      <w:pPr>
        <w:rPr>
          <w:rFonts w:hint="eastAsia" w:ascii="仿宋" w:hAnsi="仿宋" w:eastAsia="仿宋" w:cs="仿宋_GB2312"/>
          <w:b/>
          <w:color w:val="auto"/>
          <w:kern w:val="0"/>
          <w:sz w:val="30"/>
          <w:szCs w:val="30"/>
          <w:highlight w:val="none"/>
          <w:lang w:val="en-US" w:eastAsia="zh-CN" w:bidi="ar-SA"/>
        </w:rPr>
      </w:pPr>
    </w:p>
    <w:p w14:paraId="5759D4B9">
      <w:pPr>
        <w:pStyle w:val="7"/>
        <w:rPr>
          <w:rFonts w:hint="eastAsia"/>
          <w:color w:val="auto"/>
          <w:highlight w:val="none"/>
          <w:lang w:val="en-US" w:eastAsia="zh-CN"/>
        </w:rPr>
      </w:pPr>
    </w:p>
    <w:p w14:paraId="2E42F30D">
      <w:pPr>
        <w:rPr>
          <w:rFonts w:hint="eastAsia" w:ascii="仿宋" w:hAnsi="仿宋" w:eastAsia="仿宋" w:cs="仿宋_GB2312"/>
          <w:b/>
          <w:color w:val="auto"/>
          <w:kern w:val="0"/>
          <w:sz w:val="30"/>
          <w:szCs w:val="30"/>
          <w:highlight w:val="none"/>
          <w:lang w:val="en-US" w:eastAsia="zh-CN" w:bidi="ar-SA"/>
        </w:rPr>
      </w:pPr>
    </w:p>
    <w:p w14:paraId="5A771902">
      <w:pPr>
        <w:snapToGrid w:val="0"/>
        <w:spacing w:before="50" w:after="165" w:afterLines="50"/>
        <w:jc w:val="center"/>
        <w:rPr>
          <w:rFonts w:hint="eastAsia" w:ascii="宋体" w:hAnsi="宋体"/>
          <w:b/>
          <w:color w:val="auto"/>
          <w:sz w:val="32"/>
          <w:szCs w:val="32"/>
          <w:highlight w:val="none"/>
        </w:rPr>
      </w:pPr>
      <w:r>
        <w:rPr>
          <w:rFonts w:hint="eastAsia" w:ascii="宋体" w:hAnsi="宋体"/>
          <w:b/>
          <w:color w:val="auto"/>
          <w:sz w:val="32"/>
          <w:szCs w:val="32"/>
          <w:highlight w:val="none"/>
        </w:rPr>
        <w:t>八、中小企业声明函或残疾人福利性单位声明函或投标人属于监狱企业的证明材料</w:t>
      </w:r>
    </w:p>
    <w:p w14:paraId="21522D0D">
      <w:pPr>
        <w:pStyle w:val="17"/>
        <w:jc w:val="center"/>
        <w:rPr>
          <w:rFonts w:hint="eastAsia" w:ascii="Times New Roman" w:hAnsi="Times New Roman"/>
          <w:b/>
          <w:color w:val="auto"/>
          <w:sz w:val="30"/>
          <w:szCs w:val="30"/>
          <w:highlight w:val="none"/>
        </w:rPr>
      </w:pPr>
      <w:r>
        <w:rPr>
          <w:rFonts w:hint="eastAsia" w:ascii="Times New Roman" w:hAnsi="Times New Roman"/>
          <w:b/>
          <w:color w:val="auto"/>
          <w:sz w:val="30"/>
          <w:szCs w:val="30"/>
          <w:highlight w:val="none"/>
        </w:rPr>
        <w:t>中小企业声明函</w:t>
      </w:r>
    </w:p>
    <w:p w14:paraId="66D84AF3">
      <w:pPr>
        <w:pStyle w:val="14"/>
        <w:rPr>
          <w:rFonts w:ascii="Times New Roman"/>
          <w:color w:val="auto"/>
          <w:sz w:val="21"/>
          <w:szCs w:val="21"/>
          <w:highlight w:val="none"/>
        </w:rPr>
      </w:pPr>
      <w:r>
        <w:rPr>
          <w:rFonts w:hint="eastAsia" w:ascii="Times New Roman" w:hAnsi="宋体"/>
          <w:color w:val="auto"/>
          <w:sz w:val="21"/>
          <w:szCs w:val="21"/>
          <w:highlight w:val="none"/>
        </w:rPr>
        <w:t>说明：</w:t>
      </w:r>
    </w:p>
    <w:p w14:paraId="104CA05A">
      <w:pPr>
        <w:pStyle w:val="14"/>
        <w:ind w:firstLine="420" w:firstLineChars="200"/>
        <w:rPr>
          <w:rFonts w:ascii="Times New Roman"/>
          <w:color w:val="auto"/>
          <w:sz w:val="21"/>
          <w:szCs w:val="21"/>
          <w:highlight w:val="none"/>
        </w:rPr>
      </w:pPr>
      <w:r>
        <w:rPr>
          <w:rFonts w:ascii="Times New Roman"/>
          <w:color w:val="auto"/>
          <w:sz w:val="21"/>
          <w:szCs w:val="21"/>
          <w:highlight w:val="none"/>
        </w:rPr>
        <w:t>1</w:t>
      </w:r>
      <w:r>
        <w:rPr>
          <w:rFonts w:hint="eastAsia" w:ascii="Times New Roman" w:hAnsi="宋体"/>
          <w:color w:val="auto"/>
          <w:sz w:val="21"/>
          <w:szCs w:val="21"/>
          <w:highlight w:val="none"/>
        </w:rPr>
        <w:t>、本声明函主要供参加政府采购活动的中小企业填写，非中小企业无需填写。</w:t>
      </w:r>
    </w:p>
    <w:p w14:paraId="337378AC">
      <w:pPr>
        <w:pStyle w:val="14"/>
        <w:ind w:firstLine="420" w:firstLineChars="200"/>
        <w:rPr>
          <w:rFonts w:ascii="Times New Roman" w:hAnsi="宋体"/>
          <w:color w:val="auto"/>
          <w:sz w:val="21"/>
          <w:szCs w:val="21"/>
          <w:highlight w:val="none"/>
        </w:rPr>
      </w:pPr>
      <w:r>
        <w:rPr>
          <w:rFonts w:ascii="Times New Roman"/>
          <w:color w:val="auto"/>
          <w:sz w:val="21"/>
          <w:szCs w:val="21"/>
          <w:highlight w:val="none"/>
        </w:rPr>
        <w:t>2</w:t>
      </w:r>
      <w:r>
        <w:rPr>
          <w:rFonts w:hint="eastAsia" w:ascii="Times New Roman" w:hAnsi="宋体"/>
          <w:color w:val="auto"/>
          <w:sz w:val="21"/>
          <w:szCs w:val="21"/>
          <w:highlight w:val="none"/>
        </w:rPr>
        <w:t>、小型、微型企业提供中型企业提供的服务的，视同为中型企业。</w:t>
      </w:r>
    </w:p>
    <w:p w14:paraId="1444A088">
      <w:pPr>
        <w:pStyle w:val="14"/>
        <w:ind w:firstLine="420" w:firstLineChars="200"/>
        <w:rPr>
          <w:rFonts w:ascii="Times New Roman" w:hAnsi="宋体"/>
          <w:color w:val="auto"/>
          <w:sz w:val="21"/>
          <w:szCs w:val="21"/>
          <w:highlight w:val="none"/>
        </w:rPr>
      </w:pPr>
    </w:p>
    <w:p w14:paraId="1A746D43">
      <w:pPr>
        <w:pStyle w:val="13"/>
        <w:spacing w:line="500" w:lineRule="exact"/>
        <w:ind w:right="142"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本公司（联合体）郑重声明，根据《政府采购促进中小企业发展管理办法》（财库﹝2020﹞46号）的规定，本公司（联合体）参加</w:t>
      </w:r>
      <w:r>
        <w:rPr>
          <w:rFonts w:hint="eastAsia" w:ascii="宋体" w:hAnsi="宋体"/>
          <w:color w:val="auto"/>
          <w:highlight w:val="none"/>
          <w:u w:val="single"/>
          <w:lang w:val="en-US" w:eastAsia="zh-CN"/>
        </w:rPr>
        <w:t xml:space="preserve"> </w:t>
      </w:r>
      <w:r>
        <w:rPr>
          <w:rFonts w:hint="eastAsia" w:ascii="宋体" w:hAnsi="宋体" w:eastAsia="宋体" w:cs="Times New Roman"/>
          <w:color w:val="auto"/>
          <w:kern w:val="2"/>
          <w:sz w:val="21"/>
          <w:szCs w:val="21"/>
          <w:highlight w:val="none"/>
          <w:u w:val="single"/>
          <w:lang w:val="en-US" w:eastAsia="zh-CN" w:bidi="ar-SA"/>
        </w:rPr>
        <w:t>南宁市武鸣区人力资源和社会保障局</w:t>
      </w:r>
      <w:r>
        <w:rPr>
          <w:rFonts w:hint="eastAsia" w:ascii="宋体" w:hAnsi="宋体" w:eastAsia="宋体" w:cs="Times New Roman"/>
          <w:color w:val="auto"/>
          <w:kern w:val="2"/>
          <w:sz w:val="21"/>
          <w:szCs w:val="21"/>
          <w:highlight w:val="none"/>
          <w:u w:val="none"/>
          <w:lang w:val="en-US" w:eastAsia="zh-CN" w:bidi="ar-SA"/>
        </w:rPr>
        <w:t xml:space="preserve"> 的 </w:t>
      </w:r>
      <w:r>
        <w:rPr>
          <w:rFonts w:hint="eastAsia" w:ascii="宋体" w:hAnsi="宋体" w:eastAsia="宋体" w:cs="Times New Roman"/>
          <w:color w:val="auto"/>
          <w:kern w:val="2"/>
          <w:sz w:val="21"/>
          <w:szCs w:val="21"/>
          <w:highlight w:val="none"/>
          <w:u w:val="single"/>
          <w:lang w:val="en-US" w:eastAsia="zh-CN" w:bidi="ar-SA"/>
        </w:rPr>
        <w:t>2026年南宁市武鸣区基层就业服务网点（就业服务站）项目</w:t>
      </w:r>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4B738C8A">
      <w:pPr>
        <w:tabs>
          <w:tab w:val="left" w:pos="1384"/>
          <w:tab w:val="left" w:pos="4562"/>
          <w:tab w:val="left" w:pos="6803"/>
        </w:tabs>
        <w:spacing w:before="13" w:line="500" w:lineRule="exact"/>
        <w:ind w:right="142" w:firstLine="600" w:firstLineChars="286"/>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556603F0">
      <w:pPr>
        <w:tabs>
          <w:tab w:val="left" w:pos="1065"/>
          <w:tab w:val="left" w:pos="4262"/>
          <w:tab w:val="left" w:pos="6477"/>
        </w:tabs>
        <w:spacing w:before="20" w:line="500" w:lineRule="exact"/>
        <w:ind w:right="84" w:firstLine="600" w:firstLineChars="286"/>
        <w:rPr>
          <w:rFonts w:hint="eastAsia" w:ascii="宋体" w:hAnsi="宋体"/>
          <w:color w:val="auto"/>
          <w:szCs w:val="21"/>
          <w:highlight w:val="none"/>
          <w:u w:val="single"/>
        </w:rPr>
      </w:pPr>
      <w:r>
        <w:rPr>
          <w:rFonts w:hint="eastAsia" w:ascii="宋体" w:hAnsi="宋体"/>
          <w:color w:val="auto"/>
          <w:szCs w:val="21"/>
          <w:highlight w:val="none"/>
        </w:rPr>
        <w:t>2.</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21DFCB48">
      <w:pPr>
        <w:pStyle w:val="13"/>
        <w:spacing w:before="34" w:line="500" w:lineRule="exact"/>
        <w:ind w:right="142" w:firstLine="420" w:firstLineChars="200"/>
        <w:rPr>
          <w:rFonts w:hint="eastAsia"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1DA20D53">
      <w:pPr>
        <w:pStyle w:val="13"/>
        <w:spacing w:before="34" w:line="500" w:lineRule="exact"/>
        <w:ind w:right="142" w:firstLine="420" w:firstLineChars="200"/>
        <w:rPr>
          <w:rFonts w:hint="eastAsia"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47034249">
      <w:pPr>
        <w:pStyle w:val="17"/>
        <w:spacing w:line="360" w:lineRule="auto"/>
        <w:ind w:firstLine="400" w:firstLineChars="200"/>
        <w:rPr>
          <w:rFonts w:hint="eastAsia" w:hAnsi="宋体"/>
          <w:color w:val="auto"/>
          <w:highlight w:val="none"/>
        </w:rPr>
      </w:pPr>
    </w:p>
    <w:p w14:paraId="0DB6E2A9">
      <w:pPr>
        <w:pStyle w:val="17"/>
        <w:spacing w:line="360" w:lineRule="auto"/>
        <w:ind w:firstLine="400" w:firstLineChars="200"/>
        <w:rPr>
          <w:rFonts w:hint="eastAsia" w:hAnsi="宋体"/>
          <w:color w:val="auto"/>
          <w:highlight w:val="none"/>
        </w:rPr>
      </w:pPr>
    </w:p>
    <w:p w14:paraId="21A19962">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4787846">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296BACAA">
      <w:pPr>
        <w:pStyle w:val="17"/>
        <w:spacing w:line="360" w:lineRule="auto"/>
        <w:ind w:firstLine="400" w:firstLineChars="200"/>
        <w:rPr>
          <w:rFonts w:hint="eastAsia" w:hAnsi="宋体"/>
          <w:color w:val="auto"/>
          <w:highlight w:val="none"/>
        </w:rPr>
      </w:pPr>
    </w:p>
    <w:p w14:paraId="17CC1F28">
      <w:pPr>
        <w:snapToGrid w:val="0"/>
        <w:spacing w:before="50" w:after="165" w:afterLines="50" w:line="360" w:lineRule="auto"/>
        <w:jc w:val="left"/>
        <w:rPr>
          <w:rFonts w:hint="eastAsia" w:hAnsi="宋体" w:cs="宋体"/>
          <w:color w:val="auto"/>
          <w:sz w:val="20"/>
          <w:highlight w:val="none"/>
        </w:rPr>
      </w:pPr>
      <w:r>
        <w:rPr>
          <w:rFonts w:hint="eastAsia" w:hAnsi="宋体" w:cs="宋体"/>
          <w:color w:val="auto"/>
          <w:sz w:val="20"/>
          <w:highlight w:val="none"/>
        </w:rPr>
        <w:t>注：</w:t>
      </w:r>
    </w:p>
    <w:p w14:paraId="5E5B1BBD">
      <w:pPr>
        <w:numPr>
          <w:ilvl w:val="0"/>
          <w:numId w:val="5"/>
        </w:numPr>
        <w:snapToGrid w:val="0"/>
        <w:spacing w:before="50" w:after="165"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6D43A03F">
      <w:pPr>
        <w:snapToGrid w:val="0"/>
        <w:spacing w:before="50" w:after="165" w:afterLines="50" w:line="360" w:lineRule="auto"/>
        <w:ind w:firstLine="300" w:firstLineChars="150"/>
        <w:jc w:val="left"/>
        <w:rPr>
          <w:color w:val="auto"/>
          <w:sz w:val="20"/>
          <w:highlight w:val="none"/>
        </w:r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121333DE">
      <w:pPr>
        <w:widowControl/>
        <w:spacing w:line="360" w:lineRule="auto"/>
        <w:jc w:val="left"/>
        <w:rPr>
          <w:color w:val="auto"/>
          <w:sz w:val="20"/>
          <w:highlight w:val="none"/>
        </w:rPr>
      </w:pPr>
    </w:p>
    <w:p w14:paraId="28BA3101">
      <w:pPr>
        <w:widowControl/>
        <w:spacing w:line="360" w:lineRule="auto"/>
        <w:jc w:val="left"/>
        <w:rPr>
          <w:color w:val="auto"/>
          <w:sz w:val="20"/>
          <w:highlight w:val="none"/>
        </w:rPr>
      </w:pPr>
    </w:p>
    <w:p w14:paraId="0F1F70EC">
      <w:pPr>
        <w:pStyle w:val="17"/>
        <w:spacing w:line="360" w:lineRule="auto"/>
        <w:jc w:val="center"/>
        <w:rPr>
          <w:rFonts w:hint="eastAsia"/>
          <w:b/>
          <w:color w:val="auto"/>
          <w:sz w:val="30"/>
          <w:szCs w:val="30"/>
          <w:highlight w:val="none"/>
        </w:rPr>
      </w:pPr>
    </w:p>
    <w:p w14:paraId="2BD75766">
      <w:pPr>
        <w:pStyle w:val="17"/>
        <w:spacing w:line="360" w:lineRule="auto"/>
        <w:jc w:val="center"/>
        <w:rPr>
          <w:rFonts w:hint="eastAsia"/>
          <w:b/>
          <w:color w:val="auto"/>
          <w:sz w:val="30"/>
          <w:szCs w:val="30"/>
          <w:highlight w:val="none"/>
        </w:rPr>
      </w:pPr>
      <w:r>
        <w:rPr>
          <w:rFonts w:hint="eastAsia"/>
          <w:b/>
          <w:color w:val="auto"/>
          <w:sz w:val="30"/>
          <w:szCs w:val="30"/>
          <w:highlight w:val="none"/>
        </w:rPr>
        <w:t>残疾人福利性单位声明函（如有）</w:t>
      </w:r>
    </w:p>
    <w:p w14:paraId="7D11C989">
      <w:pPr>
        <w:pStyle w:val="17"/>
        <w:spacing w:line="360" w:lineRule="auto"/>
        <w:jc w:val="center"/>
        <w:rPr>
          <w:rFonts w:hint="eastAsia"/>
          <w:b/>
          <w:color w:val="auto"/>
          <w:sz w:val="30"/>
          <w:szCs w:val="30"/>
          <w:highlight w:val="none"/>
        </w:rPr>
      </w:pPr>
    </w:p>
    <w:p w14:paraId="1CD099C8">
      <w:pPr>
        <w:pStyle w:val="17"/>
        <w:spacing w:line="360" w:lineRule="auto"/>
        <w:jc w:val="left"/>
        <w:rPr>
          <w:rFonts w:hint="eastAsia" w:ascii="仿宋_GB2312" w:eastAsia="仿宋_GB2312"/>
          <w:color w:val="auto"/>
          <w:sz w:val="24"/>
          <w:szCs w:val="24"/>
          <w:highlight w:val="none"/>
        </w:rPr>
      </w:pPr>
      <w:r>
        <w:rPr>
          <w:rFonts w:hint="eastAsia"/>
          <w:color w:val="auto"/>
          <w:sz w:val="30"/>
          <w:szCs w:val="30"/>
          <w:highlight w:val="none"/>
        </w:rPr>
        <w:t xml:space="preserve">   </w:t>
      </w:r>
      <w:r>
        <w:rPr>
          <w:rFonts w:hint="eastAsia" w:ascii="仿宋_GB2312" w:eastAsia="仿宋_GB2312"/>
          <w:color w:val="auto"/>
          <w:sz w:val="24"/>
          <w:szCs w:val="24"/>
          <w:highlight w:val="none"/>
        </w:rPr>
        <w:t>本单位郑重声明，根据《财政部 民政部 中国残疾人联合会关于促进残疾人就业政府采购政策的</w:t>
      </w:r>
      <w:r>
        <w:rPr>
          <w:rFonts w:hint="eastAsia" w:ascii="仿宋" w:hAnsi="仿宋" w:eastAsia="仿宋" w:cs="仿宋"/>
          <w:color w:val="auto"/>
          <w:sz w:val="24"/>
          <w:szCs w:val="24"/>
          <w:highlight w:val="none"/>
        </w:rPr>
        <w:t>通知》（财库〔2017〕141号）的规定，本单位为符合条件的残疾人福利性单位，且本单位参加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kern w:val="2"/>
          <w:sz w:val="24"/>
          <w:szCs w:val="24"/>
          <w:highlight w:val="none"/>
          <w:u w:val="single"/>
          <w:lang w:val="en-US" w:eastAsia="zh-CN" w:bidi="ar-SA"/>
        </w:rPr>
        <w:t>南宁市武鸣区人力资源和社会保障局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单位的</w:t>
      </w:r>
      <w:r>
        <w:rPr>
          <w:rFonts w:hint="eastAsia" w:ascii="仿宋" w:hAnsi="仿宋" w:eastAsia="仿宋" w:cs="仿宋"/>
          <w:color w:val="auto"/>
          <w:kern w:val="2"/>
          <w:sz w:val="24"/>
          <w:szCs w:val="24"/>
          <w:highlight w:val="none"/>
          <w:u w:val="single"/>
          <w:lang w:val="en-US" w:eastAsia="zh-CN" w:bidi="ar-SA"/>
        </w:rPr>
        <w:t>2026年南宁市武鸣区基层就业服务网点（就业服务站）项目</w:t>
      </w:r>
      <w:r>
        <w:rPr>
          <w:rFonts w:hint="eastAsia" w:ascii="仿宋" w:hAnsi="仿宋" w:eastAsia="仿宋" w:cs="仿宋"/>
          <w:color w:val="auto"/>
          <w:sz w:val="24"/>
          <w:szCs w:val="24"/>
          <w:highlight w:val="none"/>
        </w:rPr>
        <w:t>采购活动提供本单位制造的货物（由本单位承担工程/提供服务），或者提供其他残疾人福利性单</w:t>
      </w:r>
      <w:r>
        <w:rPr>
          <w:rFonts w:hint="eastAsia" w:ascii="仿宋_GB2312" w:eastAsia="仿宋_GB2312"/>
          <w:color w:val="auto"/>
          <w:sz w:val="24"/>
          <w:szCs w:val="24"/>
          <w:highlight w:val="none"/>
        </w:rPr>
        <w:t>位制造的货物（不包括使用非残疾人福利性单位注册商标的货物）。</w:t>
      </w:r>
    </w:p>
    <w:p w14:paraId="4585BDEB">
      <w:pPr>
        <w:pStyle w:val="17"/>
        <w:spacing w:line="360" w:lineRule="auto"/>
        <w:ind w:firstLine="480" w:firstLineChars="200"/>
        <w:jc w:val="left"/>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本公司对上述声明的真实性负责。如有虚假，将依法承担相应责任。</w:t>
      </w:r>
    </w:p>
    <w:p w14:paraId="71F3E055">
      <w:pPr>
        <w:pStyle w:val="17"/>
        <w:spacing w:line="360" w:lineRule="auto"/>
        <w:jc w:val="left"/>
        <w:rPr>
          <w:rFonts w:hint="eastAsia"/>
          <w:b/>
          <w:color w:val="auto"/>
          <w:highlight w:val="none"/>
        </w:rPr>
      </w:pPr>
    </w:p>
    <w:p w14:paraId="4950EBB3">
      <w:pPr>
        <w:pStyle w:val="17"/>
        <w:spacing w:line="360" w:lineRule="auto"/>
        <w:jc w:val="left"/>
        <w:rPr>
          <w:rFonts w:hint="eastAsia"/>
          <w:b/>
          <w:color w:val="auto"/>
          <w:highlight w:val="none"/>
        </w:rPr>
      </w:pPr>
    </w:p>
    <w:p w14:paraId="477F023E">
      <w:pPr>
        <w:snapToGrid w:val="0"/>
        <w:spacing w:line="360" w:lineRule="auto"/>
        <w:ind w:left="5137" w:leftChars="1736" w:hanging="1491" w:hangingChars="825"/>
        <w:rPr>
          <w:rFonts w:hint="eastAsia" w:ascii="仿宋_GB2312" w:hAnsi="仿宋" w:eastAsia="仿宋_GB2312" w:cs="仿宋_GB2312"/>
          <w:color w:val="auto"/>
          <w:kern w:val="0"/>
          <w:sz w:val="24"/>
          <w:highlight w:val="none"/>
        </w:rPr>
      </w:pPr>
      <w:r>
        <w:rPr>
          <w:b/>
          <w:color w:val="auto"/>
          <w:sz w:val="18"/>
          <w:szCs w:val="18"/>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336E4589">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7BEB95C">
      <w:pPr>
        <w:pStyle w:val="17"/>
        <w:spacing w:line="360" w:lineRule="auto"/>
        <w:ind w:left="5132" w:leftChars="1979" w:hanging="976" w:hangingChars="488"/>
        <w:rPr>
          <w:rFonts w:hint="eastAsia"/>
          <w:color w:val="auto"/>
          <w:highlight w:val="none"/>
        </w:rPr>
      </w:pPr>
    </w:p>
    <w:p w14:paraId="14B6A7B9">
      <w:pPr>
        <w:spacing w:line="360" w:lineRule="auto"/>
        <w:ind w:right="420"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40253FA2">
      <w:pPr>
        <w:spacing w:line="360" w:lineRule="auto"/>
        <w:ind w:right="420" w:firstLine="480" w:firstLineChars="200"/>
        <w:rPr>
          <w:rFonts w:hint="eastAsia" w:ascii="仿宋_GB2312" w:hAnsi="仿宋" w:eastAsia="仿宋_GB2312" w:cs="仿宋_GB2312"/>
          <w:color w:val="auto"/>
          <w:sz w:val="24"/>
          <w:highlight w:val="none"/>
        </w:rPr>
      </w:pPr>
    </w:p>
    <w:p w14:paraId="43EAC30C">
      <w:pPr>
        <w:spacing w:line="360" w:lineRule="auto"/>
        <w:ind w:right="420" w:firstLine="480" w:firstLineChars="200"/>
        <w:rPr>
          <w:rFonts w:hint="eastAsia" w:ascii="仿宋_GB2312" w:hAnsi="仿宋" w:eastAsia="仿宋_GB2312" w:cs="仿宋_GB2312"/>
          <w:color w:val="auto"/>
          <w:sz w:val="24"/>
          <w:highlight w:val="none"/>
        </w:rPr>
      </w:pPr>
    </w:p>
    <w:p w14:paraId="21BE2B3E">
      <w:pPr>
        <w:spacing w:line="360" w:lineRule="auto"/>
        <w:ind w:right="420" w:firstLine="480" w:firstLineChars="200"/>
        <w:rPr>
          <w:rFonts w:hint="eastAsia" w:ascii="仿宋_GB2312" w:hAnsi="仿宋" w:eastAsia="仿宋_GB2312" w:cs="仿宋_GB2312"/>
          <w:color w:val="auto"/>
          <w:sz w:val="24"/>
          <w:highlight w:val="none"/>
        </w:rPr>
      </w:pPr>
    </w:p>
    <w:p w14:paraId="2EA32D58">
      <w:pPr>
        <w:spacing w:line="360" w:lineRule="auto"/>
        <w:ind w:right="420" w:firstLine="480" w:firstLineChars="200"/>
        <w:rPr>
          <w:rFonts w:hint="eastAsia" w:ascii="仿宋_GB2312" w:hAnsi="仿宋" w:eastAsia="仿宋_GB2312" w:cs="仿宋_GB2312"/>
          <w:color w:val="auto"/>
          <w:sz w:val="24"/>
          <w:highlight w:val="none"/>
        </w:rPr>
      </w:pPr>
    </w:p>
    <w:p w14:paraId="63A5281D">
      <w:pPr>
        <w:spacing w:line="360" w:lineRule="auto"/>
        <w:ind w:right="420" w:firstLine="480" w:firstLineChars="200"/>
        <w:rPr>
          <w:rFonts w:hint="eastAsia" w:ascii="仿宋_GB2312" w:hAnsi="仿宋" w:eastAsia="仿宋_GB2312" w:cs="仿宋_GB2312"/>
          <w:color w:val="auto"/>
          <w:sz w:val="24"/>
          <w:highlight w:val="none"/>
        </w:rPr>
      </w:pPr>
    </w:p>
    <w:p w14:paraId="44E2A1B4">
      <w:pPr>
        <w:spacing w:line="360" w:lineRule="auto"/>
        <w:ind w:right="420" w:firstLine="480" w:firstLineChars="200"/>
        <w:rPr>
          <w:rFonts w:hint="eastAsia" w:ascii="仿宋_GB2312" w:hAnsi="仿宋" w:eastAsia="仿宋_GB2312" w:cs="仿宋_GB2312"/>
          <w:color w:val="auto"/>
          <w:sz w:val="24"/>
          <w:highlight w:val="none"/>
        </w:rPr>
      </w:pPr>
    </w:p>
    <w:p w14:paraId="3A3DFD7E">
      <w:pPr>
        <w:spacing w:line="360" w:lineRule="auto"/>
        <w:ind w:right="420" w:firstLine="480" w:firstLineChars="200"/>
        <w:rPr>
          <w:rFonts w:hint="eastAsia" w:ascii="仿宋_GB2312" w:hAnsi="仿宋" w:eastAsia="仿宋_GB2312" w:cs="仿宋_GB2312"/>
          <w:color w:val="auto"/>
          <w:sz w:val="24"/>
          <w:highlight w:val="none"/>
        </w:rPr>
      </w:pPr>
    </w:p>
    <w:p w14:paraId="5B073D60">
      <w:pPr>
        <w:spacing w:line="360" w:lineRule="auto"/>
        <w:ind w:right="420" w:firstLine="480" w:firstLineChars="200"/>
        <w:rPr>
          <w:rFonts w:hint="eastAsia" w:ascii="仿宋_GB2312" w:hAnsi="仿宋" w:eastAsia="仿宋_GB2312" w:cs="仿宋_GB2312"/>
          <w:color w:val="auto"/>
          <w:sz w:val="24"/>
          <w:highlight w:val="none"/>
        </w:rPr>
      </w:pPr>
    </w:p>
    <w:p w14:paraId="3203466F">
      <w:pPr>
        <w:spacing w:line="360" w:lineRule="auto"/>
        <w:ind w:right="420" w:firstLine="480" w:firstLineChars="200"/>
        <w:rPr>
          <w:rFonts w:hint="eastAsia" w:ascii="仿宋_GB2312" w:hAnsi="仿宋" w:eastAsia="仿宋_GB2312" w:cs="仿宋_GB2312"/>
          <w:color w:val="auto"/>
          <w:sz w:val="24"/>
          <w:highlight w:val="none"/>
        </w:rPr>
      </w:pPr>
    </w:p>
    <w:p w14:paraId="54B1F7DD">
      <w:pPr>
        <w:spacing w:line="360" w:lineRule="auto"/>
        <w:ind w:right="420" w:firstLine="480" w:firstLineChars="200"/>
        <w:rPr>
          <w:rFonts w:hint="eastAsia" w:ascii="仿宋_GB2312" w:hAnsi="仿宋" w:eastAsia="仿宋_GB2312" w:cs="仿宋_GB2312"/>
          <w:color w:val="auto"/>
          <w:sz w:val="24"/>
          <w:highlight w:val="none"/>
        </w:rPr>
      </w:pPr>
    </w:p>
    <w:p w14:paraId="51247AEA">
      <w:pPr>
        <w:spacing w:line="360" w:lineRule="auto"/>
        <w:ind w:right="420" w:firstLine="480" w:firstLineChars="200"/>
        <w:rPr>
          <w:rFonts w:hint="eastAsia" w:ascii="仿宋_GB2312" w:hAnsi="仿宋" w:eastAsia="仿宋_GB2312" w:cs="仿宋_GB2312"/>
          <w:color w:val="auto"/>
          <w:sz w:val="24"/>
          <w:highlight w:val="none"/>
        </w:rPr>
      </w:pPr>
    </w:p>
    <w:p w14:paraId="3A90DE1A">
      <w:pPr>
        <w:rPr>
          <w:rFonts w:hint="eastAsia"/>
          <w:color w:val="auto"/>
          <w:highlight w:val="none"/>
          <w:lang w:val="en-US" w:eastAsia="zh-CN"/>
        </w:rPr>
      </w:pPr>
    </w:p>
    <w:p w14:paraId="485A2A85">
      <w:pPr>
        <w:rPr>
          <w:rFonts w:hint="eastAsia"/>
          <w:color w:val="auto"/>
          <w:highlight w:val="none"/>
          <w:lang w:val="en-US" w:eastAsia="zh-CN"/>
        </w:rPr>
      </w:pPr>
    </w:p>
    <w:p w14:paraId="0C607659">
      <w:pPr>
        <w:numPr>
          <w:ilvl w:val="0"/>
          <w:numId w:val="0"/>
        </w:numPr>
        <w:snapToGrid w:val="0"/>
        <w:spacing w:line="360" w:lineRule="auto"/>
        <w:rPr>
          <w:rFonts w:hint="eastAsia" w:ascii="仿宋" w:hAnsi="仿宋" w:eastAsia="仿宋" w:cs="仿宋_GB2312"/>
          <w:b/>
          <w:color w:val="auto"/>
          <w:kern w:val="0"/>
          <w:sz w:val="30"/>
          <w:szCs w:val="30"/>
          <w:highlight w:val="none"/>
          <w:lang w:val="en-US" w:eastAsia="zh-CN" w:bidi="ar-SA"/>
        </w:rPr>
      </w:pPr>
      <w:r>
        <w:rPr>
          <w:rFonts w:hint="eastAsia" w:ascii="仿宋" w:hAnsi="仿宋" w:eastAsia="仿宋" w:cs="仿宋_GB2312"/>
          <w:b/>
          <w:color w:val="auto"/>
          <w:kern w:val="0"/>
          <w:sz w:val="30"/>
          <w:szCs w:val="30"/>
          <w:highlight w:val="none"/>
          <w:lang w:val="en-US" w:eastAsia="zh-CN" w:bidi="ar-SA"/>
        </w:rPr>
        <w:t>九、除磋商文件规定必须提供以外，供应商认为需要提供的其他证明材料</w:t>
      </w:r>
    </w:p>
    <w:p w14:paraId="17714D8B">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15EAADB9">
      <w:pPr>
        <w:rPr>
          <w:rFonts w:hint="eastAsia"/>
          <w:color w:val="auto"/>
          <w:highlight w:val="none"/>
          <w:lang w:val="zh-CN"/>
        </w:rPr>
      </w:pPr>
    </w:p>
    <w:p w14:paraId="1D92D1C6">
      <w:pPr>
        <w:rPr>
          <w:rFonts w:hint="eastAsia"/>
          <w:color w:val="auto"/>
          <w:highlight w:val="none"/>
          <w:lang w:val="zh-CN"/>
        </w:rPr>
      </w:pPr>
    </w:p>
    <w:p w14:paraId="4F623F22">
      <w:pPr>
        <w:rPr>
          <w:rFonts w:hint="eastAsia"/>
          <w:color w:val="auto"/>
          <w:highlight w:val="none"/>
          <w:lang w:val="zh-CN"/>
        </w:rPr>
      </w:pPr>
    </w:p>
    <w:p w14:paraId="2EE9F82F">
      <w:pPr>
        <w:rPr>
          <w:rFonts w:hint="eastAsia"/>
          <w:color w:val="auto"/>
          <w:highlight w:val="none"/>
          <w:lang w:val="zh-CN"/>
        </w:rPr>
      </w:pPr>
    </w:p>
    <w:p w14:paraId="17244A90">
      <w:pPr>
        <w:rPr>
          <w:rFonts w:hint="eastAsia"/>
          <w:color w:val="auto"/>
          <w:highlight w:val="none"/>
          <w:lang w:val="zh-CN"/>
        </w:rPr>
      </w:pPr>
    </w:p>
    <w:p w14:paraId="788088B7">
      <w:pPr>
        <w:rPr>
          <w:rFonts w:hint="eastAsia"/>
          <w:color w:val="auto"/>
          <w:highlight w:val="none"/>
          <w:lang w:val="zh-CN"/>
        </w:rPr>
      </w:pPr>
    </w:p>
    <w:p w14:paraId="6D9F1921">
      <w:pPr>
        <w:rPr>
          <w:rFonts w:hint="eastAsia"/>
          <w:color w:val="auto"/>
          <w:highlight w:val="none"/>
          <w:lang w:val="zh-CN"/>
        </w:rPr>
      </w:pPr>
    </w:p>
    <w:p w14:paraId="7656A725">
      <w:pPr>
        <w:rPr>
          <w:rFonts w:hint="eastAsia"/>
          <w:color w:val="auto"/>
          <w:highlight w:val="none"/>
          <w:lang w:val="zh-CN"/>
        </w:rPr>
      </w:pPr>
    </w:p>
    <w:p w14:paraId="4725B351">
      <w:pPr>
        <w:rPr>
          <w:rFonts w:hint="eastAsia"/>
          <w:color w:val="auto"/>
          <w:highlight w:val="none"/>
          <w:lang w:val="zh-CN"/>
        </w:rPr>
      </w:pPr>
    </w:p>
    <w:p w14:paraId="7B29A864">
      <w:pPr>
        <w:rPr>
          <w:rFonts w:hint="eastAsia"/>
          <w:color w:val="auto"/>
          <w:highlight w:val="none"/>
          <w:lang w:val="zh-CN"/>
        </w:rPr>
      </w:pPr>
    </w:p>
    <w:p w14:paraId="4DBC5C33">
      <w:pPr>
        <w:rPr>
          <w:rFonts w:hint="eastAsia"/>
          <w:color w:val="auto"/>
          <w:highlight w:val="none"/>
          <w:lang w:val="zh-CN"/>
        </w:rPr>
      </w:pPr>
    </w:p>
    <w:p w14:paraId="24666830">
      <w:pPr>
        <w:rPr>
          <w:rFonts w:hint="eastAsia"/>
          <w:color w:val="auto"/>
          <w:highlight w:val="none"/>
          <w:lang w:val="zh-CN"/>
        </w:rPr>
      </w:pPr>
    </w:p>
    <w:p w14:paraId="68CDDDFA">
      <w:pPr>
        <w:rPr>
          <w:rFonts w:hint="eastAsia"/>
          <w:color w:val="auto"/>
          <w:highlight w:val="none"/>
          <w:lang w:val="zh-CN"/>
        </w:rPr>
      </w:pPr>
    </w:p>
    <w:p w14:paraId="384A8B6C">
      <w:pPr>
        <w:rPr>
          <w:rFonts w:hint="eastAsia"/>
          <w:color w:val="auto"/>
          <w:highlight w:val="none"/>
          <w:lang w:val="zh-CN"/>
        </w:rPr>
      </w:pPr>
    </w:p>
    <w:p w14:paraId="7AEF0431">
      <w:pPr>
        <w:rPr>
          <w:rFonts w:hint="eastAsia"/>
          <w:color w:val="auto"/>
          <w:highlight w:val="none"/>
          <w:lang w:val="zh-CN"/>
        </w:rPr>
      </w:pPr>
    </w:p>
    <w:p w14:paraId="6C9C275B">
      <w:pPr>
        <w:rPr>
          <w:rFonts w:hint="eastAsia"/>
          <w:color w:val="auto"/>
          <w:highlight w:val="none"/>
          <w:lang w:val="zh-CN"/>
        </w:rPr>
      </w:pPr>
    </w:p>
    <w:p w14:paraId="622066A9">
      <w:pPr>
        <w:rPr>
          <w:rFonts w:hint="eastAsia"/>
          <w:color w:val="auto"/>
          <w:highlight w:val="none"/>
          <w:lang w:val="zh-CN"/>
        </w:rPr>
      </w:pPr>
    </w:p>
    <w:p w14:paraId="3F463547">
      <w:pPr>
        <w:rPr>
          <w:rFonts w:hint="eastAsia"/>
          <w:color w:val="auto"/>
          <w:highlight w:val="none"/>
          <w:lang w:val="zh-CN"/>
        </w:rPr>
      </w:pPr>
    </w:p>
    <w:p w14:paraId="5B911CC2">
      <w:pPr>
        <w:rPr>
          <w:rFonts w:hint="eastAsia"/>
          <w:color w:val="auto"/>
          <w:highlight w:val="none"/>
          <w:lang w:val="zh-CN"/>
        </w:rPr>
      </w:pPr>
    </w:p>
    <w:p w14:paraId="2203A9AA">
      <w:pPr>
        <w:rPr>
          <w:rFonts w:hint="eastAsia"/>
          <w:color w:val="auto"/>
          <w:highlight w:val="none"/>
          <w:lang w:val="zh-CN"/>
        </w:rPr>
      </w:pPr>
    </w:p>
    <w:p w14:paraId="69E811D6">
      <w:pPr>
        <w:rPr>
          <w:rFonts w:hint="eastAsia"/>
          <w:color w:val="auto"/>
          <w:highlight w:val="none"/>
          <w:lang w:val="zh-CN"/>
        </w:rPr>
      </w:pPr>
    </w:p>
    <w:p w14:paraId="7A79C78F">
      <w:pPr>
        <w:rPr>
          <w:rFonts w:hint="eastAsia"/>
          <w:color w:val="auto"/>
          <w:highlight w:val="none"/>
          <w:lang w:val="zh-CN"/>
        </w:rPr>
      </w:pPr>
    </w:p>
    <w:p w14:paraId="2750840B">
      <w:pPr>
        <w:rPr>
          <w:rFonts w:hint="eastAsia"/>
          <w:color w:val="auto"/>
          <w:highlight w:val="none"/>
          <w:lang w:val="zh-CN"/>
        </w:rPr>
      </w:pPr>
    </w:p>
    <w:p w14:paraId="0F9BF7C0">
      <w:pPr>
        <w:rPr>
          <w:rFonts w:hint="eastAsia"/>
          <w:color w:val="auto"/>
          <w:highlight w:val="none"/>
          <w:lang w:val="zh-CN"/>
        </w:rPr>
      </w:pPr>
    </w:p>
    <w:p w14:paraId="26EE47C8">
      <w:pPr>
        <w:rPr>
          <w:rFonts w:hint="eastAsia"/>
          <w:color w:val="auto"/>
          <w:highlight w:val="none"/>
          <w:lang w:val="zh-CN"/>
        </w:rPr>
      </w:pPr>
    </w:p>
    <w:p w14:paraId="687DB0B1">
      <w:pPr>
        <w:rPr>
          <w:rFonts w:hint="eastAsia"/>
          <w:color w:val="auto"/>
          <w:highlight w:val="none"/>
          <w:lang w:val="zh-CN"/>
        </w:rPr>
      </w:pPr>
    </w:p>
    <w:p w14:paraId="0CA24A41">
      <w:pPr>
        <w:rPr>
          <w:rFonts w:hint="eastAsia"/>
          <w:color w:val="auto"/>
          <w:highlight w:val="none"/>
          <w:lang w:val="zh-CN"/>
        </w:rPr>
      </w:pPr>
    </w:p>
    <w:p w14:paraId="5BBADF57">
      <w:pPr>
        <w:rPr>
          <w:rFonts w:hint="eastAsia"/>
          <w:color w:val="auto"/>
          <w:highlight w:val="none"/>
          <w:lang w:val="zh-CN"/>
        </w:rPr>
      </w:pPr>
    </w:p>
    <w:p w14:paraId="7308F422">
      <w:pPr>
        <w:rPr>
          <w:rFonts w:hint="eastAsia"/>
          <w:color w:val="auto"/>
          <w:highlight w:val="none"/>
          <w:lang w:val="zh-CN"/>
        </w:rPr>
      </w:pPr>
    </w:p>
    <w:p w14:paraId="111B8B43">
      <w:pPr>
        <w:rPr>
          <w:rFonts w:hint="eastAsia"/>
          <w:color w:val="auto"/>
          <w:highlight w:val="none"/>
          <w:lang w:val="zh-CN"/>
        </w:rPr>
      </w:pPr>
    </w:p>
    <w:p w14:paraId="279B11B2">
      <w:pPr>
        <w:rPr>
          <w:rFonts w:hint="eastAsia"/>
          <w:color w:val="auto"/>
          <w:highlight w:val="none"/>
          <w:lang w:val="zh-CN"/>
        </w:rPr>
      </w:pPr>
    </w:p>
    <w:p w14:paraId="46CA4B16">
      <w:pPr>
        <w:rPr>
          <w:rFonts w:hint="eastAsia"/>
          <w:color w:val="auto"/>
          <w:highlight w:val="none"/>
          <w:lang w:val="zh-CN"/>
        </w:rPr>
      </w:pPr>
    </w:p>
    <w:p w14:paraId="483023D1">
      <w:pPr>
        <w:rPr>
          <w:rFonts w:hint="eastAsia"/>
          <w:color w:val="auto"/>
          <w:highlight w:val="none"/>
          <w:lang w:val="zh-CN"/>
        </w:rPr>
      </w:pPr>
    </w:p>
    <w:p w14:paraId="4BF629D5">
      <w:pPr>
        <w:rPr>
          <w:rFonts w:hint="eastAsia"/>
          <w:color w:val="auto"/>
          <w:highlight w:val="none"/>
          <w:lang w:val="zh-CN"/>
        </w:rPr>
      </w:pPr>
    </w:p>
    <w:p w14:paraId="393834C0">
      <w:pPr>
        <w:rPr>
          <w:rFonts w:hint="eastAsia"/>
          <w:color w:val="auto"/>
          <w:highlight w:val="none"/>
          <w:lang w:val="zh-CN"/>
        </w:rPr>
      </w:pPr>
    </w:p>
    <w:p w14:paraId="1206B1B8">
      <w:pPr>
        <w:rPr>
          <w:rFonts w:hint="eastAsia"/>
          <w:color w:val="auto"/>
          <w:highlight w:val="none"/>
          <w:lang w:val="zh-CN"/>
        </w:rPr>
      </w:pPr>
    </w:p>
    <w:p w14:paraId="242385C7">
      <w:pPr>
        <w:rPr>
          <w:rFonts w:hint="eastAsia"/>
          <w:color w:val="auto"/>
          <w:highlight w:val="none"/>
          <w:lang w:val="zh-CN"/>
        </w:rPr>
      </w:pPr>
    </w:p>
    <w:p w14:paraId="67D586DB">
      <w:pPr>
        <w:rPr>
          <w:rFonts w:hint="eastAsia"/>
          <w:color w:val="auto"/>
          <w:highlight w:val="none"/>
          <w:lang w:val="zh-CN"/>
        </w:rPr>
      </w:pPr>
    </w:p>
    <w:p w14:paraId="723C441D">
      <w:pPr>
        <w:rPr>
          <w:rFonts w:hint="eastAsia"/>
          <w:color w:val="auto"/>
          <w:highlight w:val="none"/>
          <w:lang w:val="zh-CN"/>
        </w:rPr>
      </w:pPr>
    </w:p>
    <w:p w14:paraId="66049EBF">
      <w:pPr>
        <w:rPr>
          <w:rFonts w:hint="eastAsia" w:ascii="宋体" w:hAnsi="宋体"/>
          <w:b w:val="0"/>
          <w:bCs w:val="0"/>
          <w:color w:val="auto"/>
          <w:highlight w:val="none"/>
        </w:rPr>
      </w:pPr>
      <w:bookmarkStart w:id="83" w:name="_Toc80205940"/>
    </w:p>
    <w:p w14:paraId="32E43F9E">
      <w:pPr>
        <w:pStyle w:val="3"/>
        <w:keepNext/>
        <w:keepLines/>
        <w:pageBreakBefore/>
        <w:widowControl/>
        <w:kinsoku/>
        <w:wordWrap/>
        <w:overflowPunct/>
        <w:topLinePunct w:val="0"/>
        <w:autoSpaceDE/>
        <w:autoSpaceDN/>
        <w:bidi w:val="0"/>
        <w:adjustRightInd/>
        <w:snapToGrid/>
        <w:spacing w:line="416" w:lineRule="auto"/>
        <w:jc w:val="center"/>
        <w:textAlignment w:val="auto"/>
        <w:rPr>
          <w:rFonts w:hint="eastAsia" w:ascii="宋体" w:hAnsi="宋体"/>
          <w:b w:val="0"/>
          <w:color w:val="auto"/>
          <w:highlight w:val="none"/>
        </w:rPr>
      </w:pPr>
      <w:bookmarkStart w:id="84" w:name="_Toc3506"/>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83"/>
      <w:bookmarkEnd w:id="84"/>
    </w:p>
    <w:p w14:paraId="0E33BF4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72F9CA48">
      <w:pPr>
        <w:snapToGrid w:val="0"/>
        <w:spacing w:before="120" w:beforeLines="50" w:after="50"/>
        <w:rPr>
          <w:rFonts w:hint="eastAsia" w:ascii="宋体" w:hAnsi="宋体"/>
          <w:color w:val="auto"/>
          <w:sz w:val="24"/>
          <w:szCs w:val="20"/>
          <w:highlight w:val="none"/>
        </w:rPr>
      </w:pPr>
    </w:p>
    <w:p w14:paraId="1502981C">
      <w:pPr>
        <w:snapToGrid w:val="0"/>
        <w:spacing w:before="120" w:beforeLines="50" w:after="50"/>
        <w:rPr>
          <w:rFonts w:hint="eastAsia" w:ascii="宋体" w:hAnsi="宋体"/>
          <w:color w:val="auto"/>
          <w:sz w:val="24"/>
          <w:szCs w:val="20"/>
          <w:highlight w:val="none"/>
        </w:rPr>
      </w:pPr>
    </w:p>
    <w:p w14:paraId="0F806A5A">
      <w:pPr>
        <w:snapToGrid w:val="0"/>
        <w:spacing w:before="120" w:beforeLines="50" w:after="50"/>
        <w:rPr>
          <w:rFonts w:hint="eastAsia" w:ascii="宋体" w:hAnsi="宋体"/>
          <w:color w:val="auto"/>
          <w:sz w:val="24"/>
          <w:szCs w:val="20"/>
          <w:highlight w:val="none"/>
        </w:rPr>
      </w:pPr>
    </w:p>
    <w:p w14:paraId="2B62979E">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商  务  技  术  文  件（封面）</w:t>
      </w:r>
    </w:p>
    <w:p w14:paraId="671E6560">
      <w:pPr>
        <w:snapToGrid w:val="0"/>
        <w:spacing w:before="120" w:beforeLines="50" w:after="50"/>
        <w:rPr>
          <w:rFonts w:hint="eastAsia" w:ascii="宋体" w:hAnsi="宋体"/>
          <w:bCs/>
          <w:color w:val="auto"/>
          <w:sz w:val="24"/>
          <w:szCs w:val="20"/>
          <w:highlight w:val="none"/>
        </w:rPr>
      </w:pPr>
    </w:p>
    <w:p w14:paraId="3A8FED40">
      <w:pPr>
        <w:snapToGrid w:val="0"/>
        <w:spacing w:before="120" w:beforeLines="50" w:after="50"/>
        <w:rPr>
          <w:rFonts w:hint="eastAsia" w:ascii="宋体" w:hAnsi="宋体"/>
          <w:bCs/>
          <w:color w:val="auto"/>
          <w:sz w:val="24"/>
          <w:szCs w:val="20"/>
          <w:highlight w:val="none"/>
        </w:rPr>
      </w:pPr>
    </w:p>
    <w:p w14:paraId="50D3200B">
      <w:pPr>
        <w:snapToGrid w:val="0"/>
        <w:spacing w:before="120" w:beforeLines="50" w:after="50"/>
        <w:rPr>
          <w:rFonts w:hint="eastAsia" w:ascii="宋体" w:hAnsi="宋体"/>
          <w:bCs/>
          <w:color w:val="auto"/>
          <w:sz w:val="24"/>
          <w:szCs w:val="20"/>
          <w:highlight w:val="none"/>
        </w:rPr>
      </w:pPr>
    </w:p>
    <w:p w14:paraId="419E14E4">
      <w:pPr>
        <w:snapToGrid w:val="0"/>
        <w:spacing w:before="120" w:beforeLines="50" w:after="50"/>
        <w:rPr>
          <w:rFonts w:hint="eastAsia" w:ascii="宋体" w:hAnsi="宋体"/>
          <w:bCs/>
          <w:color w:val="auto"/>
          <w:sz w:val="24"/>
          <w:szCs w:val="20"/>
          <w:highlight w:val="none"/>
        </w:rPr>
      </w:pPr>
    </w:p>
    <w:p w14:paraId="322283AD">
      <w:pPr>
        <w:snapToGrid w:val="0"/>
        <w:spacing w:before="120" w:beforeLines="50" w:after="50"/>
        <w:rPr>
          <w:rFonts w:hint="eastAsia" w:ascii="宋体" w:hAnsi="宋体"/>
          <w:bCs/>
          <w:color w:val="auto"/>
          <w:sz w:val="24"/>
          <w:szCs w:val="20"/>
          <w:highlight w:val="none"/>
        </w:rPr>
      </w:pPr>
    </w:p>
    <w:p w14:paraId="4E334000">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2026年南宁市武鸣区基层就业服务网点（就业服务站）项目</w:t>
      </w:r>
    </w:p>
    <w:p w14:paraId="001C968C">
      <w:pPr>
        <w:snapToGrid w:val="0"/>
        <w:spacing w:before="120" w:beforeLines="50" w:after="50"/>
        <w:ind w:firstLine="720" w:firstLineChars="225"/>
        <w:rPr>
          <w:rFonts w:hint="eastAsia" w:ascii="宋体" w:hAnsi="宋体" w:cs="仿宋_GB2312"/>
          <w:bCs/>
          <w:color w:val="auto"/>
          <w:sz w:val="32"/>
          <w:szCs w:val="32"/>
          <w:highlight w:val="none"/>
        </w:rPr>
      </w:pPr>
    </w:p>
    <w:p w14:paraId="748958DB">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NNZC2026-C3-100081-GXXZ</w:t>
      </w:r>
    </w:p>
    <w:p w14:paraId="54557828">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5F140F3">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76B896E">
      <w:pPr>
        <w:snapToGrid w:val="0"/>
        <w:spacing w:before="120" w:beforeLines="50" w:after="50"/>
        <w:ind w:firstLine="720" w:firstLineChars="225"/>
        <w:rPr>
          <w:rFonts w:hint="eastAsia" w:ascii="宋体" w:hAnsi="宋体" w:cs="仿宋_GB2312"/>
          <w:bCs/>
          <w:color w:val="auto"/>
          <w:sz w:val="32"/>
          <w:szCs w:val="32"/>
          <w:highlight w:val="none"/>
        </w:rPr>
      </w:pPr>
    </w:p>
    <w:p w14:paraId="0B3E9EFD">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72FBD50">
      <w:pPr>
        <w:pStyle w:val="7"/>
        <w:snapToGrid w:val="0"/>
        <w:spacing w:before="50" w:after="50"/>
        <w:ind w:firstLine="720" w:firstLineChars="225"/>
        <w:rPr>
          <w:rFonts w:hint="eastAsia" w:ascii="宋体" w:hAnsi="宋体" w:cs="仿宋_GB2312"/>
          <w:bCs/>
          <w:color w:val="auto"/>
          <w:sz w:val="32"/>
          <w:szCs w:val="32"/>
          <w:highlight w:val="none"/>
        </w:rPr>
      </w:pPr>
    </w:p>
    <w:p w14:paraId="30F52D0E">
      <w:pPr>
        <w:pStyle w:val="7"/>
        <w:snapToGrid w:val="0"/>
        <w:spacing w:before="50" w:after="50"/>
        <w:ind w:firstLine="720" w:firstLineChars="225"/>
        <w:rPr>
          <w:rFonts w:hint="eastAsia" w:ascii="宋体" w:hAnsi="宋体" w:cs="仿宋_GB2312"/>
          <w:bCs/>
          <w:color w:val="auto"/>
          <w:sz w:val="32"/>
          <w:szCs w:val="32"/>
          <w:highlight w:val="none"/>
        </w:rPr>
      </w:pPr>
    </w:p>
    <w:p w14:paraId="540C6AE5">
      <w:pPr>
        <w:pStyle w:val="7"/>
        <w:snapToGrid w:val="0"/>
        <w:spacing w:before="50" w:after="50"/>
        <w:ind w:firstLine="1280" w:firstLineChars="400"/>
        <w:rPr>
          <w:rFonts w:hint="eastAsia" w:ascii="宋体" w:hAnsi="宋体" w:cs="仿宋_GB2312"/>
          <w:bCs/>
          <w:color w:val="auto"/>
          <w:sz w:val="32"/>
          <w:szCs w:val="32"/>
          <w:highlight w:val="none"/>
        </w:rPr>
      </w:pPr>
    </w:p>
    <w:p w14:paraId="24997490">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59F734B">
      <w:pPr>
        <w:snapToGrid w:val="0"/>
        <w:spacing w:before="120" w:beforeLines="50" w:after="50" w:line="360" w:lineRule="auto"/>
        <w:ind w:left="142" w:firstLine="643" w:firstLineChars="200"/>
        <w:jc w:val="left"/>
        <w:rPr>
          <w:rFonts w:ascii="宋体" w:hAnsi="宋体"/>
          <w:b/>
          <w:bCs/>
          <w:color w:val="auto"/>
          <w:sz w:val="32"/>
          <w:szCs w:val="32"/>
          <w:highlight w:val="none"/>
        </w:rPr>
        <w:sectPr>
          <w:pgSz w:w="11910" w:h="16840"/>
          <w:pgMar w:top="1340" w:right="1474" w:bottom="1134" w:left="1587" w:header="720" w:footer="720" w:gutter="0"/>
          <w:pgNumType w:fmt="decimal"/>
          <w:cols w:space="720" w:num="1"/>
        </w:sectPr>
      </w:pPr>
    </w:p>
    <w:p w14:paraId="56B1433A">
      <w:pPr>
        <w:jc w:val="center"/>
        <w:rPr>
          <w:rFonts w:hint="eastAsia" w:ascii="仿宋_GB2312" w:hAnsi="仿宋" w:eastAsia="仿宋_GB2312" w:cs="仿宋_GB2312"/>
          <w:b/>
          <w:color w:val="auto"/>
          <w:kern w:val="0"/>
          <w:sz w:val="28"/>
          <w:szCs w:val="28"/>
          <w:highlight w:val="none"/>
        </w:rPr>
      </w:pPr>
    </w:p>
    <w:p w14:paraId="05860FAA">
      <w:pPr>
        <w:jc w:val="center"/>
        <w:rPr>
          <w:rFonts w:hint="eastAsia"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商务技术文件目录</w:t>
      </w:r>
    </w:p>
    <w:p w14:paraId="0F87A101">
      <w:pPr>
        <w:jc w:val="center"/>
        <w:rPr>
          <w:rFonts w:hint="eastAsia" w:ascii="仿宋_GB2312" w:hAnsi="仿宋" w:eastAsia="仿宋_GB2312" w:cs="仿宋_GB2312"/>
          <w:b/>
          <w:color w:val="auto"/>
          <w:kern w:val="0"/>
          <w:sz w:val="28"/>
          <w:szCs w:val="28"/>
          <w:highlight w:val="none"/>
        </w:rPr>
      </w:pPr>
    </w:p>
    <w:p w14:paraId="6225E6FD">
      <w:pPr>
        <w:pStyle w:val="45"/>
        <w:spacing w:line="360" w:lineRule="auto"/>
        <w:rPr>
          <w:rFonts w:hint="eastAsia" w:cs="仿宋_GB2312"/>
          <w:color w:val="auto"/>
          <w:highlight w:val="none"/>
        </w:rPr>
      </w:pPr>
      <w:r>
        <w:rPr>
          <w:rFonts w:hint="eastAsia" w:cs="仿宋_GB2312"/>
          <w:color w:val="auto"/>
          <w:highlight w:val="none"/>
        </w:rPr>
        <w:t>一、无串标行为承诺函………………………………………………………（页码）</w:t>
      </w:r>
    </w:p>
    <w:p w14:paraId="46E6D331">
      <w:pPr>
        <w:pStyle w:val="45"/>
        <w:spacing w:line="360" w:lineRule="auto"/>
        <w:rPr>
          <w:rFonts w:hint="eastAsia" w:cs="仿宋_GB2312"/>
          <w:color w:val="auto"/>
          <w:highlight w:val="none"/>
        </w:rPr>
      </w:pPr>
      <w:r>
        <w:rPr>
          <w:rFonts w:hint="eastAsia" w:cs="仿宋_GB2312"/>
          <w:color w:val="auto"/>
          <w:highlight w:val="none"/>
        </w:rPr>
        <w:t>二、法定代表人身份证明及法定代表人有效身份证正反面复印件………（页码）</w:t>
      </w:r>
    </w:p>
    <w:p w14:paraId="4A65359C">
      <w:pPr>
        <w:pStyle w:val="45"/>
        <w:spacing w:line="360" w:lineRule="auto"/>
        <w:rPr>
          <w:rFonts w:hint="eastAsia" w:cs="仿宋_GB2312"/>
          <w:color w:val="auto"/>
          <w:highlight w:val="none"/>
        </w:rPr>
      </w:pPr>
      <w:r>
        <w:rPr>
          <w:rFonts w:hint="eastAsia" w:cs="仿宋_GB2312"/>
          <w:color w:val="auto"/>
          <w:highlight w:val="none"/>
        </w:rPr>
        <w:t>三、法定代表人授权委托书（如有委托时）………………………………（页码）</w:t>
      </w:r>
    </w:p>
    <w:p w14:paraId="4590DBD0">
      <w:pPr>
        <w:pStyle w:val="45"/>
        <w:spacing w:line="360" w:lineRule="auto"/>
        <w:rPr>
          <w:rFonts w:hint="eastAsia" w:cs="仿宋_GB2312"/>
          <w:color w:val="auto"/>
          <w:highlight w:val="none"/>
        </w:rPr>
      </w:pPr>
      <w:r>
        <w:rPr>
          <w:rFonts w:hint="eastAsia" w:cs="仿宋_GB2312"/>
          <w:color w:val="auto"/>
          <w:highlight w:val="none"/>
        </w:rPr>
        <w:t>四、</w:t>
      </w:r>
      <w:r>
        <w:rPr>
          <w:rFonts w:hint="eastAsia" w:cs="仿宋_GB2312"/>
          <w:color w:val="auto"/>
          <w:highlight w:val="none"/>
          <w:lang w:val="zh-CN"/>
        </w:rPr>
        <w:t>商务条款偏离表………………………………</w:t>
      </w:r>
      <w:r>
        <w:rPr>
          <w:rFonts w:hint="eastAsia" w:cs="仿宋_GB2312"/>
          <w:color w:val="auto"/>
          <w:highlight w:val="none"/>
        </w:rPr>
        <w:t>…………………………（页码）</w:t>
      </w:r>
    </w:p>
    <w:p w14:paraId="3D3BA154">
      <w:pPr>
        <w:pStyle w:val="45"/>
        <w:spacing w:line="360" w:lineRule="auto"/>
        <w:rPr>
          <w:rFonts w:hint="eastAsia" w:cs="仿宋_GB2312"/>
          <w:color w:val="auto"/>
          <w:highlight w:val="none"/>
        </w:rPr>
      </w:pPr>
      <w:bookmarkStart w:id="85" w:name="OLE_LINK6"/>
      <w:bookmarkStart w:id="86" w:name="OLE_LINK7"/>
      <w:bookmarkStart w:id="87" w:name="OLE_LINK5"/>
      <w:r>
        <w:rPr>
          <w:rFonts w:hint="eastAsia" w:cs="仿宋_GB2312"/>
          <w:color w:val="auto"/>
          <w:highlight w:val="none"/>
        </w:rPr>
        <w:t>五、竞标人情况介绍</w:t>
      </w:r>
      <w:r>
        <w:rPr>
          <w:rFonts w:hint="eastAsia" w:cs="仿宋_GB2312"/>
          <w:color w:val="auto"/>
          <w:highlight w:val="none"/>
          <w:lang w:val="zh-CN"/>
        </w:rPr>
        <w:t>………………………………</w:t>
      </w:r>
      <w:r>
        <w:rPr>
          <w:rFonts w:hint="eastAsia" w:cs="仿宋_GB2312"/>
          <w:color w:val="auto"/>
          <w:highlight w:val="none"/>
        </w:rPr>
        <w:t>…………………………（页码）</w:t>
      </w:r>
    </w:p>
    <w:p w14:paraId="116CDE79">
      <w:pPr>
        <w:pStyle w:val="45"/>
        <w:spacing w:line="360" w:lineRule="auto"/>
        <w:rPr>
          <w:rFonts w:hint="eastAsia" w:cs="仿宋_GB2312"/>
          <w:color w:val="auto"/>
          <w:highlight w:val="none"/>
        </w:rPr>
      </w:pPr>
      <w:r>
        <w:rPr>
          <w:rFonts w:hint="eastAsia" w:cs="仿宋_GB2312"/>
          <w:color w:val="auto"/>
          <w:highlight w:val="none"/>
        </w:rPr>
        <w:t>六、供应商类似业绩的证明文件（如有要求）</w:t>
      </w:r>
      <w:r>
        <w:rPr>
          <w:rFonts w:hint="eastAsia" w:cs="仿宋_GB2312"/>
          <w:color w:val="auto"/>
          <w:highlight w:val="none"/>
          <w:lang w:val="zh-CN"/>
        </w:rPr>
        <w:t>……………………………</w:t>
      </w:r>
      <w:r>
        <w:rPr>
          <w:rFonts w:hint="eastAsia" w:cs="仿宋_GB2312"/>
          <w:color w:val="auto"/>
          <w:highlight w:val="none"/>
        </w:rPr>
        <w:t>（页码）</w:t>
      </w:r>
      <w:bookmarkEnd w:id="85"/>
      <w:bookmarkEnd w:id="86"/>
    </w:p>
    <w:bookmarkEnd w:id="87"/>
    <w:p w14:paraId="551D945C">
      <w:pPr>
        <w:pStyle w:val="45"/>
        <w:spacing w:line="360" w:lineRule="auto"/>
        <w:rPr>
          <w:rFonts w:hint="eastAsia" w:cs="仿宋_GB2312"/>
          <w:color w:val="auto"/>
          <w:highlight w:val="none"/>
        </w:rPr>
      </w:pPr>
      <w:r>
        <w:rPr>
          <w:rFonts w:hint="eastAsia" w:cs="仿宋_GB2312"/>
          <w:color w:val="auto"/>
          <w:highlight w:val="none"/>
        </w:rPr>
        <w:t>七、服务需求偏离表…………………………………………………………（页码）</w:t>
      </w:r>
    </w:p>
    <w:p w14:paraId="0B682E38">
      <w:pPr>
        <w:pStyle w:val="45"/>
        <w:spacing w:line="360" w:lineRule="auto"/>
        <w:rPr>
          <w:rFonts w:hint="eastAsia" w:cs="仿宋_GB2312"/>
          <w:color w:val="auto"/>
          <w:highlight w:val="none"/>
        </w:rPr>
      </w:pPr>
      <w:r>
        <w:rPr>
          <w:rFonts w:hint="eastAsia" w:cs="仿宋_GB2312"/>
          <w:color w:val="auto"/>
          <w:highlight w:val="none"/>
        </w:rPr>
        <w:t>八、组织服务方案……………………………………………………………（页码）</w:t>
      </w:r>
    </w:p>
    <w:p w14:paraId="6BE6C7A9">
      <w:pPr>
        <w:pStyle w:val="45"/>
        <w:spacing w:line="360" w:lineRule="auto"/>
        <w:rPr>
          <w:rFonts w:hint="eastAsia" w:cs="仿宋_GB2312"/>
          <w:color w:val="auto"/>
          <w:highlight w:val="none"/>
        </w:rPr>
      </w:pPr>
      <w:r>
        <w:rPr>
          <w:rFonts w:hint="eastAsia" w:cs="仿宋_GB2312"/>
          <w:color w:val="auto"/>
          <w:highlight w:val="none"/>
        </w:rPr>
        <w:t>九、售后服务方案………………………………</w:t>
      </w:r>
      <w:r>
        <w:rPr>
          <w:rFonts w:hint="eastAsia" w:cs="仿宋_GB2312"/>
          <w:color w:val="auto"/>
          <w:highlight w:val="none"/>
          <w:lang w:val="zh-CN"/>
        </w:rPr>
        <w:t>………</w:t>
      </w:r>
      <w:r>
        <w:rPr>
          <w:rFonts w:hint="eastAsia" w:cs="仿宋_GB2312"/>
          <w:color w:val="auto"/>
          <w:highlight w:val="none"/>
        </w:rPr>
        <w:t>……………………（页码）</w:t>
      </w:r>
    </w:p>
    <w:p w14:paraId="112BA9AA">
      <w:pPr>
        <w:pStyle w:val="45"/>
        <w:spacing w:line="360" w:lineRule="auto"/>
        <w:rPr>
          <w:rFonts w:hint="eastAsia" w:cs="仿宋_GB2312"/>
          <w:color w:val="auto"/>
          <w:highlight w:val="none"/>
        </w:rPr>
      </w:pPr>
      <w:r>
        <w:rPr>
          <w:rFonts w:hint="eastAsia" w:cs="仿宋_GB2312"/>
          <w:color w:val="auto"/>
          <w:highlight w:val="none"/>
        </w:rPr>
        <w:t>十、</w:t>
      </w:r>
      <w:r>
        <w:rPr>
          <w:rFonts w:hint="eastAsia" w:cs="仿宋_GB2312"/>
          <w:color w:val="auto"/>
          <w:highlight w:val="none"/>
          <w:lang w:val="zh-CN"/>
        </w:rPr>
        <w:t>项目实施人员一览表………………………………</w:t>
      </w:r>
      <w:r>
        <w:rPr>
          <w:rFonts w:hint="eastAsia" w:cs="仿宋_GB2312"/>
          <w:color w:val="auto"/>
          <w:highlight w:val="none"/>
        </w:rPr>
        <w:t>……………………（页码）</w:t>
      </w:r>
    </w:p>
    <w:p w14:paraId="6D016B0C">
      <w:pPr>
        <w:pStyle w:val="45"/>
        <w:spacing w:line="360" w:lineRule="auto"/>
        <w:rPr>
          <w:rFonts w:hint="eastAsia" w:cs="仿宋_GB2312"/>
          <w:color w:val="auto"/>
          <w:highlight w:val="none"/>
        </w:rPr>
      </w:pPr>
      <w:r>
        <w:rPr>
          <w:rFonts w:hint="eastAsia" w:cs="仿宋_GB2312"/>
          <w:color w:val="auto"/>
          <w:highlight w:val="none"/>
        </w:rPr>
        <w:t>十一、服务需求、商务条款要求提供的其他材料</w:t>
      </w:r>
      <w:r>
        <w:rPr>
          <w:rFonts w:hint="eastAsia" w:cs="仿宋_GB2312"/>
          <w:color w:val="auto"/>
          <w:highlight w:val="none"/>
          <w:lang w:val="zh-CN"/>
        </w:rPr>
        <w:t>…………………</w:t>
      </w:r>
      <w:r>
        <w:rPr>
          <w:rFonts w:hint="eastAsia" w:cs="仿宋_GB2312"/>
          <w:color w:val="auto"/>
          <w:highlight w:val="none"/>
        </w:rPr>
        <w:t>………（页码）</w:t>
      </w:r>
    </w:p>
    <w:p w14:paraId="26664F5D">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注：以上目录是基本格式要求，各供应商可根据自身情况进一步向下增加内容或细化。</w:t>
      </w:r>
    </w:p>
    <w:p w14:paraId="0B9DEB27">
      <w:pPr>
        <w:spacing w:line="400" w:lineRule="exact"/>
        <w:rPr>
          <w:rFonts w:hint="eastAsia" w:ascii="仿宋_GB2312" w:hAnsi="仿宋_GB2312" w:eastAsia="仿宋_GB2312" w:cs="仿宋_GB2312"/>
          <w:color w:val="auto"/>
          <w:sz w:val="32"/>
          <w:szCs w:val="32"/>
          <w:highlight w:val="none"/>
        </w:rPr>
      </w:pPr>
    </w:p>
    <w:p w14:paraId="5CDFE2FC">
      <w:pPr>
        <w:spacing w:line="520" w:lineRule="exact"/>
        <w:ind w:firstLine="880" w:firstLineChars="200"/>
        <w:rPr>
          <w:rFonts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br w:type="page"/>
      </w:r>
      <w:r>
        <w:rPr>
          <w:rFonts w:hint="eastAsia" w:ascii="仿宋" w:hAnsi="仿宋" w:eastAsia="仿宋" w:cs="仿宋_GB2312"/>
          <w:b/>
          <w:color w:val="auto"/>
          <w:sz w:val="30"/>
          <w:szCs w:val="30"/>
          <w:highlight w:val="none"/>
        </w:rPr>
        <w:t>一、无串标行为承诺函</w:t>
      </w:r>
    </w:p>
    <w:p w14:paraId="173DA556">
      <w:pPr>
        <w:spacing w:line="520" w:lineRule="exact"/>
        <w:jc w:val="center"/>
        <w:rPr>
          <w:rFonts w:hint="eastAsia" w:ascii="微软雅黑" w:hAnsi="微软雅黑" w:eastAsia="微软雅黑" w:cs="微软雅黑"/>
          <w:color w:val="auto"/>
          <w:sz w:val="44"/>
          <w:szCs w:val="44"/>
          <w:highlight w:val="none"/>
        </w:rPr>
      </w:pPr>
    </w:p>
    <w:p w14:paraId="42DDFF43">
      <w:pPr>
        <w:spacing w:line="520" w:lineRule="exact"/>
        <w:jc w:val="center"/>
        <w:rPr>
          <w:rFonts w:hint="eastAsia" w:ascii="仿宋_GB2312" w:hAnsi="仿宋_GB2312" w:eastAsia="仿宋_GB2312" w:cs="仿宋_GB2312"/>
          <w:color w:val="auto"/>
          <w:sz w:val="32"/>
          <w:szCs w:val="32"/>
          <w:highlight w:val="none"/>
        </w:rPr>
      </w:pPr>
      <w:r>
        <w:rPr>
          <w:rFonts w:hint="eastAsia" w:ascii="微软雅黑" w:hAnsi="微软雅黑" w:eastAsia="微软雅黑" w:cs="微软雅黑"/>
          <w:color w:val="auto"/>
          <w:sz w:val="44"/>
          <w:szCs w:val="44"/>
          <w:highlight w:val="none"/>
        </w:rPr>
        <w:t>无串通竞标行为的承诺函</w:t>
      </w:r>
    </w:p>
    <w:p w14:paraId="380AB227">
      <w:pPr>
        <w:spacing w:line="520" w:lineRule="exact"/>
        <w:ind w:firstLine="640" w:firstLineChars="200"/>
        <w:rPr>
          <w:rFonts w:hint="eastAsia" w:ascii="仿宋_GB2312" w:hAnsi="仿宋_GB2312" w:eastAsia="仿宋_GB2312" w:cs="仿宋_GB2312"/>
          <w:color w:val="auto"/>
          <w:sz w:val="32"/>
          <w:szCs w:val="32"/>
          <w:highlight w:val="none"/>
        </w:rPr>
      </w:pPr>
    </w:p>
    <w:p w14:paraId="710ACD47">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2BA178F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0C840DE5">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196A520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478A725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同供应商的响应文件异常一致或者响应报价呈规律性差异；</w:t>
      </w:r>
    </w:p>
    <w:p w14:paraId="091B75A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202107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0E20990">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7A0B625">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75D4BEA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BCA0C8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084F13B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3C72E38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01E18D9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380C525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8DA1FCF">
      <w:pPr>
        <w:spacing w:line="360" w:lineRule="auto"/>
        <w:ind w:firstLine="480" w:firstLineChars="200"/>
        <w:contextualSpacing/>
        <w:rPr>
          <w:rFonts w:hint="eastAsia" w:ascii="宋体" w:hAnsi="宋体" w:cs="仿宋_GB2312"/>
          <w:color w:val="auto"/>
          <w:sz w:val="24"/>
          <w:highlight w:val="none"/>
        </w:rPr>
      </w:pPr>
    </w:p>
    <w:p w14:paraId="59FF02F3">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26AEE19">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D7CB3B2">
      <w:pPr>
        <w:spacing w:line="520" w:lineRule="exact"/>
        <w:ind w:left="239" w:leftChars="114" w:firstLine="6120" w:firstLineChars="2550"/>
        <w:jc w:val="left"/>
        <w:rPr>
          <w:rFonts w:ascii="微软雅黑" w:hAnsi="微软雅黑" w:eastAsia="微软雅黑" w:cs="微软雅黑"/>
          <w:bCs/>
          <w:color w:val="auto"/>
          <w:sz w:val="44"/>
          <w:szCs w:val="44"/>
          <w:highlight w:val="none"/>
        </w:rPr>
      </w:pPr>
      <w:r>
        <w:rPr>
          <w:rFonts w:hint="eastAsia" w:ascii="仿宋_GB2312" w:hAnsi="仿宋" w:eastAsia="仿宋_GB2312" w:cs="仿宋_GB2312"/>
          <w:color w:val="auto"/>
          <w:kern w:val="0"/>
          <w:sz w:val="24"/>
          <w:highlight w:val="none"/>
          <w:lang w:val="zh-CN"/>
        </w:rPr>
        <w:t xml:space="preserve">日期：  年  月   日   </w:t>
      </w:r>
      <w:r>
        <w:rPr>
          <w:rFonts w:ascii="宋体" w:hAnsi="宋体"/>
          <w:b/>
          <w:bCs/>
          <w:color w:val="auto"/>
          <w:sz w:val="32"/>
          <w:szCs w:val="32"/>
          <w:highlight w:val="none"/>
        </w:rPr>
        <w:br w:type="page"/>
      </w:r>
      <w:r>
        <w:rPr>
          <w:rFonts w:hint="eastAsia" w:ascii="仿宋" w:hAnsi="仿宋" w:eastAsia="仿宋" w:cs="仿宋_GB2312"/>
          <w:b/>
          <w:color w:val="auto"/>
          <w:sz w:val="30"/>
          <w:szCs w:val="30"/>
          <w:highlight w:val="none"/>
        </w:rPr>
        <w:t>二、法定代表人身份证明及法定代表人有效身份证正反面复印件</w:t>
      </w:r>
    </w:p>
    <w:p w14:paraId="3EC59BAF">
      <w:pPr>
        <w:spacing w:line="520" w:lineRule="exact"/>
        <w:jc w:val="center"/>
        <w:rPr>
          <w:rFonts w:hint="eastAsia" w:ascii="仿宋_GB2312" w:hAnsi="仿宋_GB2312" w:eastAsia="仿宋_GB2312" w:cs="仿宋_GB2312"/>
          <w:color w:val="auto"/>
          <w:sz w:val="32"/>
          <w:szCs w:val="32"/>
          <w:highlight w:val="none"/>
        </w:rPr>
      </w:pPr>
      <w:r>
        <w:rPr>
          <w:rFonts w:hint="eastAsia" w:ascii="微软雅黑" w:hAnsi="微软雅黑" w:eastAsia="微软雅黑" w:cs="微软雅黑"/>
          <w:bCs/>
          <w:color w:val="auto"/>
          <w:sz w:val="44"/>
          <w:szCs w:val="44"/>
          <w:highlight w:val="none"/>
        </w:rPr>
        <w:t>法定代表人证明书</w:t>
      </w:r>
    </w:p>
    <w:p w14:paraId="30D47572">
      <w:pPr>
        <w:spacing w:line="360" w:lineRule="auto"/>
        <w:ind w:left="540"/>
        <w:contextualSpacing/>
        <w:rPr>
          <w:rFonts w:hint="eastAsia" w:ascii="仿宋_GB2312" w:hAnsi="仿宋_GB2312" w:eastAsia="仿宋_GB2312" w:cs="仿宋_GB2312"/>
          <w:color w:val="auto"/>
          <w:sz w:val="32"/>
          <w:szCs w:val="32"/>
          <w:highlight w:val="none"/>
        </w:rPr>
      </w:pPr>
    </w:p>
    <w:p w14:paraId="55D46ED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450585F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23FDC80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0D572EE">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3838752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6A7E8C8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384231E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4C12974B">
      <w:pPr>
        <w:spacing w:line="360" w:lineRule="auto"/>
        <w:ind w:left="540"/>
        <w:contextualSpacing/>
        <w:rPr>
          <w:rFonts w:hint="eastAsia" w:ascii="宋体" w:hAnsi="宋体" w:cs="仿宋_GB2312"/>
          <w:color w:val="auto"/>
          <w:sz w:val="24"/>
          <w:highlight w:val="none"/>
        </w:rPr>
      </w:pPr>
    </w:p>
    <w:p w14:paraId="05C40D80">
      <w:pPr>
        <w:spacing w:line="360" w:lineRule="auto"/>
        <w:ind w:left="540"/>
        <w:contextualSpacing/>
        <w:rPr>
          <w:rFonts w:hint="eastAsia" w:ascii="宋体" w:hAnsi="宋体" w:cs="仿宋_GB2312"/>
          <w:color w:val="auto"/>
          <w:sz w:val="24"/>
          <w:highlight w:val="none"/>
        </w:rPr>
      </w:pPr>
    </w:p>
    <w:p w14:paraId="5C03D6B8">
      <w:pPr>
        <w:spacing w:line="360" w:lineRule="auto"/>
        <w:ind w:left="540"/>
        <w:contextualSpacing/>
        <w:rPr>
          <w:rFonts w:hint="eastAsia" w:ascii="宋体" w:hAnsi="宋体" w:cs="仿宋_GB2312"/>
          <w:color w:val="auto"/>
          <w:sz w:val="24"/>
          <w:highlight w:val="none"/>
        </w:rPr>
      </w:pPr>
    </w:p>
    <w:p w14:paraId="4B60A4BF">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3A5C7E15">
      <w:pPr>
        <w:spacing w:line="360" w:lineRule="auto"/>
        <w:ind w:left="540"/>
        <w:contextualSpacing/>
        <w:rPr>
          <w:rFonts w:hint="eastAsia" w:ascii="宋体" w:hAnsi="宋体" w:cs="仿宋_GB2312"/>
          <w:color w:val="auto"/>
          <w:sz w:val="24"/>
          <w:highlight w:val="none"/>
        </w:rPr>
      </w:pPr>
    </w:p>
    <w:p w14:paraId="53B751D3">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249DAFA">
      <w:pPr>
        <w:spacing w:line="360" w:lineRule="auto"/>
        <w:contextualSpacing/>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4208FA1D">
      <w:pPr>
        <w:spacing w:line="360" w:lineRule="auto"/>
        <w:contextualSpacing/>
        <w:jc w:val="left"/>
        <w:rPr>
          <w:rFonts w:hint="eastAsia" w:ascii="宋体" w:hAnsi="宋体" w:cs="仿宋_GB2312"/>
          <w:color w:val="auto"/>
          <w:sz w:val="24"/>
          <w:highlight w:val="none"/>
        </w:rPr>
      </w:pPr>
    </w:p>
    <w:p w14:paraId="2237E1E9">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注：1</w:t>
      </w:r>
      <w:r>
        <w:rPr>
          <w:rFonts w:ascii="宋体" w:hAnsi="宋体" w:cs="仿宋_GB2312"/>
          <w:color w:val="auto"/>
          <w:sz w:val="24"/>
          <w:highlight w:val="none"/>
        </w:rPr>
        <w:t>.</w:t>
      </w:r>
      <w:r>
        <w:rPr>
          <w:rFonts w:hint="eastAsia" w:ascii="宋体" w:hAnsi="宋体" w:cs="仿宋_GB2312"/>
          <w:color w:val="auto"/>
          <w:sz w:val="24"/>
          <w:highlight w:val="none"/>
        </w:rPr>
        <w:t>自然人竞标的无需提供，联合体竞标的只需牵头人出具。</w:t>
      </w:r>
    </w:p>
    <w:p w14:paraId="416670BA">
      <w:pPr>
        <w:spacing w:line="360" w:lineRule="auto"/>
        <w:ind w:firstLine="480" w:firstLineChars="200"/>
        <w:contextualSpacing/>
        <w:jc w:val="left"/>
        <w:rPr>
          <w:rFonts w:ascii="宋体" w:hAnsi="宋体" w:cs="仿宋_GB2312"/>
          <w:color w:val="auto"/>
          <w:sz w:val="24"/>
          <w:highlight w:val="none"/>
        </w:rPr>
        <w:sectPr>
          <w:pgSz w:w="11910" w:h="16840"/>
          <w:pgMar w:top="1340" w:right="1474" w:bottom="1134" w:left="1587" w:header="720" w:footer="720" w:gutter="0"/>
          <w:pgNumType w:fmt="decimal"/>
          <w:cols w:space="720" w:num="1"/>
        </w:sectPr>
      </w:pPr>
      <w:r>
        <w:rPr>
          <w:rFonts w:hint="eastAsia" w:ascii="宋体" w:hAnsi="宋体" w:cs="仿宋_GB2312"/>
          <w:color w:val="auto"/>
          <w:sz w:val="24"/>
          <w:highlight w:val="none"/>
        </w:rPr>
        <w:t>2</w:t>
      </w:r>
      <w:r>
        <w:rPr>
          <w:rFonts w:ascii="宋体" w:hAnsi="宋体" w:cs="仿宋_GB2312"/>
          <w:color w:val="auto"/>
          <w:sz w:val="24"/>
          <w:highlight w:val="none"/>
        </w:rPr>
        <w:t>.</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0"/>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4EEF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5FD7A181">
            <w:pPr>
              <w:keepNext w:val="0"/>
              <w:keepLines w:val="0"/>
              <w:suppressLineNumbers w:val="0"/>
              <w:spacing w:before="0" w:beforeAutospacing="0" w:after="0" w:afterAutospacing="0" w:line="360" w:lineRule="auto"/>
              <w:ind w:left="0" w:right="0"/>
              <w:rPr>
                <w:rFonts w:hint="default" w:ascii="宋体" w:hAnsi="Calibri" w:cs="Calibri"/>
                <w:b/>
                <w:color w:val="auto"/>
                <w:sz w:val="24"/>
                <w:highlight w:val="none"/>
              </w:rPr>
            </w:pPr>
          </w:p>
          <w:p w14:paraId="29E88A5B">
            <w:pPr>
              <w:keepNext w:val="0"/>
              <w:keepLines w:val="0"/>
              <w:suppressLineNumbers w:val="0"/>
              <w:spacing w:before="0" w:beforeAutospacing="0" w:after="0" w:afterAutospacing="0" w:line="360" w:lineRule="auto"/>
              <w:ind w:left="0" w:right="0"/>
              <w:rPr>
                <w:rFonts w:hint="default" w:ascii="宋体" w:hAnsi="Calibri" w:cs="Calibri"/>
                <w:b/>
                <w:color w:val="auto"/>
                <w:sz w:val="24"/>
                <w:highlight w:val="none"/>
              </w:rPr>
            </w:pPr>
            <w:r>
              <w:rPr>
                <w:rFonts w:hint="eastAsia" w:ascii="宋体" w:hAnsi="Calibri" w:cs="Calibri"/>
                <w:b/>
                <w:color w:val="auto"/>
                <w:sz w:val="24"/>
                <w:highlight w:val="none"/>
              </w:rPr>
              <w:t>法定代表身份证复印件</w:t>
            </w:r>
            <w:r>
              <w:rPr>
                <w:rFonts w:hint="eastAsia" w:ascii="宋体" w:hAnsi="Calibri" w:cs="Calibri"/>
                <w:b/>
                <w:color w:val="auto"/>
                <w:sz w:val="24"/>
                <w:highlight w:val="none"/>
                <w:lang w:eastAsia="zh-CN"/>
              </w:rPr>
              <w:t>粘贴</w:t>
            </w:r>
            <w:r>
              <w:rPr>
                <w:rFonts w:hint="eastAsia" w:ascii="宋体" w:hAnsi="Calibri" w:cs="Calibri"/>
                <w:b/>
                <w:color w:val="auto"/>
                <w:sz w:val="24"/>
                <w:highlight w:val="none"/>
              </w:rPr>
              <w:t>处（正、反面）</w:t>
            </w:r>
          </w:p>
        </w:tc>
      </w:tr>
    </w:tbl>
    <w:p w14:paraId="3D250E1E">
      <w:pPr>
        <w:spacing w:line="360" w:lineRule="auto"/>
        <w:ind w:firstLine="482" w:firstLineChars="200"/>
        <w:contextualSpacing/>
        <w:jc w:val="left"/>
        <w:rPr>
          <w:rFonts w:hint="eastAsia"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7DB21487">
      <w:pPr>
        <w:adjustRightInd w:val="0"/>
        <w:snapToGrid w:val="0"/>
        <w:spacing w:line="300" w:lineRule="auto"/>
        <w:jc w:val="left"/>
        <w:rPr>
          <w:rFonts w:hint="eastAsia" w:ascii="宋体" w:hAnsi="宋体"/>
          <w:b/>
          <w:color w:val="auto"/>
          <w:szCs w:val="21"/>
          <w:highlight w:val="none"/>
        </w:rPr>
      </w:pPr>
    </w:p>
    <w:p w14:paraId="7238C2DE">
      <w:pPr>
        <w:spacing w:line="520" w:lineRule="exact"/>
        <w:ind w:firstLine="880"/>
        <w:jc w:val="left"/>
        <w:rPr>
          <w:rFonts w:ascii="微软雅黑" w:hAnsi="微软雅黑" w:eastAsia="微软雅黑" w:cs="微软雅黑"/>
          <w:bCs/>
          <w:color w:val="auto"/>
          <w:sz w:val="44"/>
          <w:szCs w:val="44"/>
          <w:highlight w:val="none"/>
        </w:rPr>
      </w:pPr>
      <w:r>
        <w:rPr>
          <w:rFonts w:hint="eastAsia" w:ascii="微软雅黑" w:hAnsi="微软雅黑" w:eastAsia="微软雅黑" w:cs="微软雅黑"/>
          <w:color w:val="auto"/>
          <w:sz w:val="44"/>
          <w:szCs w:val="44"/>
          <w:highlight w:val="none"/>
        </w:rPr>
        <w:br w:type="page"/>
      </w:r>
      <w:r>
        <w:rPr>
          <w:rFonts w:hint="eastAsia" w:ascii="仿宋" w:hAnsi="仿宋" w:eastAsia="仿宋" w:cs="仿宋_GB2312"/>
          <w:b/>
          <w:color w:val="auto"/>
          <w:sz w:val="30"/>
          <w:szCs w:val="30"/>
          <w:highlight w:val="none"/>
        </w:rPr>
        <w:t>三、法定代表人授权委托书</w:t>
      </w:r>
    </w:p>
    <w:p w14:paraId="34485BE9">
      <w:pPr>
        <w:spacing w:line="500" w:lineRule="exact"/>
        <w:jc w:val="center"/>
        <w:rPr>
          <w:rFonts w:hint="eastAsia" w:ascii="微软雅黑" w:hAnsi="微软雅黑" w:eastAsia="微软雅黑" w:cs="微软雅黑"/>
          <w:color w:val="auto"/>
          <w:sz w:val="44"/>
          <w:szCs w:val="44"/>
          <w:highlight w:val="none"/>
        </w:rPr>
      </w:pPr>
    </w:p>
    <w:p w14:paraId="15FEF6F8">
      <w:pPr>
        <w:spacing w:line="520" w:lineRule="exact"/>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授权委托书（如有委托时）</w:t>
      </w:r>
    </w:p>
    <w:p w14:paraId="726C996F">
      <w:pPr>
        <w:spacing w:line="520" w:lineRule="exact"/>
        <w:rPr>
          <w:rFonts w:hint="eastAsia" w:ascii="仿宋_GB2312" w:hAnsi="仿宋_GB2312" w:eastAsia="仿宋_GB2312" w:cs="仿宋_GB2312"/>
          <w:color w:val="auto"/>
          <w:sz w:val="32"/>
          <w:szCs w:val="32"/>
          <w:highlight w:val="none"/>
        </w:rPr>
      </w:pPr>
    </w:p>
    <w:p w14:paraId="4C5A4EE1">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致：</w:t>
      </w:r>
      <w:bookmarkStart w:id="88" w:name="PO_3000001920_PM031"/>
      <w:r>
        <w:rPr>
          <w:rFonts w:hint="eastAsia" w:ascii="宋体" w:hAnsi="宋体" w:cs="仿宋_GB2312"/>
          <w:color w:val="auto"/>
          <w:sz w:val="24"/>
          <w:szCs w:val="24"/>
          <w:highlight w:val="none"/>
          <w:u w:val="single"/>
        </w:rPr>
        <w:t>广西翔正项目管理有限公司</w:t>
      </w:r>
      <w:bookmarkEnd w:id="88"/>
      <w:r>
        <w:rPr>
          <w:rFonts w:hint="eastAsia" w:ascii="宋体" w:hAnsi="宋体" w:cs="仿宋_GB2312"/>
          <w:color w:val="auto"/>
          <w:sz w:val="24"/>
          <w:szCs w:val="24"/>
          <w:highlight w:val="none"/>
        </w:rPr>
        <w:t>：</w:t>
      </w:r>
    </w:p>
    <w:p w14:paraId="6E13FC43">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我</w:t>
      </w:r>
      <w:r>
        <w:rPr>
          <w:rFonts w:hint="eastAsia" w:ascii="宋体" w:hAnsi="宋体" w:cs="仿宋_GB2312"/>
          <w:color w:val="auto"/>
          <w:sz w:val="24"/>
          <w:szCs w:val="24"/>
          <w:highlight w:val="none"/>
          <w:u w:val="single"/>
        </w:rPr>
        <w:t xml:space="preserve">  （姓名）  </w:t>
      </w:r>
      <w:r>
        <w:rPr>
          <w:rFonts w:hint="eastAsia" w:ascii="宋体" w:hAnsi="宋体" w:cs="仿宋_GB2312"/>
          <w:color w:val="auto"/>
          <w:sz w:val="24"/>
          <w:szCs w:val="24"/>
          <w:highlight w:val="none"/>
        </w:rPr>
        <w:t>系</w:t>
      </w:r>
      <w:r>
        <w:rPr>
          <w:rFonts w:hint="eastAsia" w:ascii="宋体" w:hAnsi="宋体" w:cs="仿宋_GB2312"/>
          <w:color w:val="auto"/>
          <w:sz w:val="24"/>
          <w:szCs w:val="24"/>
          <w:highlight w:val="none"/>
          <w:u w:val="single"/>
        </w:rPr>
        <w:t xml:space="preserve">  （供应商名称）  </w:t>
      </w:r>
      <w:r>
        <w:rPr>
          <w:rFonts w:hint="eastAsia" w:ascii="宋体" w:hAnsi="宋体" w:cs="仿宋_GB2312"/>
          <w:color w:val="auto"/>
          <w:sz w:val="24"/>
          <w:szCs w:val="24"/>
          <w:highlight w:val="none"/>
        </w:rPr>
        <w:t>的（</w:t>
      </w:r>
      <w:r>
        <w:rPr>
          <w:rFonts w:hint="eastAsia" w:ascii="宋体" w:hAnsi="宋体" w:cs="仿宋_GB2312"/>
          <w:color w:val="auto"/>
          <w:sz w:val="24"/>
          <w:szCs w:val="24"/>
          <w:highlight w:val="none"/>
          <w:u w:val="single"/>
        </w:rPr>
        <w:t>□法定代表人/□负责人/□自然人本人</w:t>
      </w:r>
      <w:r>
        <w:rPr>
          <w:rFonts w:hint="eastAsia" w:ascii="宋体" w:hAnsi="宋体" w:cs="仿宋_GB2312"/>
          <w:color w:val="auto"/>
          <w:sz w:val="24"/>
          <w:szCs w:val="24"/>
          <w:highlight w:val="none"/>
        </w:rPr>
        <w:t>），现授权</w:t>
      </w:r>
      <w:r>
        <w:rPr>
          <w:rFonts w:hint="eastAsia" w:ascii="宋体" w:hAnsi="宋体" w:cs="仿宋_GB2312"/>
          <w:color w:val="auto"/>
          <w:sz w:val="24"/>
          <w:szCs w:val="24"/>
          <w:highlight w:val="none"/>
          <w:u w:val="single"/>
        </w:rPr>
        <w:t xml:space="preserve"> （姓名） </w:t>
      </w:r>
      <w:r>
        <w:rPr>
          <w:rFonts w:hint="eastAsia" w:ascii="宋体" w:hAnsi="宋体" w:cs="仿宋_GB2312"/>
          <w:color w:val="auto"/>
          <w:sz w:val="24"/>
          <w:szCs w:val="24"/>
          <w:highlight w:val="none"/>
        </w:rPr>
        <w:t>以我方的名义参加</w:t>
      </w:r>
      <w:r>
        <w:rPr>
          <w:rFonts w:hint="eastAsia" w:ascii="宋体" w:hAnsi="宋体" w:cs="仿宋_GB2312"/>
          <w:color w:val="auto"/>
          <w:sz w:val="24"/>
          <w:szCs w:val="24"/>
          <w:highlight w:val="none"/>
          <w:u w:val="single"/>
          <w:lang w:eastAsia="zh-CN"/>
        </w:rPr>
        <w:t>2026年南宁市武鸣区基层就业服务网点（就业服务站）项目</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lang w:val="en-US" w:eastAsia="zh-CN"/>
        </w:rPr>
        <w:t xml:space="preserve"> </w:t>
      </w:r>
      <w:r>
        <w:rPr>
          <w:rFonts w:hint="eastAsia" w:ascii="宋体" w:hAnsi="宋体" w:cs="仿宋_GB2312"/>
          <w:color w:val="auto"/>
          <w:sz w:val="24"/>
          <w:szCs w:val="24"/>
          <w:highlight w:val="none"/>
        </w:rPr>
        <w:t>的竞标活动，并代表我方全权办理针对上述项目的所有采购程序和环节的具体事务和签署相关文件。</w:t>
      </w:r>
    </w:p>
    <w:p w14:paraId="34A46614">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    我方对委托代理人的签字事项负全部责任。</w:t>
      </w:r>
    </w:p>
    <w:p w14:paraId="09276036">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本授权书自签署之日起生效，在撤销授权的书面通知以前，本授权书一直有效。委托代理人在授权书有效期内签署的所有文件不因授权的撤销而失效。</w:t>
      </w:r>
    </w:p>
    <w:p w14:paraId="70A16113">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委托代理人无转委托权，特此委托。</w:t>
      </w:r>
    </w:p>
    <w:p w14:paraId="523F6B0A">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附：法定代表人身份证明书及委托代理人有效身份证正反面复印件</w:t>
      </w:r>
    </w:p>
    <w:p w14:paraId="1697BDA4">
      <w:pPr>
        <w:spacing w:line="360" w:lineRule="auto"/>
        <w:rPr>
          <w:rFonts w:hint="eastAsia" w:ascii="宋体" w:hAnsi="宋体" w:cs="仿宋_GB2312"/>
          <w:color w:val="auto"/>
          <w:sz w:val="24"/>
          <w:szCs w:val="24"/>
          <w:highlight w:val="none"/>
        </w:rPr>
      </w:pPr>
    </w:p>
    <w:p w14:paraId="32672D39">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委托代理人（签字）：         法定代表人（签字或盖章）：                    </w:t>
      </w:r>
    </w:p>
    <w:p w14:paraId="414A006C">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委托代理人身份证号码：                              </w:t>
      </w:r>
    </w:p>
    <w:p w14:paraId="5D5A52B4">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                                </w:t>
      </w:r>
    </w:p>
    <w:p w14:paraId="0FD0DF53">
      <w:pPr>
        <w:spacing w:line="360" w:lineRule="auto"/>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                         </w:t>
      </w:r>
      <w:r>
        <w:rPr>
          <w:rFonts w:hint="eastAsia" w:ascii="仿宋_GB2312" w:hAnsi="仿宋" w:eastAsia="仿宋_GB2312" w:cs="仿宋_GB2312"/>
          <w:color w:val="auto"/>
          <w:kern w:val="0"/>
          <w:sz w:val="24"/>
          <w:szCs w:val="24"/>
          <w:highlight w:val="none"/>
        </w:rPr>
        <w:t>供应商名称（电子签章）：</w:t>
      </w:r>
    </w:p>
    <w:p w14:paraId="405C0989">
      <w:pPr>
        <w:spacing w:line="360" w:lineRule="auto"/>
        <w:contextualSpacing/>
        <w:jc w:val="center"/>
        <w:rPr>
          <w:rFonts w:hint="eastAsia" w:ascii="宋体" w:hAnsi="宋体" w:cs="仿宋_GB2312"/>
          <w:b/>
          <w:color w:val="auto"/>
          <w:sz w:val="24"/>
          <w:szCs w:val="24"/>
          <w:highlight w:val="none"/>
        </w:rPr>
      </w:pPr>
      <w:r>
        <w:rPr>
          <w:rFonts w:hint="eastAsia" w:ascii="仿宋_GB2312" w:hAnsi="仿宋" w:eastAsia="仿宋_GB2312" w:cs="仿宋_GB2312"/>
          <w:color w:val="auto"/>
          <w:kern w:val="0"/>
          <w:sz w:val="24"/>
          <w:szCs w:val="24"/>
          <w:highlight w:val="none"/>
          <w:lang w:val="zh-CN"/>
        </w:rPr>
        <w:t xml:space="preserve">                                                   日期：  年  月   日</w:t>
      </w:r>
    </w:p>
    <w:p w14:paraId="7AE2E343">
      <w:pPr>
        <w:spacing w:line="360" w:lineRule="auto"/>
        <w:rPr>
          <w:rFonts w:hint="eastAsia" w:ascii="宋体" w:hAnsi="宋体" w:cs="仿宋_GB2312"/>
          <w:color w:val="auto"/>
          <w:sz w:val="24"/>
          <w:szCs w:val="24"/>
          <w:highlight w:val="none"/>
        </w:rPr>
      </w:pPr>
    </w:p>
    <w:p w14:paraId="5A80D07B">
      <w:pPr>
        <w:spacing w:line="360" w:lineRule="auto"/>
        <w:rPr>
          <w:rFonts w:ascii="宋体" w:hAnsi="宋体" w:cs="仿宋_GB2312"/>
          <w:color w:val="auto"/>
          <w:sz w:val="24"/>
          <w:szCs w:val="24"/>
          <w:highlight w:val="none"/>
        </w:rPr>
      </w:pPr>
      <w:r>
        <w:rPr>
          <w:rFonts w:hint="eastAsia" w:ascii="宋体" w:hAnsi="宋体" w:cs="仿宋_GB2312"/>
          <w:color w:val="auto"/>
          <w:sz w:val="24"/>
          <w:szCs w:val="24"/>
          <w:highlight w:val="none"/>
        </w:rPr>
        <w:t>注：1. 法定代表人必须在授权委托书上亲笔签字或盖章，委托代理人必须在授权委托书上亲笔签字，</w:t>
      </w:r>
      <w:r>
        <w:rPr>
          <w:rFonts w:hint="eastAsia" w:ascii="宋体" w:hAnsi="宋体" w:cs="仿宋_GB2312"/>
          <w:b/>
          <w:color w:val="auto"/>
          <w:sz w:val="24"/>
          <w:szCs w:val="24"/>
          <w:highlight w:val="none"/>
        </w:rPr>
        <w:t>否则其响应文件按无效响应处理。</w:t>
      </w:r>
    </w:p>
    <w:p w14:paraId="1BA14426">
      <w:pPr>
        <w:spacing w:line="360" w:lineRule="auto"/>
        <w:ind w:firstLine="480" w:firstLineChars="200"/>
        <w:jc w:val="left"/>
        <w:rPr>
          <w:rFonts w:ascii="宋体" w:hAnsi="宋体" w:cs="仿宋_GB2312"/>
          <w:color w:val="auto"/>
          <w:sz w:val="24"/>
          <w:szCs w:val="24"/>
          <w:highlight w:val="none"/>
        </w:rPr>
      </w:pPr>
      <w:r>
        <w:rPr>
          <w:rFonts w:ascii="宋体" w:hAnsi="宋体" w:cs="仿宋_GB2312"/>
          <w:color w:val="auto"/>
          <w:sz w:val="24"/>
          <w:szCs w:val="24"/>
          <w:highlight w:val="none"/>
        </w:rPr>
        <w:t>2.</w:t>
      </w:r>
      <w:r>
        <w:rPr>
          <w:rFonts w:hint="eastAsia" w:ascii="宋体" w:hAnsi="宋体" w:cs="仿宋_GB2312"/>
          <w:color w:val="auto"/>
          <w:sz w:val="24"/>
          <w:szCs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C259A99">
      <w:pPr>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宋体" w:hAnsi="宋体" w:cs="仿宋_GB2312"/>
          <w:color w:val="auto"/>
          <w:sz w:val="24"/>
          <w:szCs w:val="24"/>
          <w:highlight w:val="none"/>
        </w:rPr>
        <w:t>3</w:t>
      </w:r>
      <w:r>
        <w:rPr>
          <w:rFonts w:ascii="宋体" w:hAnsi="宋体" w:cs="仿宋_GB2312"/>
          <w:color w:val="auto"/>
          <w:sz w:val="24"/>
          <w:szCs w:val="24"/>
          <w:highlight w:val="none"/>
        </w:rPr>
        <w:t>.</w:t>
      </w:r>
      <w:r>
        <w:rPr>
          <w:rFonts w:hint="eastAsia" w:ascii="宋体" w:hAnsi="宋体" w:cs="仿宋_GB2312"/>
          <w:color w:val="auto"/>
          <w:sz w:val="24"/>
          <w:szCs w:val="24"/>
          <w:highlight w:val="none"/>
        </w:rPr>
        <w:t xml:space="preserve"> 法人、其他组织竞标时“我方”是指“我单位”，自然人竞标时“我方”是指“本人”。</w:t>
      </w:r>
    </w:p>
    <w:p w14:paraId="3EA70036">
      <w:pPr>
        <w:spacing w:line="360" w:lineRule="auto"/>
        <w:ind w:firstLine="420" w:firstLineChars="200"/>
        <w:jc w:val="left"/>
        <w:rPr>
          <w:rFonts w:hint="eastAsia" w:ascii="仿宋_GB2312" w:hAnsi="仿宋_GB2312" w:eastAsia="仿宋_GB2312" w:cs="仿宋_GB2312"/>
          <w:color w:val="auto"/>
          <w:szCs w:val="21"/>
          <w:highlight w:val="none"/>
        </w:rPr>
      </w:pPr>
    </w:p>
    <w:p w14:paraId="225E8DAA">
      <w:pPr>
        <w:numPr>
          <w:ilvl w:val="0"/>
          <w:numId w:val="6"/>
        </w:numPr>
        <w:spacing w:line="520" w:lineRule="exact"/>
        <w:ind w:firstLine="640" w:firstLineChars="200"/>
        <w:jc w:val="left"/>
        <w:rPr>
          <w:rFonts w:hint="eastAsia" w:ascii="仿宋" w:hAnsi="仿宋" w:eastAsia="仿宋" w:cs="仿宋_GB2312"/>
          <w:b/>
          <w:color w:val="auto"/>
          <w:sz w:val="30"/>
          <w:szCs w:val="30"/>
          <w:highlight w:val="none"/>
        </w:rPr>
      </w:pPr>
      <w:r>
        <w:rPr>
          <w:rFonts w:hint="eastAsia" w:ascii="仿宋_GB2312" w:hAnsi="仿宋_GB2312" w:eastAsia="仿宋_GB2312" w:cs="仿宋_GB2312"/>
          <w:color w:val="auto"/>
          <w:sz w:val="32"/>
          <w:szCs w:val="32"/>
          <w:highlight w:val="none"/>
        </w:rPr>
        <w:br w:type="page"/>
      </w:r>
      <w:r>
        <w:rPr>
          <w:rFonts w:hint="eastAsia" w:ascii="仿宋" w:hAnsi="仿宋" w:eastAsia="仿宋" w:cs="仿宋_GB2312"/>
          <w:b/>
          <w:color w:val="auto"/>
          <w:sz w:val="30"/>
          <w:szCs w:val="30"/>
          <w:highlight w:val="none"/>
        </w:rPr>
        <w:t>商务条款偏离表</w:t>
      </w:r>
    </w:p>
    <w:p w14:paraId="7AE2D9B2">
      <w:pPr>
        <w:pStyle w:val="13"/>
        <w:numPr>
          <w:ilvl w:val="0"/>
          <w:numId w:val="0"/>
        </w:numPr>
        <w:rPr>
          <w:rFonts w:hint="eastAsia"/>
          <w:color w:val="auto"/>
          <w:highlight w:val="none"/>
        </w:rPr>
      </w:pPr>
    </w:p>
    <w:p w14:paraId="2EAC80D7">
      <w:pPr>
        <w:spacing w:line="500" w:lineRule="exact"/>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商务条款偏离表</w:t>
      </w:r>
    </w:p>
    <w:p w14:paraId="647DE32B">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eastAsia="zh-CN"/>
        </w:rPr>
        <w:t>NNZC2026-C3-100081-GXXZ</w:t>
      </w:r>
      <w:r>
        <w:rPr>
          <w:rFonts w:hint="eastAsia" w:ascii="宋体" w:hAnsi="宋体" w:cs="仿宋_GB2312"/>
          <w:color w:val="auto"/>
          <w:sz w:val="24"/>
          <w:highlight w:val="none"/>
          <w:u w:val="single"/>
        </w:rPr>
        <w:t xml:space="preserve">  </w:t>
      </w:r>
    </w:p>
    <w:p w14:paraId="13B2E51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eastAsia="zh-CN"/>
        </w:rPr>
        <w:t>2026年南宁市武鸣区基层就业服务网点（就业服务站）项目</w:t>
      </w:r>
      <w:r>
        <w:rPr>
          <w:rFonts w:hint="eastAsia" w:ascii="宋体" w:hAnsi="宋体" w:cs="仿宋_GB2312"/>
          <w:color w:val="auto"/>
          <w:sz w:val="24"/>
          <w:highlight w:val="none"/>
          <w:u w:val="single"/>
        </w:rPr>
        <w:t xml:space="preserve"> </w:t>
      </w:r>
    </w:p>
    <w:p w14:paraId="4D8361F3">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p>
    <w:tbl>
      <w:tblPr>
        <w:tblStyle w:val="3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3694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6B912357">
            <w:pPr>
              <w:keepNext w:val="0"/>
              <w:keepLines w:val="0"/>
              <w:suppressLineNumbers w:val="0"/>
              <w:spacing w:before="0" w:beforeAutospacing="0" w:after="0" w:afterAutospacing="0" w:line="340" w:lineRule="exact"/>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1C036FD9">
            <w:pPr>
              <w:keepNext w:val="0"/>
              <w:keepLines w:val="0"/>
              <w:suppressLineNumbers w:val="0"/>
              <w:spacing w:before="0" w:beforeAutospacing="0" w:after="0" w:afterAutospacing="0" w:line="340" w:lineRule="exact"/>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E7C9D34">
            <w:pPr>
              <w:keepNext w:val="0"/>
              <w:keepLines w:val="0"/>
              <w:suppressLineNumbers w:val="0"/>
              <w:spacing w:before="0" w:beforeAutospacing="0" w:after="0" w:afterAutospacing="0" w:line="340" w:lineRule="exact"/>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527F266">
            <w:pPr>
              <w:keepNext w:val="0"/>
              <w:keepLines w:val="0"/>
              <w:suppressLineNumbers w:val="0"/>
              <w:spacing w:before="0" w:beforeAutospacing="0" w:after="0" w:afterAutospacing="0" w:line="340" w:lineRule="exact"/>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偏离说明</w:t>
            </w:r>
          </w:p>
        </w:tc>
      </w:tr>
      <w:tr w14:paraId="2BE1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E951DDC">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7E83B13">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1D2D7D7E">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0AC4DC3A">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70DA6CD4">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40158501">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4B6F6CE8">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6819EBB4">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2773AD67">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46BB1ED">
            <w:pPr>
              <w:keepNext w:val="0"/>
              <w:keepLines w:val="0"/>
              <w:suppressLineNumbers w:val="0"/>
              <w:spacing w:before="0" w:beforeAutospacing="0" w:after="0" w:afterAutospacing="0" w:line="300" w:lineRule="exact"/>
              <w:ind w:left="0" w:right="0"/>
              <w:rPr>
                <w:rFonts w:hint="default" w:ascii="宋体" w:hAnsi="宋体" w:cs="Calibri"/>
                <w:color w:val="auto"/>
                <w:szCs w:val="21"/>
                <w:highlight w:val="none"/>
              </w:rPr>
            </w:pPr>
          </w:p>
        </w:tc>
      </w:tr>
      <w:tr w14:paraId="4E49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BA260DC">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8F22E62">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4FDDC104">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5BF2997D">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5F3EFE57">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74033BA7">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29D8296D">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7E767B4E">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46FE9B72">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3F4E21A5">
            <w:pPr>
              <w:keepNext w:val="0"/>
              <w:keepLines w:val="0"/>
              <w:suppressLineNumbers w:val="0"/>
              <w:spacing w:before="0" w:beforeAutospacing="0" w:after="0" w:afterAutospacing="0" w:line="300" w:lineRule="exact"/>
              <w:ind w:left="0" w:right="0"/>
              <w:rPr>
                <w:rFonts w:hint="default" w:ascii="宋体" w:hAnsi="宋体" w:cs="Calibri"/>
                <w:color w:val="auto"/>
                <w:szCs w:val="21"/>
                <w:highlight w:val="none"/>
              </w:rPr>
            </w:pPr>
          </w:p>
        </w:tc>
      </w:tr>
      <w:tr w14:paraId="410E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159A3F4">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FD8CD45">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2DD02D37">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0E0DA7CA">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68B30429">
            <w:pPr>
              <w:keepNext w:val="0"/>
              <w:keepLines w:val="0"/>
              <w:suppressLineNumbers w:val="0"/>
              <w:spacing w:before="0" w:beforeAutospacing="0" w:after="0" w:afterAutospacing="0" w:line="340" w:lineRule="exact"/>
              <w:ind w:left="0" w:right="0"/>
              <w:rPr>
                <w:rFonts w:hint="eastAsia" w:ascii="宋体" w:hAnsi="宋体" w:cs="Calibri"/>
                <w:color w:val="auto"/>
                <w:szCs w:val="21"/>
                <w:highlight w:val="none"/>
              </w:rPr>
            </w:pPr>
            <w:r>
              <w:rPr>
                <w:rFonts w:hint="eastAsia" w:ascii="宋体" w:hAnsi="宋体" w:cs="Calibri"/>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4DB3DC18">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598A23DE">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13D3DA0A">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6803B5DF">
            <w:pPr>
              <w:keepNext w:val="0"/>
              <w:keepLines w:val="0"/>
              <w:suppressLineNumbers w:val="0"/>
              <w:spacing w:before="0" w:beforeAutospacing="0" w:after="0" w:afterAutospacing="0" w:line="340" w:lineRule="exact"/>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5B56F59">
            <w:pPr>
              <w:keepNext w:val="0"/>
              <w:keepLines w:val="0"/>
              <w:suppressLineNumbers w:val="0"/>
              <w:spacing w:before="0" w:beforeAutospacing="0" w:after="0" w:afterAutospacing="0" w:line="300" w:lineRule="exact"/>
              <w:ind w:left="0" w:right="0"/>
              <w:rPr>
                <w:rFonts w:hint="default" w:ascii="宋体" w:hAnsi="宋体" w:cs="Calibri"/>
                <w:color w:val="auto"/>
                <w:szCs w:val="21"/>
                <w:highlight w:val="none"/>
              </w:rPr>
            </w:pPr>
          </w:p>
        </w:tc>
      </w:tr>
    </w:tbl>
    <w:p w14:paraId="5C6382E1">
      <w:pPr>
        <w:pStyle w:val="14"/>
        <w:spacing w:line="400" w:lineRule="exact"/>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4C545CE">
      <w:pPr>
        <w:pStyle w:val="14"/>
        <w:spacing w:line="400" w:lineRule="exact"/>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1.说明：应对照磋商文件“第</w:t>
      </w:r>
      <w:r>
        <w:rPr>
          <w:rFonts w:hint="eastAsia" w:ascii="宋体" w:hAnsi="宋体" w:eastAsia="宋体" w:cs="仿宋_GB2312"/>
          <w:color w:val="auto"/>
          <w:sz w:val="24"/>
          <w:szCs w:val="24"/>
          <w:highlight w:val="none"/>
          <w:lang w:eastAsia="zh-CN"/>
        </w:rPr>
        <w:t>二</w:t>
      </w:r>
      <w:r>
        <w:rPr>
          <w:rFonts w:hint="eastAsia" w:ascii="宋体" w:hAnsi="宋体" w:eastAsia="宋体" w:cs="仿宋_GB2312"/>
          <w:color w:val="auto"/>
          <w:sz w:val="24"/>
          <w:szCs w:val="24"/>
          <w:highlight w:val="none"/>
        </w:rPr>
        <w:t>章 采购需求”中的</w:t>
      </w:r>
      <w:r>
        <w:rPr>
          <w:rFonts w:hint="eastAsia" w:ascii="宋体" w:hAnsi="宋体" w:eastAsia="宋体" w:cs="仿宋_GB2312"/>
          <w:color w:val="auto"/>
          <w:sz w:val="24"/>
          <w:szCs w:val="24"/>
          <w:highlight w:val="none"/>
          <w:lang w:eastAsia="zh-CN"/>
        </w:rPr>
        <w:t>商务条款</w:t>
      </w:r>
      <w:r>
        <w:rPr>
          <w:rFonts w:hint="eastAsia" w:ascii="宋体" w:hAnsi="宋体" w:eastAsia="宋体" w:cs="仿宋_GB2312"/>
          <w:color w:val="auto"/>
          <w:sz w:val="24"/>
          <w:szCs w:val="24"/>
          <w:highlight w:val="none"/>
        </w:rPr>
        <w:t>逐条作出明确响应，并作出偏离说明。</w:t>
      </w:r>
    </w:p>
    <w:p w14:paraId="58A53AD3">
      <w:pPr>
        <w:pStyle w:val="14"/>
        <w:spacing w:line="400" w:lineRule="exact"/>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r>
        <w:rPr>
          <w:rFonts w:hint="eastAsia" w:ascii="宋体" w:hAnsi="宋体" w:cs="仿宋_GB2312"/>
          <w:color w:val="auto"/>
          <w:sz w:val="24"/>
          <w:szCs w:val="24"/>
          <w:highlight w:val="none"/>
        </w:rPr>
        <w:t xml:space="preserve"> 当响应文件的</w:t>
      </w:r>
      <w:r>
        <w:rPr>
          <w:rFonts w:hint="eastAsia" w:ascii="宋体" w:hAnsi="宋体" w:eastAsia="宋体" w:cs="仿宋_GB2312"/>
          <w:color w:val="auto"/>
          <w:sz w:val="24"/>
          <w:szCs w:val="24"/>
          <w:highlight w:val="none"/>
        </w:rPr>
        <w:t>商务内容低于竞争性磋商采购文件要求时，竞标人应当如实写明“负偏离”，否则视为虚假应标</w:t>
      </w:r>
    </w:p>
    <w:p w14:paraId="36A3DD6A">
      <w:pPr>
        <w:spacing w:line="400" w:lineRule="exact"/>
        <w:rPr>
          <w:rFonts w:ascii="宋体" w:hAnsi="宋体" w:cs="仿宋_GB2312"/>
          <w:color w:val="auto"/>
          <w:kern w:val="0"/>
          <w:sz w:val="24"/>
          <w:highlight w:val="none"/>
        </w:rPr>
      </w:pPr>
      <w:r>
        <w:rPr>
          <w:rFonts w:hint="eastAsia" w:ascii="宋体" w:hAnsi="宋体" w:cs="仿宋_GB2312"/>
          <w:color w:val="auto"/>
          <w:kern w:val="0"/>
          <w:sz w:val="24"/>
          <w:highlight w:val="none"/>
        </w:rPr>
        <w:t>3</w:t>
      </w:r>
      <w:r>
        <w:rPr>
          <w:rFonts w:ascii="宋体" w:hAnsi="宋体" w:cs="仿宋_GB2312"/>
          <w:color w:val="auto"/>
          <w:kern w:val="0"/>
          <w:sz w:val="24"/>
          <w:highlight w:val="none"/>
        </w:rPr>
        <w:t>.</w:t>
      </w:r>
      <w:r>
        <w:rPr>
          <w:rFonts w:hint="eastAsia" w:ascii="宋体" w:hAnsi="宋体" w:cs="仿宋_GB2312"/>
          <w:color w:val="auto"/>
          <w:kern w:val="0"/>
          <w:sz w:val="24"/>
          <w:highlight w:val="none"/>
        </w:rPr>
        <w:t>表格内容均需按要求填写，不得留空，否则按竞标无效处理。</w:t>
      </w:r>
    </w:p>
    <w:p w14:paraId="2466E26D">
      <w:pPr>
        <w:pStyle w:val="17"/>
        <w:spacing w:line="400" w:lineRule="exact"/>
        <w:contextualSpacing/>
        <w:rPr>
          <w:rFonts w:hint="eastAsia" w:hAnsi="宋体" w:cs="仿宋_GB2312"/>
          <w:color w:val="auto"/>
          <w:sz w:val="24"/>
          <w:highlight w:val="none"/>
        </w:rPr>
      </w:pPr>
      <w:r>
        <w:rPr>
          <w:rFonts w:hint="eastAsia" w:hAnsi="宋体" w:cs="仿宋_GB2312"/>
          <w:color w:val="auto"/>
          <w:sz w:val="24"/>
          <w:szCs w:val="24"/>
          <w:highlight w:val="none"/>
          <w:lang w:eastAsia="zh-CN"/>
        </w:rPr>
        <w:t>4</w:t>
      </w:r>
      <w:r>
        <w:rPr>
          <w:rFonts w:hAnsi="宋体" w:cs="仿宋_GB2312"/>
          <w:color w:val="auto"/>
          <w:sz w:val="24"/>
          <w:szCs w:val="24"/>
          <w:highlight w:val="none"/>
          <w:lang w:eastAsia="zh-CN"/>
        </w:rPr>
        <w:t>.</w:t>
      </w:r>
      <w:r>
        <w:rPr>
          <w:rFonts w:hint="eastAsia" w:hAnsi="宋体" w:cs="仿宋_GB2312"/>
          <w:color w:val="auto"/>
          <w:sz w:val="24"/>
          <w:szCs w:val="24"/>
          <w:highlight w:val="none"/>
        </w:rPr>
        <w:t>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7F2B2AFA">
      <w:pPr>
        <w:spacing w:line="360" w:lineRule="auto"/>
        <w:ind w:firstLine="3840" w:firstLineChars="1600"/>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43FFE27B">
      <w:pPr>
        <w:spacing w:line="360" w:lineRule="auto"/>
        <w:contextualSpacing/>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05AB9086">
      <w:pPr>
        <w:snapToGrid w:val="0"/>
        <w:spacing w:line="360" w:lineRule="auto"/>
        <w:ind w:firstLine="602" w:firstLineChars="200"/>
        <w:rPr>
          <w:rFonts w:hint="eastAsia" w:ascii="仿宋" w:hAnsi="仿宋" w:eastAsia="仿宋" w:cs="仿宋_GB2312"/>
          <w:b/>
          <w:color w:val="auto"/>
          <w:sz w:val="30"/>
          <w:szCs w:val="30"/>
          <w:highlight w:val="none"/>
        </w:rPr>
      </w:pPr>
    </w:p>
    <w:p w14:paraId="39DFEAFE">
      <w:pPr>
        <w:snapToGrid w:val="0"/>
        <w:spacing w:line="360" w:lineRule="auto"/>
        <w:ind w:firstLine="602" w:firstLineChars="200"/>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五、竞标人情况介绍</w:t>
      </w:r>
    </w:p>
    <w:p w14:paraId="438E4239">
      <w:pPr>
        <w:snapToGrid w:val="0"/>
        <w:spacing w:line="360" w:lineRule="auto"/>
        <w:ind w:firstLine="602" w:firstLineChars="200"/>
        <w:rPr>
          <w:rFonts w:ascii="仿宋" w:hAnsi="仿宋" w:eastAsia="仿宋" w:cs="仿宋_GB2312"/>
          <w:b/>
          <w:color w:val="auto"/>
          <w:sz w:val="30"/>
          <w:szCs w:val="30"/>
          <w:highlight w:val="none"/>
        </w:rPr>
      </w:pPr>
    </w:p>
    <w:p w14:paraId="3FF5B5C5">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524123B">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4DCC6D52">
      <w:pPr>
        <w:snapToGrid w:val="0"/>
        <w:spacing w:before="120" w:beforeLines="50" w:after="50"/>
        <w:ind w:firstLine="602" w:firstLineChars="200"/>
        <w:rPr>
          <w:rFonts w:hint="eastAsia" w:ascii="仿宋" w:hAnsi="仿宋" w:eastAsia="仿宋" w:cs="仿宋_GB2312"/>
          <w:b/>
          <w:color w:val="auto"/>
          <w:sz w:val="30"/>
          <w:szCs w:val="30"/>
          <w:highlight w:val="none"/>
        </w:rPr>
      </w:pPr>
    </w:p>
    <w:p w14:paraId="6B2B4844">
      <w:pPr>
        <w:snapToGrid w:val="0"/>
        <w:spacing w:before="120" w:beforeLines="50" w:after="50"/>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六、供应商类似的业绩证明文件</w:t>
      </w:r>
    </w:p>
    <w:p w14:paraId="5F66A64A">
      <w:pPr>
        <w:pStyle w:val="24"/>
        <w:snapToGrid w:val="0"/>
        <w:ind w:left="480" w:hanging="480"/>
        <w:rPr>
          <w:rFonts w:hint="eastAsia" w:ascii="宋体" w:hAnsi="宋体"/>
          <w:color w:val="auto"/>
          <w:sz w:val="24"/>
          <w:highlight w:val="none"/>
        </w:rPr>
      </w:pPr>
    </w:p>
    <w:tbl>
      <w:tblPr>
        <w:tblStyle w:val="30"/>
        <w:tblpPr w:leftFromText="180" w:rightFromText="180" w:vertAnchor="page" w:horzAnchor="margin" w:tblpXSpec="center" w:tblpY="4783"/>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420"/>
        <w:gridCol w:w="2376"/>
        <w:gridCol w:w="2157"/>
      </w:tblGrid>
      <w:tr w14:paraId="7955A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5C315CE7">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4333E9EC">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58689E39">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合同</w:t>
            </w:r>
          </w:p>
          <w:p w14:paraId="7A230529">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金额</w:t>
            </w:r>
          </w:p>
          <w:p w14:paraId="2B13C5B9">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（万元）</w:t>
            </w:r>
          </w:p>
        </w:tc>
        <w:tc>
          <w:tcPr>
            <w:tcW w:w="3796" w:type="dxa"/>
            <w:gridSpan w:val="2"/>
            <w:tcBorders>
              <w:top w:val="single" w:color="auto" w:sz="4" w:space="0"/>
              <w:left w:val="single" w:color="auto" w:sz="4" w:space="0"/>
              <w:bottom w:val="single" w:color="auto" w:sz="4" w:space="0"/>
              <w:right w:val="single" w:color="auto" w:sz="4" w:space="0"/>
            </w:tcBorders>
            <w:noWrap w:val="0"/>
            <w:vAlign w:val="center"/>
          </w:tcPr>
          <w:p w14:paraId="6471C75E">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附件在响应文件中页码</w:t>
            </w:r>
          </w:p>
        </w:tc>
        <w:tc>
          <w:tcPr>
            <w:tcW w:w="2157" w:type="dxa"/>
            <w:vMerge w:val="restart"/>
            <w:tcBorders>
              <w:top w:val="single" w:color="auto" w:sz="4" w:space="0"/>
              <w:left w:val="single" w:color="auto" w:sz="4" w:space="0"/>
              <w:bottom w:val="single" w:color="auto" w:sz="4" w:space="0"/>
              <w:right w:val="single" w:color="auto" w:sz="4" w:space="0"/>
            </w:tcBorders>
            <w:noWrap w:val="0"/>
            <w:vAlign w:val="center"/>
          </w:tcPr>
          <w:p w14:paraId="2C9C8F83">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采购人联系人及联系电话</w:t>
            </w:r>
          </w:p>
        </w:tc>
      </w:tr>
      <w:tr w14:paraId="7DC53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201F4FC6">
            <w:pPr>
              <w:keepNext w:val="0"/>
              <w:keepLines w:val="0"/>
              <w:suppressLineNumbers w:val="0"/>
              <w:spacing w:before="0" w:beforeAutospacing="0" w:after="0" w:afterAutospacing="0"/>
              <w:ind w:left="0" w:right="0"/>
              <w:jc w:val="left"/>
              <w:rPr>
                <w:rFonts w:hint="eastAsia" w:ascii="宋体" w:hAnsi="宋体" w:cs="Calibri"/>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5D264DBA">
            <w:pPr>
              <w:keepNext w:val="0"/>
              <w:keepLines w:val="0"/>
              <w:suppressLineNumbers w:val="0"/>
              <w:spacing w:before="0" w:beforeAutospacing="0" w:after="0" w:afterAutospacing="0"/>
              <w:ind w:left="0" w:right="0"/>
              <w:jc w:val="left"/>
              <w:rPr>
                <w:rFonts w:hint="eastAsia" w:ascii="宋体" w:hAnsi="宋体" w:cs="Calibri"/>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07939E65">
            <w:pPr>
              <w:keepNext w:val="0"/>
              <w:keepLines w:val="0"/>
              <w:suppressLineNumbers w:val="0"/>
              <w:spacing w:before="0" w:beforeAutospacing="0" w:after="0" w:afterAutospacing="0"/>
              <w:ind w:left="0" w:right="0"/>
              <w:jc w:val="left"/>
              <w:rPr>
                <w:rFonts w:hint="eastAsia" w:ascii="宋体" w:hAnsi="宋体" w:cs="Calibri"/>
                <w:color w:val="auto"/>
                <w:sz w:val="24"/>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7593AF1D">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rPr>
              <w:t>合同</w:t>
            </w:r>
          </w:p>
        </w:tc>
        <w:tc>
          <w:tcPr>
            <w:tcW w:w="2376" w:type="dxa"/>
            <w:tcBorders>
              <w:top w:val="single" w:color="auto" w:sz="4" w:space="0"/>
              <w:left w:val="single" w:color="auto" w:sz="4" w:space="0"/>
              <w:bottom w:val="single" w:color="auto" w:sz="4" w:space="0"/>
              <w:right w:val="single" w:color="auto" w:sz="4" w:space="0"/>
            </w:tcBorders>
            <w:noWrap w:val="0"/>
            <w:vAlign w:val="center"/>
          </w:tcPr>
          <w:p w14:paraId="4F7AA98B">
            <w:pPr>
              <w:keepNext w:val="0"/>
              <w:keepLines w:val="0"/>
              <w:suppressLineNumbers w:val="0"/>
              <w:snapToGrid w:val="0"/>
              <w:spacing w:before="0" w:beforeAutospacing="0" w:after="0" w:afterAutospacing="0" w:line="360" w:lineRule="auto"/>
              <w:ind w:left="0" w:right="0"/>
              <w:jc w:val="center"/>
              <w:rPr>
                <w:rFonts w:hint="eastAsia" w:ascii="宋体" w:hAnsi="宋体" w:cs="Calibri"/>
                <w:color w:val="auto"/>
                <w:sz w:val="24"/>
                <w:highlight w:val="none"/>
              </w:rPr>
            </w:pPr>
            <w:r>
              <w:rPr>
                <w:rFonts w:hint="eastAsia" w:ascii="宋体" w:hAnsi="宋体" w:cs="Calibri"/>
                <w:color w:val="auto"/>
                <w:sz w:val="24"/>
                <w:highlight w:val="none"/>
                <w:lang w:eastAsia="zh-CN"/>
              </w:rPr>
              <w:t>中标通知书（如有）</w:t>
            </w:r>
          </w:p>
        </w:tc>
        <w:tc>
          <w:tcPr>
            <w:tcW w:w="2157" w:type="dxa"/>
            <w:vMerge w:val="continue"/>
            <w:tcBorders>
              <w:top w:val="single" w:color="auto" w:sz="4" w:space="0"/>
              <w:left w:val="single" w:color="auto" w:sz="4" w:space="0"/>
              <w:bottom w:val="single" w:color="auto" w:sz="4" w:space="0"/>
              <w:right w:val="single" w:color="auto" w:sz="4" w:space="0"/>
            </w:tcBorders>
            <w:noWrap w:val="0"/>
            <w:vAlign w:val="center"/>
          </w:tcPr>
          <w:p w14:paraId="689B6D92">
            <w:pPr>
              <w:keepNext w:val="0"/>
              <w:keepLines w:val="0"/>
              <w:suppressLineNumbers w:val="0"/>
              <w:spacing w:before="0" w:beforeAutospacing="0" w:after="0" w:afterAutospacing="0"/>
              <w:ind w:left="0" w:right="0"/>
              <w:jc w:val="left"/>
              <w:rPr>
                <w:rFonts w:hint="eastAsia" w:ascii="宋体" w:hAnsi="宋体" w:cs="Calibri"/>
                <w:color w:val="auto"/>
                <w:sz w:val="24"/>
                <w:highlight w:val="none"/>
              </w:rPr>
            </w:pPr>
          </w:p>
        </w:tc>
      </w:tr>
      <w:tr w14:paraId="6B73FD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0DCD7280">
            <w:pPr>
              <w:keepNext w:val="0"/>
              <w:keepLines w:val="0"/>
              <w:suppressLineNumbers w:val="0"/>
              <w:snapToGrid w:val="0"/>
              <w:spacing w:before="0" w:beforeAutospacing="0" w:after="0" w:afterAutospacing="0" w:line="240" w:lineRule="exact"/>
              <w:ind w:left="0" w:right="0"/>
              <w:jc w:val="left"/>
              <w:rPr>
                <w:rFonts w:hint="eastAsia" w:ascii="宋体" w:hAnsi="宋体" w:cs="Calibri"/>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34B09FC">
            <w:pPr>
              <w:keepNext w:val="0"/>
              <w:keepLines w:val="0"/>
              <w:suppressLineNumbers w:val="0"/>
              <w:snapToGrid w:val="0"/>
              <w:spacing w:before="0" w:beforeAutospacing="0" w:after="0" w:afterAutospacing="0" w:line="240" w:lineRule="exact"/>
              <w:ind w:left="0" w:right="0"/>
              <w:jc w:val="left"/>
              <w:rPr>
                <w:rFonts w:hint="eastAsia" w:ascii="宋体" w:hAnsi="宋体" w:cs="Calibri"/>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DFE41FB">
            <w:pPr>
              <w:keepNext w:val="0"/>
              <w:keepLines w:val="0"/>
              <w:suppressLineNumbers w:val="0"/>
              <w:snapToGrid w:val="0"/>
              <w:spacing w:before="0" w:beforeAutospacing="0" w:after="0" w:afterAutospacing="0" w:line="240" w:lineRule="exact"/>
              <w:ind w:left="0" w:right="0"/>
              <w:jc w:val="left"/>
              <w:rPr>
                <w:rFonts w:hint="eastAsia" w:ascii="宋体" w:hAnsi="宋体" w:cs="Calibri"/>
                <w:color w:val="auto"/>
                <w:sz w:val="24"/>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7D86C952">
            <w:pPr>
              <w:keepNext w:val="0"/>
              <w:keepLines w:val="0"/>
              <w:suppressLineNumbers w:val="0"/>
              <w:snapToGrid w:val="0"/>
              <w:spacing w:before="0" w:beforeAutospacing="0" w:after="0" w:afterAutospacing="0" w:line="360" w:lineRule="auto"/>
              <w:ind w:left="0" w:right="0"/>
              <w:jc w:val="left"/>
              <w:rPr>
                <w:rFonts w:hint="eastAsia" w:ascii="宋体" w:hAnsi="宋体" w:cs="Calibri"/>
                <w:color w:val="auto"/>
                <w:sz w:val="24"/>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top"/>
          </w:tcPr>
          <w:p w14:paraId="3AED0D8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Times New Roman"/>
                <w:color w:val="auto"/>
                <w:sz w:val="24"/>
                <w:highlight w:val="none"/>
                <w:lang w:eastAsia="zh-CN"/>
              </w:rPr>
            </w:pPr>
          </w:p>
        </w:tc>
        <w:tc>
          <w:tcPr>
            <w:tcW w:w="2157" w:type="dxa"/>
            <w:tcBorders>
              <w:top w:val="single" w:color="auto" w:sz="4" w:space="0"/>
              <w:left w:val="single" w:color="auto" w:sz="4" w:space="0"/>
              <w:bottom w:val="single" w:color="auto" w:sz="4" w:space="0"/>
              <w:right w:val="single" w:color="auto" w:sz="4" w:space="0"/>
            </w:tcBorders>
            <w:noWrap w:val="0"/>
            <w:vAlign w:val="top"/>
          </w:tcPr>
          <w:p w14:paraId="0FCFBB4A">
            <w:pPr>
              <w:keepNext w:val="0"/>
              <w:keepLines w:val="0"/>
              <w:suppressLineNumbers w:val="0"/>
              <w:snapToGrid w:val="0"/>
              <w:spacing w:before="0" w:beforeAutospacing="0" w:after="0" w:afterAutospacing="0" w:line="240" w:lineRule="exact"/>
              <w:ind w:left="0" w:right="0"/>
              <w:jc w:val="left"/>
              <w:rPr>
                <w:rFonts w:hint="eastAsia" w:ascii="宋体" w:hAnsi="宋体" w:cs="Calibri"/>
                <w:color w:val="auto"/>
                <w:sz w:val="24"/>
                <w:highlight w:val="none"/>
              </w:rPr>
            </w:pPr>
          </w:p>
        </w:tc>
      </w:tr>
      <w:tr w14:paraId="133502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20EBFEDA">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D2B9929">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00D907E">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67A85DAA">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top"/>
          </w:tcPr>
          <w:p w14:paraId="51CBEE72">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157" w:type="dxa"/>
            <w:tcBorders>
              <w:top w:val="single" w:color="auto" w:sz="4" w:space="0"/>
              <w:left w:val="single" w:color="auto" w:sz="4" w:space="0"/>
              <w:bottom w:val="single" w:color="auto" w:sz="4" w:space="0"/>
              <w:right w:val="single" w:color="auto" w:sz="4" w:space="0"/>
            </w:tcBorders>
            <w:noWrap w:val="0"/>
            <w:vAlign w:val="top"/>
          </w:tcPr>
          <w:p w14:paraId="23D81229">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r>
      <w:tr w14:paraId="688C54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5566868C">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BCF4222">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F00118F">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3B0C4603">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top"/>
          </w:tcPr>
          <w:p w14:paraId="4C50B234">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157" w:type="dxa"/>
            <w:tcBorders>
              <w:top w:val="single" w:color="auto" w:sz="4" w:space="0"/>
              <w:left w:val="single" w:color="auto" w:sz="4" w:space="0"/>
              <w:bottom w:val="single" w:color="auto" w:sz="4" w:space="0"/>
              <w:right w:val="single" w:color="auto" w:sz="4" w:space="0"/>
            </w:tcBorders>
            <w:noWrap w:val="0"/>
            <w:vAlign w:val="top"/>
          </w:tcPr>
          <w:p w14:paraId="7509CE84">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r>
      <w:tr w14:paraId="55D98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2CFC513A">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37C90BC">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719DCFE">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2147689F">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top"/>
          </w:tcPr>
          <w:p w14:paraId="5CD63B15">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157" w:type="dxa"/>
            <w:tcBorders>
              <w:top w:val="single" w:color="auto" w:sz="4" w:space="0"/>
              <w:left w:val="single" w:color="auto" w:sz="4" w:space="0"/>
              <w:bottom w:val="single" w:color="auto" w:sz="4" w:space="0"/>
              <w:right w:val="single" w:color="auto" w:sz="4" w:space="0"/>
            </w:tcBorders>
            <w:noWrap w:val="0"/>
            <w:vAlign w:val="top"/>
          </w:tcPr>
          <w:p w14:paraId="6BC19F43">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r>
      <w:tr w14:paraId="2937E1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4065A5C3">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B32B4D2">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EF4CFF1">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70B49773">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top"/>
          </w:tcPr>
          <w:p w14:paraId="1875C504">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c>
          <w:tcPr>
            <w:tcW w:w="2157" w:type="dxa"/>
            <w:tcBorders>
              <w:top w:val="single" w:color="auto" w:sz="4" w:space="0"/>
              <w:left w:val="single" w:color="auto" w:sz="4" w:space="0"/>
              <w:bottom w:val="single" w:color="auto" w:sz="4" w:space="0"/>
              <w:right w:val="single" w:color="auto" w:sz="4" w:space="0"/>
            </w:tcBorders>
            <w:noWrap w:val="0"/>
            <w:vAlign w:val="top"/>
          </w:tcPr>
          <w:p w14:paraId="2A61BEB9">
            <w:pPr>
              <w:keepNext w:val="0"/>
              <w:keepLines w:val="0"/>
              <w:suppressLineNumbers w:val="0"/>
              <w:snapToGrid w:val="0"/>
              <w:spacing w:before="50" w:beforeAutospacing="0" w:after="120" w:afterLines="50" w:afterAutospacing="0" w:line="400" w:lineRule="exact"/>
              <w:ind w:left="0" w:right="0"/>
              <w:jc w:val="left"/>
              <w:rPr>
                <w:rFonts w:hint="eastAsia" w:ascii="宋体" w:hAnsi="宋体" w:cs="Calibri"/>
                <w:color w:val="auto"/>
                <w:sz w:val="24"/>
                <w:highlight w:val="none"/>
              </w:rPr>
            </w:pPr>
          </w:p>
        </w:tc>
      </w:tr>
    </w:tbl>
    <w:p w14:paraId="3CFFA273">
      <w:pPr>
        <w:pStyle w:val="24"/>
        <w:snapToGrid w:val="0"/>
        <w:ind w:left="480" w:hanging="480"/>
        <w:rPr>
          <w:rFonts w:hint="eastAsia" w:ascii="宋体" w:hAnsi="宋体"/>
          <w:color w:val="auto"/>
          <w:sz w:val="24"/>
          <w:highlight w:val="none"/>
        </w:rPr>
      </w:pPr>
    </w:p>
    <w:p w14:paraId="26C380F1">
      <w:pPr>
        <w:pStyle w:val="24"/>
        <w:snapToGrid w:val="0"/>
        <w:ind w:left="480" w:hanging="480"/>
        <w:rPr>
          <w:rFonts w:hint="eastAsia" w:ascii="宋体" w:hAnsi="宋体"/>
          <w:color w:val="auto"/>
          <w:sz w:val="24"/>
          <w:highlight w:val="none"/>
        </w:rPr>
      </w:pPr>
    </w:p>
    <w:p w14:paraId="2EE0893F">
      <w:pPr>
        <w:autoSpaceDE w:val="0"/>
        <w:autoSpaceDN w:val="0"/>
        <w:spacing w:line="360" w:lineRule="auto"/>
        <w:ind w:firstLine="120"/>
        <w:rPr>
          <w:rFonts w:hint="eastAsia" w:ascii="宋体" w:hAnsi="宋体"/>
          <w:color w:val="auto"/>
          <w:sz w:val="24"/>
          <w:highlight w:val="none"/>
        </w:rPr>
      </w:pPr>
      <w:r>
        <w:rPr>
          <w:rFonts w:hint="eastAsia" w:ascii="仿宋_GB2312" w:hAnsi="仿宋" w:eastAsia="仿宋_GB2312" w:cs="仿宋_GB2312"/>
          <w:b/>
          <w:color w:val="auto"/>
          <w:sz w:val="24"/>
          <w:highlight w:val="none"/>
        </w:rPr>
        <w:t>附表 :相关项目业绩一览表（供应商同类项目合同复印件）</w:t>
      </w:r>
    </w:p>
    <w:p w14:paraId="2EC026F2">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w:t>
      </w:r>
      <w:r>
        <w:rPr>
          <w:rFonts w:hint="eastAsia" w:ascii="Times New Roman" w:hAnsi="Times New Roman"/>
          <w:color w:val="auto"/>
          <w:highlight w:val="none"/>
          <w:lang w:eastAsia="zh-CN"/>
        </w:rPr>
        <w:t>供应商</w:t>
      </w:r>
      <w:r>
        <w:rPr>
          <w:rFonts w:hint="eastAsia" w:ascii="Times New Roman" w:hAnsi="Times New Roman"/>
          <w:color w:val="auto"/>
          <w:highlight w:val="none"/>
        </w:rPr>
        <w:t>可按上述的格式自行编制，须随表提交相应的合同复印件并注明所在供应商商务技术文件页码。</w:t>
      </w:r>
    </w:p>
    <w:p w14:paraId="7CDBFE68">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262D6D1B">
      <w:pPr>
        <w:snapToGrid w:val="0"/>
        <w:spacing w:line="360" w:lineRule="auto"/>
        <w:ind w:firstLine="4935" w:firstLineChars="2350"/>
        <w:rPr>
          <w:rFonts w:hint="eastAsia" w:hAnsi="宋体"/>
          <w:color w:val="auto"/>
          <w:szCs w:val="21"/>
          <w:highlight w:val="none"/>
        </w:rPr>
      </w:pPr>
    </w:p>
    <w:p w14:paraId="69911CC9">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供应商名称(电子签章)：</w:t>
      </w:r>
    </w:p>
    <w:p w14:paraId="3741C20B">
      <w:pPr>
        <w:spacing w:line="500" w:lineRule="exact"/>
        <w:jc w:val="center"/>
        <w:rPr>
          <w:rFonts w:ascii="仿宋_GB2312" w:hAnsi="仿宋_GB2312" w:eastAsia="仿宋_GB2312" w:cs="仿宋_GB2312"/>
          <w:color w:val="auto"/>
          <w:sz w:val="32"/>
          <w:szCs w:val="32"/>
          <w:highlight w:val="none"/>
        </w:rPr>
        <w:sectPr>
          <w:pgSz w:w="11910" w:h="16840"/>
          <w:pgMar w:top="1340" w:right="1474" w:bottom="1134" w:left="1587" w:header="720" w:footer="720" w:gutter="0"/>
          <w:pgNumType w:fmt="decimal"/>
          <w:cols w:space="720" w:num="1"/>
        </w:sect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04D020BE">
      <w:pPr>
        <w:snapToGrid w:val="0"/>
        <w:spacing w:line="360" w:lineRule="auto"/>
        <w:ind w:firstLine="602" w:firstLineChars="200"/>
        <w:rPr>
          <w:rFonts w:ascii="仿宋_GB2312" w:hAnsi="仿宋_GB2312" w:eastAsia="仿宋_GB2312" w:cs="仿宋_GB2312"/>
          <w:color w:val="auto"/>
          <w:sz w:val="32"/>
          <w:szCs w:val="32"/>
          <w:highlight w:val="none"/>
        </w:rPr>
      </w:pPr>
      <w:r>
        <w:rPr>
          <w:rFonts w:hint="eastAsia" w:ascii="仿宋" w:hAnsi="仿宋" w:eastAsia="仿宋" w:cs="仿宋_GB2312"/>
          <w:b/>
          <w:color w:val="auto"/>
          <w:sz w:val="30"/>
          <w:szCs w:val="30"/>
          <w:highlight w:val="none"/>
        </w:rPr>
        <w:t>七、服务需求偏离表</w:t>
      </w:r>
    </w:p>
    <w:p w14:paraId="772199FB">
      <w:pPr>
        <w:spacing w:line="500" w:lineRule="exact"/>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竞标服务需求偏离表</w:t>
      </w:r>
    </w:p>
    <w:p w14:paraId="74644FB8">
      <w:pPr>
        <w:spacing w:line="500" w:lineRule="exact"/>
        <w:jc w:val="center"/>
        <w:rPr>
          <w:rFonts w:hint="eastAsia" w:ascii="宋体" w:hAnsi="宋体"/>
          <w:b/>
          <w:color w:val="auto"/>
          <w:sz w:val="32"/>
          <w:szCs w:val="32"/>
          <w:highlight w:val="none"/>
        </w:rPr>
      </w:pPr>
      <w:r>
        <w:rPr>
          <w:rFonts w:hint="eastAsia" w:ascii="微软雅黑" w:hAnsi="微软雅黑" w:eastAsia="微软雅黑" w:cs="微软雅黑"/>
          <w:bCs/>
          <w:color w:val="auto"/>
          <w:sz w:val="44"/>
          <w:szCs w:val="44"/>
          <w:highlight w:val="none"/>
        </w:rPr>
        <w:t>(注：按采购需求具体条款修改)</w:t>
      </w:r>
    </w:p>
    <w:p w14:paraId="58BD1895">
      <w:pPr>
        <w:spacing w:line="360" w:lineRule="auto"/>
        <w:contextualSpacing/>
        <w:jc w:val="left"/>
        <w:rPr>
          <w:rFonts w:hint="eastAsia" w:ascii="宋体" w:hAnsi="宋体"/>
          <w:color w:val="auto"/>
          <w:sz w:val="24"/>
          <w:highlight w:val="none"/>
        </w:rPr>
      </w:pPr>
    </w:p>
    <w:p w14:paraId="3F670433">
      <w:pPr>
        <w:pStyle w:val="17"/>
        <w:spacing w:line="360" w:lineRule="auto"/>
        <w:contextualSpacing/>
        <w:rPr>
          <w:rFonts w:hint="eastAsia"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tbl>
      <w:tblPr>
        <w:tblStyle w:val="30"/>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208"/>
        <w:gridCol w:w="779"/>
        <w:gridCol w:w="1669"/>
        <w:gridCol w:w="1206"/>
        <w:gridCol w:w="696"/>
        <w:gridCol w:w="1214"/>
        <w:gridCol w:w="1159"/>
      </w:tblGrid>
      <w:tr w14:paraId="439B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627" w:type="dxa"/>
            <w:vMerge w:val="restart"/>
            <w:tcBorders>
              <w:top w:val="single" w:color="auto" w:sz="4" w:space="0"/>
              <w:left w:val="single" w:color="auto" w:sz="4" w:space="0"/>
              <w:bottom w:val="single" w:color="auto" w:sz="4" w:space="0"/>
              <w:right w:val="single" w:color="auto" w:sz="4" w:space="0"/>
            </w:tcBorders>
            <w:noWrap w:val="0"/>
            <w:vAlign w:val="center"/>
          </w:tcPr>
          <w:p w14:paraId="00244AB7">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项号</w:t>
            </w:r>
          </w:p>
        </w:tc>
        <w:tc>
          <w:tcPr>
            <w:tcW w:w="3656" w:type="dxa"/>
            <w:gridSpan w:val="3"/>
            <w:tcBorders>
              <w:top w:val="single" w:color="auto" w:sz="4" w:space="0"/>
              <w:left w:val="single" w:color="auto" w:sz="4" w:space="0"/>
              <w:bottom w:val="single" w:color="auto" w:sz="4" w:space="0"/>
              <w:right w:val="single" w:color="auto" w:sz="4" w:space="0"/>
            </w:tcBorders>
            <w:noWrap w:val="0"/>
            <w:vAlign w:val="center"/>
          </w:tcPr>
          <w:p w14:paraId="2C1D4A66">
            <w:pPr>
              <w:keepNext w:val="0"/>
              <w:keepLines w:val="0"/>
              <w:suppressLineNumbers w:val="0"/>
              <w:spacing w:before="0" w:beforeAutospacing="0" w:after="0" w:afterAutospacing="0"/>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竞争性磋商采购文件需求</w:t>
            </w:r>
          </w:p>
        </w:tc>
        <w:tc>
          <w:tcPr>
            <w:tcW w:w="3116" w:type="dxa"/>
            <w:gridSpan w:val="3"/>
            <w:tcBorders>
              <w:top w:val="single" w:color="auto" w:sz="4" w:space="0"/>
              <w:left w:val="single" w:color="auto" w:sz="4" w:space="0"/>
              <w:bottom w:val="single" w:color="auto" w:sz="4" w:space="0"/>
              <w:right w:val="single" w:color="auto" w:sz="4" w:space="0"/>
            </w:tcBorders>
            <w:noWrap w:val="0"/>
            <w:vAlign w:val="center"/>
          </w:tcPr>
          <w:p w14:paraId="7CCC81FC">
            <w:pPr>
              <w:keepNext w:val="0"/>
              <w:keepLines w:val="0"/>
              <w:suppressLineNumbers w:val="0"/>
              <w:spacing w:before="0" w:beforeAutospacing="0" w:after="0" w:afterAutospacing="0"/>
              <w:ind w:left="0" w:right="0"/>
              <w:jc w:val="center"/>
              <w:rPr>
                <w:rFonts w:hint="default" w:ascii="宋体" w:hAnsi="宋体" w:cs="Calibri"/>
                <w:color w:val="auto"/>
                <w:szCs w:val="21"/>
                <w:highlight w:val="none"/>
              </w:rPr>
            </w:pPr>
            <w:r>
              <w:rPr>
                <w:rFonts w:hint="eastAsia" w:ascii="宋体" w:hAnsi="宋体" w:cs="Calibri"/>
                <w:color w:val="auto"/>
                <w:szCs w:val="21"/>
                <w:highlight w:val="none"/>
              </w:rPr>
              <w:t>响应文件承诺</w:t>
            </w:r>
          </w:p>
        </w:tc>
        <w:tc>
          <w:tcPr>
            <w:tcW w:w="1159" w:type="dxa"/>
            <w:vMerge w:val="restart"/>
            <w:tcBorders>
              <w:top w:val="single" w:color="auto" w:sz="4" w:space="0"/>
              <w:left w:val="single" w:color="auto" w:sz="4" w:space="0"/>
              <w:bottom w:val="single" w:color="auto" w:sz="4" w:space="0"/>
              <w:right w:val="single" w:color="auto" w:sz="4" w:space="0"/>
            </w:tcBorders>
            <w:noWrap w:val="0"/>
            <w:vAlign w:val="center"/>
          </w:tcPr>
          <w:p w14:paraId="5E196DDE">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偏离说明</w:t>
            </w:r>
          </w:p>
        </w:tc>
      </w:tr>
      <w:tr w14:paraId="14D0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1D3478DC">
            <w:pPr>
              <w:keepNext w:val="0"/>
              <w:keepLines w:val="0"/>
              <w:widowControl/>
              <w:suppressLineNumbers w:val="0"/>
              <w:spacing w:before="0" w:beforeAutospacing="0" w:after="0" w:afterAutospacing="0"/>
              <w:ind w:left="0" w:right="0"/>
              <w:jc w:val="left"/>
              <w:rPr>
                <w:rFonts w:hint="default" w:ascii="宋体" w:hAnsi="宋体" w:cs="Calibri"/>
                <w:color w:val="auto"/>
                <w:szCs w:val="21"/>
                <w:highlight w:val="none"/>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2BAA88B6">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服务名称</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79377003">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数量</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FC1F25A">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服务参数要求</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48DDB737">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服务名称</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7790D700">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数量</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58085A08">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服务参数</w:t>
            </w:r>
          </w:p>
        </w:tc>
        <w:tc>
          <w:tcPr>
            <w:tcW w:w="1159" w:type="dxa"/>
            <w:vMerge w:val="continue"/>
            <w:tcBorders>
              <w:top w:val="single" w:color="auto" w:sz="4" w:space="0"/>
              <w:left w:val="single" w:color="auto" w:sz="4" w:space="0"/>
              <w:bottom w:val="single" w:color="auto" w:sz="4" w:space="0"/>
              <w:right w:val="single" w:color="auto" w:sz="4" w:space="0"/>
            </w:tcBorders>
            <w:noWrap w:val="0"/>
            <w:vAlign w:val="center"/>
          </w:tcPr>
          <w:p w14:paraId="2DCE6914">
            <w:pPr>
              <w:keepNext w:val="0"/>
              <w:keepLines w:val="0"/>
              <w:widowControl/>
              <w:suppressLineNumbers w:val="0"/>
              <w:spacing w:before="0" w:beforeAutospacing="0" w:after="0" w:afterAutospacing="0"/>
              <w:ind w:left="0" w:right="0"/>
              <w:jc w:val="left"/>
              <w:rPr>
                <w:rFonts w:hint="default" w:ascii="宋体" w:hAnsi="宋体" w:cs="Calibri"/>
                <w:color w:val="auto"/>
                <w:szCs w:val="21"/>
                <w:highlight w:val="none"/>
              </w:rPr>
            </w:pPr>
          </w:p>
        </w:tc>
      </w:tr>
      <w:tr w14:paraId="11F3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627" w:type="dxa"/>
            <w:tcBorders>
              <w:top w:val="single" w:color="auto" w:sz="4" w:space="0"/>
              <w:left w:val="single" w:color="auto" w:sz="4" w:space="0"/>
              <w:bottom w:val="single" w:color="auto" w:sz="4" w:space="0"/>
              <w:right w:val="single" w:color="auto" w:sz="4" w:space="0"/>
            </w:tcBorders>
            <w:noWrap w:val="0"/>
            <w:vAlign w:val="center"/>
          </w:tcPr>
          <w:p w14:paraId="3E519D4B">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1</w:t>
            </w:r>
          </w:p>
        </w:tc>
        <w:tc>
          <w:tcPr>
            <w:tcW w:w="1208" w:type="dxa"/>
            <w:tcBorders>
              <w:top w:val="single" w:color="auto" w:sz="4" w:space="0"/>
              <w:left w:val="single" w:color="auto" w:sz="4" w:space="0"/>
              <w:bottom w:val="single" w:color="auto" w:sz="4" w:space="0"/>
              <w:right w:val="single" w:color="auto" w:sz="4" w:space="0"/>
            </w:tcBorders>
            <w:noWrap w:val="0"/>
            <w:vAlign w:val="center"/>
          </w:tcPr>
          <w:p w14:paraId="749F1FF8">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0F5C9B34">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110519B5">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5418D92F">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1ADBBACD">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677296F8">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43416353">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662C97E6">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A7317AE">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55D3DAD6">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6132B5DF">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7455E90A">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2B88D8D3">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r>
      <w:tr w14:paraId="4F59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627" w:type="dxa"/>
            <w:tcBorders>
              <w:top w:val="single" w:color="auto" w:sz="4" w:space="0"/>
              <w:left w:val="single" w:color="auto" w:sz="4" w:space="0"/>
              <w:bottom w:val="single" w:color="auto" w:sz="4" w:space="0"/>
              <w:right w:val="single" w:color="auto" w:sz="4" w:space="0"/>
            </w:tcBorders>
            <w:noWrap w:val="0"/>
            <w:vAlign w:val="center"/>
          </w:tcPr>
          <w:p w14:paraId="23151AE0">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2</w:t>
            </w:r>
          </w:p>
        </w:tc>
        <w:tc>
          <w:tcPr>
            <w:tcW w:w="1208" w:type="dxa"/>
            <w:tcBorders>
              <w:top w:val="single" w:color="auto" w:sz="4" w:space="0"/>
              <w:left w:val="single" w:color="auto" w:sz="4" w:space="0"/>
              <w:bottom w:val="single" w:color="auto" w:sz="4" w:space="0"/>
              <w:right w:val="single" w:color="auto" w:sz="4" w:space="0"/>
            </w:tcBorders>
            <w:noWrap w:val="0"/>
            <w:vAlign w:val="center"/>
          </w:tcPr>
          <w:p w14:paraId="17F6556F">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03233ADA">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5FDEE1AA">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05488B3C">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7A8F984F">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69151D86">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54CB1E98">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7CD2A024">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189955F3">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1  ……</w:t>
            </w:r>
          </w:p>
          <w:p w14:paraId="3ED4FF57">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2  ……</w:t>
            </w:r>
          </w:p>
          <w:p w14:paraId="419073A7">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3  ……</w:t>
            </w:r>
          </w:p>
          <w:p w14:paraId="5F8AB835">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216C9871">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r>
      <w:tr w14:paraId="6B4D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27" w:type="dxa"/>
            <w:tcBorders>
              <w:top w:val="single" w:color="auto" w:sz="4" w:space="0"/>
              <w:left w:val="single" w:color="auto" w:sz="4" w:space="0"/>
              <w:bottom w:val="single" w:color="auto" w:sz="4" w:space="0"/>
              <w:right w:val="single" w:color="auto" w:sz="4" w:space="0"/>
            </w:tcBorders>
            <w:noWrap w:val="0"/>
            <w:vAlign w:val="center"/>
          </w:tcPr>
          <w:p w14:paraId="3FE34D62">
            <w:pPr>
              <w:keepNext w:val="0"/>
              <w:keepLines w:val="0"/>
              <w:suppressLineNumbers w:val="0"/>
              <w:spacing w:before="0" w:beforeAutospacing="0" w:after="0" w:afterAutospacing="0"/>
              <w:ind w:left="0" w:right="0"/>
              <w:rPr>
                <w:rFonts w:hint="default" w:ascii="宋体" w:hAnsi="宋体" w:cs="Calibri"/>
                <w:color w:val="auto"/>
                <w:szCs w:val="21"/>
                <w:highlight w:val="none"/>
              </w:rPr>
            </w:pPr>
            <w:r>
              <w:rPr>
                <w:rFonts w:hint="eastAsia" w:ascii="宋体" w:hAnsi="宋体" w:cs="Calibri"/>
                <w:color w:val="auto"/>
                <w:szCs w:val="21"/>
                <w:highlight w:val="none"/>
              </w:rPr>
              <w:t>...</w:t>
            </w:r>
          </w:p>
        </w:tc>
        <w:tc>
          <w:tcPr>
            <w:tcW w:w="1208" w:type="dxa"/>
            <w:tcBorders>
              <w:top w:val="single" w:color="auto" w:sz="4" w:space="0"/>
              <w:left w:val="single" w:color="auto" w:sz="4" w:space="0"/>
              <w:bottom w:val="single" w:color="auto" w:sz="4" w:space="0"/>
              <w:right w:val="single" w:color="auto" w:sz="4" w:space="0"/>
            </w:tcBorders>
            <w:noWrap w:val="0"/>
            <w:vAlign w:val="center"/>
          </w:tcPr>
          <w:p w14:paraId="1B9F45D6">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c>
          <w:tcPr>
            <w:tcW w:w="779" w:type="dxa"/>
            <w:tcBorders>
              <w:top w:val="single" w:color="auto" w:sz="4" w:space="0"/>
              <w:left w:val="single" w:color="auto" w:sz="4" w:space="0"/>
              <w:bottom w:val="single" w:color="auto" w:sz="4" w:space="0"/>
              <w:right w:val="single" w:color="auto" w:sz="4" w:space="0"/>
            </w:tcBorders>
            <w:noWrap w:val="0"/>
            <w:vAlign w:val="center"/>
          </w:tcPr>
          <w:p w14:paraId="2FF81D8D">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c>
          <w:tcPr>
            <w:tcW w:w="1669" w:type="dxa"/>
            <w:tcBorders>
              <w:top w:val="single" w:color="auto" w:sz="4" w:space="0"/>
              <w:left w:val="single" w:color="auto" w:sz="4" w:space="0"/>
              <w:bottom w:val="single" w:color="auto" w:sz="4" w:space="0"/>
              <w:right w:val="single" w:color="auto" w:sz="4" w:space="0"/>
            </w:tcBorders>
            <w:noWrap w:val="0"/>
            <w:vAlign w:val="center"/>
          </w:tcPr>
          <w:p w14:paraId="37CB0CCB">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c>
          <w:tcPr>
            <w:tcW w:w="1206" w:type="dxa"/>
            <w:tcBorders>
              <w:top w:val="single" w:color="auto" w:sz="4" w:space="0"/>
              <w:left w:val="single" w:color="auto" w:sz="4" w:space="0"/>
              <w:bottom w:val="single" w:color="auto" w:sz="4" w:space="0"/>
              <w:right w:val="single" w:color="auto" w:sz="4" w:space="0"/>
            </w:tcBorders>
            <w:noWrap w:val="0"/>
            <w:vAlign w:val="center"/>
          </w:tcPr>
          <w:p w14:paraId="413E8EFA">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03D4EDE3">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c>
          <w:tcPr>
            <w:tcW w:w="1214" w:type="dxa"/>
            <w:tcBorders>
              <w:top w:val="single" w:color="auto" w:sz="4" w:space="0"/>
              <w:left w:val="single" w:color="auto" w:sz="4" w:space="0"/>
              <w:bottom w:val="single" w:color="auto" w:sz="4" w:space="0"/>
              <w:right w:val="single" w:color="auto" w:sz="4" w:space="0"/>
            </w:tcBorders>
            <w:noWrap w:val="0"/>
            <w:vAlign w:val="center"/>
          </w:tcPr>
          <w:p w14:paraId="37DBFA65">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c>
          <w:tcPr>
            <w:tcW w:w="1159" w:type="dxa"/>
            <w:tcBorders>
              <w:top w:val="single" w:color="auto" w:sz="4" w:space="0"/>
              <w:left w:val="single" w:color="auto" w:sz="4" w:space="0"/>
              <w:bottom w:val="single" w:color="auto" w:sz="4" w:space="0"/>
              <w:right w:val="single" w:color="auto" w:sz="4" w:space="0"/>
            </w:tcBorders>
            <w:noWrap w:val="0"/>
            <w:vAlign w:val="center"/>
          </w:tcPr>
          <w:p w14:paraId="6022D5D2">
            <w:pPr>
              <w:keepNext w:val="0"/>
              <w:keepLines w:val="0"/>
              <w:suppressLineNumbers w:val="0"/>
              <w:spacing w:before="0" w:beforeAutospacing="0" w:after="0" w:afterAutospacing="0"/>
              <w:ind w:left="0" w:right="0"/>
              <w:rPr>
                <w:rFonts w:hint="default" w:ascii="宋体" w:hAnsi="宋体" w:cs="Calibri"/>
                <w:color w:val="auto"/>
                <w:szCs w:val="21"/>
                <w:highlight w:val="none"/>
              </w:rPr>
            </w:pPr>
          </w:p>
        </w:tc>
      </w:tr>
    </w:tbl>
    <w:p w14:paraId="3F2121ED">
      <w:pPr>
        <w:pStyle w:val="12"/>
        <w:spacing w:after="0" w:line="360" w:lineRule="auto"/>
        <w:ind w:left="900" w:hanging="480"/>
        <w:contextualSpacing/>
        <w:rPr>
          <w:rFonts w:hint="eastAsia" w:ascii="宋体" w:hAnsi="宋体"/>
          <w:color w:val="auto"/>
          <w:kern w:val="0"/>
          <w:sz w:val="24"/>
          <w:szCs w:val="24"/>
          <w:highlight w:val="none"/>
        </w:rPr>
      </w:pPr>
    </w:p>
    <w:p w14:paraId="30882943">
      <w:pPr>
        <w:pStyle w:val="12"/>
        <w:spacing w:after="0" w:line="360" w:lineRule="auto"/>
        <w:ind w:left="840" w:hanging="420"/>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2CA9A0C0">
      <w:pPr>
        <w:pStyle w:val="12"/>
        <w:spacing w:after="0" w:line="360" w:lineRule="auto"/>
        <w:ind w:firstLine="420" w:firstLineChars="200"/>
        <w:contextualSpacing/>
        <w:rPr>
          <w:rFonts w:hint="eastAsia" w:ascii="宋体" w:hAnsi="宋体" w:cs="仿宋_GB2312"/>
          <w:color w:val="auto"/>
          <w:kern w:val="0"/>
          <w:sz w:val="21"/>
          <w:szCs w:val="21"/>
          <w:highlight w:val="none"/>
        </w:rPr>
      </w:pPr>
      <w:r>
        <w:rPr>
          <w:rFonts w:hint="eastAsia" w:ascii="宋体" w:hAnsi="宋体" w:cs="仿宋_GB2312"/>
          <w:color w:val="auto"/>
          <w:kern w:val="0"/>
          <w:sz w:val="21"/>
          <w:szCs w:val="21"/>
          <w:highlight w:val="none"/>
        </w:rPr>
        <w:t>1.说明：应对照磋商文件“第二章”中“服务需求一览表”的采购清单及技术参数条款逐条作出明确响应，并作出偏离说明。</w:t>
      </w:r>
    </w:p>
    <w:p w14:paraId="657A8223">
      <w:pPr>
        <w:pStyle w:val="14"/>
        <w:spacing w:line="400" w:lineRule="exact"/>
        <w:ind w:firstLine="420" w:firstLineChars="200"/>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D262D33">
      <w:pPr>
        <w:spacing w:line="400" w:lineRule="exact"/>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3.表格内容均需按要求填写并盖章，不得留空，否则按竞标无效处理。</w:t>
      </w:r>
    </w:p>
    <w:p w14:paraId="551F9741">
      <w:pPr>
        <w:pStyle w:val="17"/>
        <w:spacing w:line="400" w:lineRule="exact"/>
        <w:ind w:firstLine="420" w:firstLineChars="200"/>
        <w:rPr>
          <w:rFonts w:hint="eastAsia" w:hAnsi="宋体" w:cs="仿宋_GB2312"/>
          <w:color w:val="auto"/>
          <w:sz w:val="21"/>
          <w:highlight w:val="none"/>
        </w:rPr>
      </w:pPr>
      <w:r>
        <w:rPr>
          <w:rFonts w:hint="eastAsia" w:hAnsi="宋体" w:cs="仿宋_GB2312"/>
          <w:color w:val="auto"/>
          <w:sz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461C9D4">
      <w:pPr>
        <w:pStyle w:val="14"/>
        <w:spacing w:line="360" w:lineRule="auto"/>
        <w:ind w:firstLine="0" w:firstLineChars="0"/>
        <w:rPr>
          <w:rFonts w:hint="eastAsia" w:ascii="宋体" w:hAnsi="宋体" w:cs="仿宋_GB2312"/>
          <w:color w:val="auto"/>
          <w:sz w:val="24"/>
          <w:highlight w:val="none"/>
        </w:rPr>
      </w:pPr>
      <w:r>
        <w:rPr>
          <w:rFonts w:hint="eastAsia" w:ascii="宋体" w:hAnsi="宋体" w:eastAsia="宋体" w:cs="仿宋_GB2312"/>
          <w:color w:val="auto"/>
          <w:sz w:val="21"/>
          <w:szCs w:val="21"/>
          <w:highlight w:val="none"/>
        </w:rPr>
        <w:t>5. 如技术偏离表中的竞标响应与佐证材料不一致的，以佐证材料为准。</w:t>
      </w:r>
    </w:p>
    <w:p w14:paraId="17F132B1">
      <w:pPr>
        <w:snapToGrid w:val="0"/>
        <w:spacing w:line="360" w:lineRule="auto"/>
        <w:ind w:firstLine="602" w:firstLineChars="200"/>
        <w:rPr>
          <w:rFonts w:ascii="仿宋" w:hAnsi="仿宋" w:eastAsia="仿宋" w:cs="仿宋_GB2312"/>
          <w:b/>
          <w:color w:val="auto"/>
          <w:sz w:val="30"/>
          <w:szCs w:val="30"/>
          <w:highlight w:val="none"/>
        </w:rPr>
      </w:pPr>
    </w:p>
    <w:p w14:paraId="708B437B">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FCAED7C">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23F08DF8">
      <w:pPr>
        <w:adjustRightInd w:val="0"/>
        <w:snapToGrid w:val="0"/>
        <w:spacing w:line="520" w:lineRule="exact"/>
        <w:jc w:val="center"/>
        <w:rPr>
          <w:rFonts w:hint="eastAsia" w:ascii="微软雅黑" w:hAnsi="微软雅黑" w:eastAsia="微软雅黑" w:cs="微软雅黑"/>
          <w:bCs/>
          <w:color w:val="auto"/>
          <w:sz w:val="44"/>
          <w:szCs w:val="44"/>
          <w:highlight w:val="none"/>
        </w:rPr>
      </w:pPr>
    </w:p>
    <w:p w14:paraId="738A7152">
      <w:pPr>
        <w:snapToGrid w:val="0"/>
        <w:spacing w:line="360" w:lineRule="auto"/>
        <w:rPr>
          <w:rFonts w:hint="eastAsia" w:ascii="仿宋" w:hAnsi="仿宋" w:eastAsia="仿宋" w:cs="仿宋_GB2312"/>
          <w:b/>
          <w:color w:val="auto"/>
          <w:sz w:val="30"/>
          <w:szCs w:val="30"/>
          <w:highlight w:val="none"/>
        </w:rPr>
      </w:pPr>
    </w:p>
    <w:p w14:paraId="01B2672D">
      <w:pPr>
        <w:snapToGrid w:val="0"/>
        <w:spacing w:line="360" w:lineRule="auto"/>
        <w:ind w:firstLine="602" w:firstLineChars="200"/>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八、组织服务方案</w:t>
      </w:r>
    </w:p>
    <w:p w14:paraId="7F0BCD3F">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3EE4CD76">
      <w:pPr>
        <w:spacing w:line="500" w:lineRule="exact"/>
        <w:rPr>
          <w:rFonts w:hint="eastAsia" w:ascii="仿宋_GB2312" w:hAnsi="仿宋_GB2312" w:eastAsia="仿宋_GB2312" w:cs="仿宋_GB2312"/>
          <w:color w:val="auto"/>
          <w:sz w:val="32"/>
          <w:szCs w:val="32"/>
          <w:highlight w:val="none"/>
        </w:rPr>
      </w:pPr>
    </w:p>
    <w:p w14:paraId="2FD63579">
      <w:pPr>
        <w:spacing w:line="500" w:lineRule="exact"/>
        <w:rPr>
          <w:rFonts w:hint="eastAsia" w:ascii="仿宋_GB2312" w:hAnsi="仿宋_GB2312" w:eastAsia="仿宋_GB2312" w:cs="仿宋_GB2312"/>
          <w:color w:val="auto"/>
          <w:sz w:val="32"/>
          <w:szCs w:val="32"/>
          <w:highlight w:val="none"/>
        </w:rPr>
      </w:pPr>
    </w:p>
    <w:p w14:paraId="75F29B5A">
      <w:pPr>
        <w:spacing w:line="500" w:lineRule="exact"/>
        <w:rPr>
          <w:rFonts w:hint="eastAsia" w:ascii="仿宋_GB2312" w:hAnsi="仿宋_GB2312" w:eastAsia="仿宋_GB2312" w:cs="仿宋_GB2312"/>
          <w:color w:val="auto"/>
          <w:sz w:val="32"/>
          <w:szCs w:val="32"/>
          <w:highlight w:val="none"/>
        </w:rPr>
      </w:pPr>
    </w:p>
    <w:p w14:paraId="66C89C5E">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0E48A5A">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2664EFEC">
      <w:pPr>
        <w:snapToGrid w:val="0"/>
        <w:spacing w:before="120" w:beforeLines="50" w:after="50"/>
        <w:ind w:left="143" w:leftChars="68" w:firstLine="596" w:firstLineChars="198"/>
        <w:rPr>
          <w:rFonts w:hint="eastAsia" w:ascii="仿宋" w:hAnsi="仿宋" w:eastAsia="仿宋" w:cs="仿宋_GB2312"/>
          <w:b/>
          <w:color w:val="auto"/>
          <w:sz w:val="30"/>
          <w:szCs w:val="30"/>
          <w:highlight w:val="none"/>
        </w:rPr>
      </w:pPr>
    </w:p>
    <w:p w14:paraId="54B876FB">
      <w:pPr>
        <w:snapToGrid w:val="0"/>
        <w:spacing w:before="120" w:beforeLines="50" w:after="50"/>
        <w:ind w:left="143" w:leftChars="68" w:firstLine="596" w:firstLineChars="198"/>
        <w:rPr>
          <w:rFonts w:hint="eastAsia" w:ascii="仿宋" w:hAnsi="仿宋" w:eastAsia="仿宋" w:cs="仿宋_GB2312"/>
          <w:b/>
          <w:color w:val="auto"/>
          <w:sz w:val="30"/>
          <w:szCs w:val="30"/>
          <w:highlight w:val="none"/>
        </w:rPr>
      </w:pPr>
    </w:p>
    <w:p w14:paraId="29A0E3B8">
      <w:pPr>
        <w:snapToGrid w:val="0"/>
        <w:spacing w:before="120" w:beforeLines="50" w:after="50"/>
        <w:ind w:left="143" w:leftChars="68" w:firstLine="596" w:firstLineChars="198"/>
        <w:rPr>
          <w:rFonts w:hint="eastAsia" w:ascii="仿宋" w:hAnsi="仿宋" w:eastAsia="仿宋" w:cs="仿宋_GB2312"/>
          <w:b/>
          <w:color w:val="auto"/>
          <w:sz w:val="30"/>
          <w:szCs w:val="30"/>
          <w:highlight w:val="none"/>
        </w:rPr>
      </w:pPr>
    </w:p>
    <w:p w14:paraId="366EC2C3">
      <w:pPr>
        <w:snapToGrid w:val="0"/>
        <w:spacing w:before="120" w:beforeLines="50" w:after="50"/>
        <w:ind w:left="143" w:leftChars="68" w:firstLine="596" w:firstLineChars="198"/>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九、售后服务方案</w:t>
      </w:r>
    </w:p>
    <w:p w14:paraId="0FD229D9">
      <w:pPr>
        <w:snapToGrid w:val="0"/>
        <w:spacing w:before="120" w:beforeLines="50" w:after="50"/>
        <w:ind w:left="143" w:leftChars="68" w:firstLine="420" w:firstLineChars="200"/>
        <w:rPr>
          <w:rFonts w:hint="eastAsia" w:hAnsi="宋体"/>
          <w:color w:val="auto"/>
          <w:highlight w:val="none"/>
        </w:rPr>
      </w:pPr>
      <w:r>
        <w:rPr>
          <w:rFonts w:hint="eastAsia" w:hAnsi="宋体"/>
          <w:color w:val="auto"/>
          <w:highlight w:val="none"/>
        </w:rPr>
        <w:t>由竞标人按本项目竞争性磋商采购文件第二章“服务需求一览表”中商务条款部分的售后服务要求自行填写，其中要包含售后服务承诺书。</w:t>
      </w:r>
    </w:p>
    <w:p w14:paraId="117797F7">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1、售后服务承诺</w:t>
      </w:r>
    </w:p>
    <w:p w14:paraId="4E602BB0">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60E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119686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340" w:type="dxa"/>
            <w:noWrap w:val="0"/>
            <w:vAlign w:val="top"/>
          </w:tcPr>
          <w:p w14:paraId="4EF82B0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095" w:type="dxa"/>
            <w:noWrap w:val="0"/>
            <w:vAlign w:val="top"/>
          </w:tcPr>
          <w:p w14:paraId="6EE42C8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noWrap w:val="0"/>
            <w:vAlign w:val="top"/>
          </w:tcPr>
          <w:p w14:paraId="29A9716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980" w:type="dxa"/>
            <w:noWrap w:val="0"/>
            <w:vAlign w:val="top"/>
          </w:tcPr>
          <w:p w14:paraId="13D2FC0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260" w:type="dxa"/>
            <w:noWrap w:val="0"/>
            <w:vAlign w:val="top"/>
          </w:tcPr>
          <w:p w14:paraId="43441CA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7C51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F37AA0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2340" w:type="dxa"/>
            <w:noWrap w:val="0"/>
            <w:vAlign w:val="top"/>
          </w:tcPr>
          <w:p w14:paraId="71C5FCB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095" w:type="dxa"/>
            <w:noWrap w:val="0"/>
            <w:vAlign w:val="top"/>
          </w:tcPr>
          <w:p w14:paraId="473D526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45" w:type="dxa"/>
            <w:noWrap w:val="0"/>
            <w:vAlign w:val="top"/>
          </w:tcPr>
          <w:p w14:paraId="42760A2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980" w:type="dxa"/>
            <w:noWrap w:val="0"/>
            <w:vAlign w:val="top"/>
          </w:tcPr>
          <w:p w14:paraId="080F191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noWrap w:val="0"/>
            <w:vAlign w:val="top"/>
          </w:tcPr>
          <w:p w14:paraId="58B2688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6F6C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50E767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2340" w:type="dxa"/>
            <w:noWrap w:val="0"/>
            <w:vAlign w:val="top"/>
          </w:tcPr>
          <w:p w14:paraId="096191F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095" w:type="dxa"/>
            <w:noWrap w:val="0"/>
            <w:vAlign w:val="top"/>
          </w:tcPr>
          <w:p w14:paraId="4B324E9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45" w:type="dxa"/>
            <w:noWrap w:val="0"/>
            <w:vAlign w:val="top"/>
          </w:tcPr>
          <w:p w14:paraId="74C8827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980" w:type="dxa"/>
            <w:noWrap w:val="0"/>
            <w:vAlign w:val="top"/>
          </w:tcPr>
          <w:p w14:paraId="2A81FB7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noWrap w:val="0"/>
            <w:vAlign w:val="top"/>
          </w:tcPr>
          <w:p w14:paraId="0BDBC96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527F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2447F7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2340" w:type="dxa"/>
            <w:noWrap w:val="0"/>
            <w:vAlign w:val="top"/>
          </w:tcPr>
          <w:p w14:paraId="70AFDF6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095" w:type="dxa"/>
            <w:noWrap w:val="0"/>
            <w:vAlign w:val="top"/>
          </w:tcPr>
          <w:p w14:paraId="2A032D9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45" w:type="dxa"/>
            <w:noWrap w:val="0"/>
            <w:vAlign w:val="top"/>
          </w:tcPr>
          <w:p w14:paraId="0E71C1E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980" w:type="dxa"/>
            <w:noWrap w:val="0"/>
            <w:vAlign w:val="top"/>
          </w:tcPr>
          <w:p w14:paraId="38F49F8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noWrap w:val="0"/>
            <w:vAlign w:val="top"/>
          </w:tcPr>
          <w:p w14:paraId="3BB8D59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bl>
    <w:p w14:paraId="7B53EDEC">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注：关于项目涉及的所有售后服务机构均在本表注明，包括供应商本单位和符合条件的第三方服务机构；</w:t>
      </w:r>
    </w:p>
    <w:p w14:paraId="1A08D958">
      <w:pPr>
        <w:autoSpaceDE w:val="0"/>
        <w:autoSpaceDN w:val="0"/>
        <w:spacing w:line="360" w:lineRule="auto"/>
        <w:rPr>
          <w:rFonts w:hint="eastAsia" w:ascii="仿宋_GB2312" w:hAnsi="仿宋" w:eastAsia="仿宋_GB2312" w:cs="仿宋_GB2312"/>
          <w:color w:val="auto"/>
          <w:kern w:val="0"/>
          <w:sz w:val="24"/>
          <w:highlight w:val="none"/>
        </w:rPr>
      </w:pPr>
    </w:p>
    <w:p w14:paraId="45F6A01F">
      <w:pPr>
        <w:autoSpaceDE w:val="0"/>
        <w:autoSpaceDN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30"/>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FC5F318">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166956E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32D319D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52AEE24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035E96A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3A41D7B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1A38A5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4DAC87B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425270C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1E8773F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911A80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DBFE50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64BECE3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731D971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2FB497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29DCCF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1D8AAC8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38CE9B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EAFB861">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44A98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3854E4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79B3A7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A06D4F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F654318">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783B86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r w14:paraId="05CCE3E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EFC535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52F3B0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588EB09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2DE74BF">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8BEAA0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E68F7C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4B51C31">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1C39FEE">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27325D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958E681">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8C95AD8">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r w14:paraId="5D496B84">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6B475D7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760A81A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CB8F6D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6A7FCD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C50A6DE">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E0D2C9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EE39E2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151105E">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BF159B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8B91E0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05BBD4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r w14:paraId="08DC8F5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542D09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48F9100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918ABD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0212F8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7A898EB">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1AD77F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4CB58D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AAE79E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F8672A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96D1A1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155E5D3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bl>
    <w:p w14:paraId="329B2CAA">
      <w:pPr>
        <w:pStyle w:val="17"/>
        <w:spacing w:line="440" w:lineRule="exact"/>
        <w:ind w:firstLine="396" w:firstLineChars="198"/>
        <w:rPr>
          <w:rFonts w:hAnsi="宋体"/>
          <w:color w:val="auto"/>
          <w:highlight w:val="none"/>
        </w:rPr>
      </w:pPr>
    </w:p>
    <w:p w14:paraId="57A7E1B8">
      <w:pPr>
        <w:spacing w:line="500" w:lineRule="exact"/>
        <w:rPr>
          <w:rFonts w:hint="eastAsia" w:ascii="仿宋_GB2312" w:hAnsi="仿宋_GB2312" w:eastAsia="仿宋_GB2312" w:cs="仿宋_GB2312"/>
          <w:color w:val="auto"/>
          <w:sz w:val="32"/>
          <w:szCs w:val="32"/>
          <w:highlight w:val="none"/>
        </w:rPr>
      </w:pPr>
    </w:p>
    <w:p w14:paraId="0C7CBD30">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215AFEF">
      <w:pPr>
        <w:snapToGrid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43A30132">
      <w:pPr>
        <w:snapToGrid w:val="0"/>
        <w:spacing w:line="360" w:lineRule="auto"/>
        <w:ind w:firstLine="602" w:firstLineChars="200"/>
        <w:rPr>
          <w:rFonts w:hint="eastAsia" w:ascii="仿宋" w:hAnsi="仿宋" w:eastAsia="仿宋" w:cs="仿宋_GB2312"/>
          <w:b/>
          <w:color w:val="auto"/>
          <w:sz w:val="30"/>
          <w:szCs w:val="30"/>
          <w:highlight w:val="none"/>
        </w:rPr>
      </w:pPr>
    </w:p>
    <w:p w14:paraId="15F914A4">
      <w:pPr>
        <w:snapToGrid w:val="0"/>
        <w:spacing w:line="360" w:lineRule="auto"/>
        <w:ind w:firstLine="602" w:firstLineChars="200"/>
        <w:rPr>
          <w:rFonts w:hint="eastAsia" w:ascii="仿宋" w:hAnsi="仿宋" w:eastAsia="仿宋" w:cs="仿宋_GB2312"/>
          <w:b/>
          <w:color w:val="auto"/>
          <w:sz w:val="30"/>
          <w:szCs w:val="30"/>
          <w:highlight w:val="none"/>
        </w:rPr>
      </w:pPr>
    </w:p>
    <w:p w14:paraId="6614C150">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十、项目实施人员一览表</w:t>
      </w:r>
    </w:p>
    <w:p w14:paraId="361B80ED">
      <w:pPr>
        <w:spacing w:line="360" w:lineRule="auto"/>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0044A27F">
      <w:pPr>
        <w:pStyle w:val="17"/>
        <w:rPr>
          <w:rFonts w:hint="eastAsia"/>
          <w:color w:val="auto"/>
          <w:sz w:val="24"/>
          <w:szCs w:val="24"/>
          <w:highlight w:val="none"/>
        </w:rPr>
      </w:pPr>
      <w:r>
        <w:rPr>
          <w:rFonts w:hint="eastAsia"/>
          <w:color w:val="auto"/>
          <w:sz w:val="24"/>
          <w:szCs w:val="24"/>
          <w:highlight w:val="none"/>
          <w:lang w:eastAsia="zh-CN"/>
        </w:rPr>
        <w:t>响应</w:t>
      </w:r>
      <w:r>
        <w:rPr>
          <w:rFonts w:hint="eastAsia"/>
          <w:color w:val="auto"/>
          <w:sz w:val="24"/>
          <w:szCs w:val="24"/>
          <w:highlight w:val="none"/>
        </w:rPr>
        <w:t>分标：</w:t>
      </w:r>
      <w:r>
        <w:rPr>
          <w:rFonts w:hint="eastAsia"/>
          <w:color w:val="auto"/>
          <w:sz w:val="24"/>
          <w:szCs w:val="24"/>
          <w:highlight w:val="none"/>
          <w:u w:val="single"/>
        </w:rPr>
        <w:t xml:space="preserve">     </w:t>
      </w:r>
      <w:r>
        <w:rPr>
          <w:rFonts w:hint="eastAsia"/>
          <w:color w:val="auto"/>
          <w:sz w:val="24"/>
          <w:szCs w:val="24"/>
          <w:highlight w:val="none"/>
        </w:rPr>
        <w:t>分标</w:t>
      </w:r>
    </w:p>
    <w:p w14:paraId="5EE57106">
      <w:pPr>
        <w:keepNext/>
        <w:autoSpaceDE w:val="0"/>
        <w:autoSpaceDN w:val="0"/>
        <w:spacing w:line="360" w:lineRule="auto"/>
        <w:ind w:firstLine="477"/>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w:t>
      </w:r>
      <w:r>
        <w:rPr>
          <w:rFonts w:hint="eastAsia" w:ascii="仿宋_GB2312" w:hAnsi="仿宋" w:eastAsia="仿宋_GB2312" w:cs="仿宋_GB2312"/>
          <w:b/>
          <w:color w:val="auto"/>
          <w:sz w:val="24"/>
          <w:highlight w:val="none"/>
          <w:lang w:eastAsia="zh-CN"/>
        </w:rPr>
        <w:t>负责人</w:t>
      </w:r>
      <w:r>
        <w:rPr>
          <w:rFonts w:hint="eastAsia" w:ascii="仿宋_GB2312" w:hAnsi="仿宋" w:eastAsia="仿宋_GB2312" w:cs="仿宋_GB2312"/>
          <w:b/>
          <w:color w:val="auto"/>
          <w:sz w:val="24"/>
          <w:highlight w:val="none"/>
        </w:rPr>
        <w:t>情况表</w:t>
      </w:r>
    </w:p>
    <w:tbl>
      <w:tblPr>
        <w:tblStyle w:val="30"/>
        <w:tblW w:w="0" w:type="auto"/>
        <w:tblInd w:w="0" w:type="dxa"/>
        <w:tblLayout w:type="fixed"/>
        <w:tblCellMar>
          <w:top w:w="0" w:type="dxa"/>
          <w:left w:w="108" w:type="dxa"/>
          <w:bottom w:w="0" w:type="dxa"/>
          <w:right w:w="108" w:type="dxa"/>
        </w:tblCellMar>
      </w:tblPr>
      <w:tblGrid>
        <w:gridCol w:w="2061"/>
        <w:gridCol w:w="1287"/>
        <w:gridCol w:w="1260"/>
        <w:gridCol w:w="4147"/>
      </w:tblGrid>
      <w:tr w14:paraId="6FB1269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9D28FC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08601AF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0337DC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71228D8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响应截止时间前三年业绩及承担的主要工作情况，曾担任项目</w:t>
            </w:r>
            <w:r>
              <w:rPr>
                <w:rFonts w:hint="eastAsia" w:ascii="仿宋_GB2312" w:hAnsi="仿宋" w:eastAsia="仿宋_GB2312" w:cs="仿宋_GB2312"/>
                <w:color w:val="auto"/>
                <w:sz w:val="24"/>
                <w:highlight w:val="none"/>
                <w:lang w:eastAsia="zh-CN"/>
              </w:rPr>
              <w:t>负责人</w:t>
            </w:r>
            <w:r>
              <w:rPr>
                <w:rFonts w:hint="eastAsia" w:ascii="仿宋_GB2312" w:hAnsi="仿宋" w:eastAsia="仿宋_GB2312" w:cs="仿宋_GB2312"/>
                <w:color w:val="auto"/>
                <w:sz w:val="24"/>
                <w:highlight w:val="none"/>
              </w:rPr>
              <w:t>的项目应列明细</w:t>
            </w:r>
          </w:p>
        </w:tc>
      </w:tr>
      <w:tr w14:paraId="7D1185C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F2CA0E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51CBBF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1E06AA3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67192B8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2B0534D3">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26B552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84327A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726EF8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3D82DD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6F68DA3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521D36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FCFED1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745645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25DDF3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2365571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858A0E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C47A03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95C7F6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77E13A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4E01C369">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2D7745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49CC26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B189AF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A9CD69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4D1F575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F2D6D2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D79435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E97AF4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78592A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07683574">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AFBB9A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CD82E5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F5C0C7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68E607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4D81E254">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4EC2B7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125574F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E97AE9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0F7609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r w14:paraId="0FABDF0A">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978693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384674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2176EDF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99DC9C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r>
    </w:tbl>
    <w:p w14:paraId="0922744A">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注：须随表提交相应的证书复印件并注明所在响应技术文件页码。</w:t>
      </w:r>
    </w:p>
    <w:p w14:paraId="309350E1">
      <w:pPr>
        <w:autoSpaceDE w:val="0"/>
        <w:autoSpaceDN w:val="0"/>
        <w:spacing w:line="360" w:lineRule="auto"/>
        <w:rPr>
          <w:rFonts w:hint="eastAsia" w:ascii="仿宋_GB2312" w:hAnsi="仿宋" w:eastAsia="仿宋_GB2312" w:cs="仿宋_GB2312"/>
          <w:b/>
          <w:color w:val="auto"/>
          <w:sz w:val="24"/>
          <w:highlight w:val="none"/>
        </w:rPr>
      </w:pPr>
    </w:p>
    <w:p w14:paraId="0F0DF448">
      <w:pPr>
        <w:autoSpaceDE w:val="0"/>
        <w:autoSpaceDN w:val="0"/>
        <w:spacing w:line="360" w:lineRule="auto"/>
        <w:rPr>
          <w:rFonts w:hint="eastAsia" w:ascii="仿宋_GB2312" w:hAnsi="仿宋" w:eastAsia="仿宋_GB2312" w:cs="仿宋_GB2312"/>
          <w:b/>
          <w:color w:val="auto"/>
          <w:sz w:val="24"/>
          <w:highlight w:val="none"/>
        </w:rPr>
      </w:pPr>
    </w:p>
    <w:p w14:paraId="40774C41">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30"/>
        <w:tblW w:w="8553" w:type="dxa"/>
        <w:tblInd w:w="108" w:type="dxa"/>
        <w:tblLayout w:type="fixed"/>
        <w:tblCellMar>
          <w:top w:w="0" w:type="dxa"/>
          <w:left w:w="108" w:type="dxa"/>
          <w:bottom w:w="0" w:type="dxa"/>
          <w:right w:w="108" w:type="dxa"/>
        </w:tblCellMar>
      </w:tblPr>
      <w:tblGrid>
        <w:gridCol w:w="420"/>
        <w:gridCol w:w="617"/>
        <w:gridCol w:w="582"/>
        <w:gridCol w:w="586"/>
        <w:gridCol w:w="1035"/>
        <w:gridCol w:w="1080"/>
        <w:gridCol w:w="1080"/>
        <w:gridCol w:w="804"/>
        <w:gridCol w:w="817"/>
        <w:gridCol w:w="766"/>
        <w:gridCol w:w="766"/>
      </w:tblGrid>
      <w:tr w14:paraId="1FF4F91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0F05714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617" w:type="dxa"/>
            <w:tcBorders>
              <w:top w:val="single" w:color="auto" w:sz="6" w:space="0"/>
              <w:left w:val="single" w:color="auto" w:sz="6" w:space="0"/>
              <w:bottom w:val="single" w:color="auto" w:sz="6" w:space="0"/>
              <w:right w:val="single" w:color="auto" w:sz="6" w:space="0"/>
            </w:tcBorders>
            <w:noWrap w:val="0"/>
            <w:vAlign w:val="center"/>
          </w:tcPr>
          <w:p w14:paraId="5C13D50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582" w:type="dxa"/>
            <w:tcBorders>
              <w:top w:val="single" w:color="auto" w:sz="6" w:space="0"/>
              <w:left w:val="single" w:color="auto" w:sz="6" w:space="0"/>
              <w:bottom w:val="single" w:color="auto" w:sz="6" w:space="0"/>
              <w:right w:val="single" w:color="auto" w:sz="6" w:space="0"/>
            </w:tcBorders>
            <w:noWrap w:val="0"/>
            <w:vAlign w:val="center"/>
          </w:tcPr>
          <w:p w14:paraId="64DC9D6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3363339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0BF9C1C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2FCC6AB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6616A2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60F1ADF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2855F9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68C8C3D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804" w:type="dxa"/>
            <w:tcBorders>
              <w:top w:val="single" w:color="auto" w:sz="6" w:space="0"/>
              <w:left w:val="single" w:color="auto" w:sz="6" w:space="0"/>
              <w:bottom w:val="single" w:color="auto" w:sz="6" w:space="0"/>
              <w:right w:val="single" w:color="auto" w:sz="6" w:space="0"/>
            </w:tcBorders>
            <w:noWrap w:val="0"/>
            <w:vAlign w:val="center"/>
          </w:tcPr>
          <w:p w14:paraId="726C308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55C8BC5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lang w:eastAsia="zh-CN"/>
              </w:rPr>
            </w:pPr>
            <w:r>
              <w:rPr>
                <w:rFonts w:hint="eastAsia" w:ascii="仿宋_GB2312" w:hAnsi="仿宋" w:eastAsia="仿宋_GB2312" w:cs="仿宋_GB2312"/>
                <w:color w:val="auto"/>
                <w:sz w:val="24"/>
                <w:highlight w:val="none"/>
              </w:rPr>
              <w:t>项目经历</w:t>
            </w:r>
            <w:r>
              <w:rPr>
                <w:rFonts w:hint="eastAsia" w:ascii="仿宋_GB2312" w:hAnsi="仿宋" w:eastAsia="仿宋_GB2312" w:cs="仿宋_GB2312"/>
                <w:color w:val="auto"/>
                <w:sz w:val="24"/>
                <w:highlight w:val="none"/>
                <w:lang w:eastAsia="zh-CN"/>
              </w:rPr>
              <w:t>（</w:t>
            </w:r>
            <w:r>
              <w:rPr>
                <w:rFonts w:hint="eastAsia" w:ascii="仿宋_GB2312" w:hAnsi="仿宋" w:eastAsia="仿宋_GB2312" w:cs="仿宋_GB2312"/>
                <w:color w:val="auto"/>
                <w:sz w:val="24"/>
                <w:szCs w:val="24"/>
                <w:highlight w:val="none"/>
                <w:lang w:eastAsia="zh-CN"/>
              </w:rPr>
              <w:t>相</w:t>
            </w:r>
            <w:r>
              <w:rPr>
                <w:rFonts w:hint="eastAsia" w:ascii="仿宋_GB2312" w:hAnsi="仿宋" w:eastAsia="仿宋_GB2312" w:cs="仿宋_GB2312"/>
                <w:color w:val="auto"/>
                <w:sz w:val="24"/>
                <w:highlight w:val="none"/>
                <w:lang w:eastAsia="zh-CN"/>
              </w:rPr>
              <w:t>关工作经验）</w:t>
            </w:r>
          </w:p>
        </w:tc>
        <w:tc>
          <w:tcPr>
            <w:tcW w:w="766" w:type="dxa"/>
            <w:tcBorders>
              <w:top w:val="single" w:color="auto" w:sz="6" w:space="0"/>
              <w:left w:val="single" w:color="auto" w:sz="6" w:space="0"/>
              <w:bottom w:val="single" w:color="auto" w:sz="6" w:space="0"/>
              <w:right w:val="single" w:color="auto" w:sz="6" w:space="0"/>
            </w:tcBorders>
            <w:noWrap w:val="0"/>
            <w:vAlign w:val="center"/>
          </w:tcPr>
          <w:p w14:paraId="6A2E1499">
            <w:pPr>
              <w:keepNext w:val="0"/>
              <w:keepLines w:val="0"/>
              <w:suppressLineNumbers w:val="0"/>
              <w:autoSpaceDE w:val="0"/>
              <w:autoSpaceDN w:val="0"/>
              <w:spacing w:before="0" w:beforeAutospacing="0" w:after="0" w:afterAutospacing="0" w:line="360" w:lineRule="auto"/>
              <w:ind w:left="0" w:leftChars="0" w:right="0" w:rightChars="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eastAsia="zh-CN"/>
              </w:rPr>
              <w:t>是否离校未就业高校毕业生</w:t>
            </w:r>
          </w:p>
        </w:tc>
        <w:tc>
          <w:tcPr>
            <w:tcW w:w="766" w:type="dxa"/>
            <w:tcBorders>
              <w:top w:val="single" w:color="auto" w:sz="6" w:space="0"/>
              <w:left w:val="single" w:color="auto" w:sz="6" w:space="0"/>
              <w:bottom w:val="single" w:color="auto" w:sz="6" w:space="0"/>
              <w:right w:val="single" w:color="auto" w:sz="6" w:space="0"/>
            </w:tcBorders>
            <w:noWrap w:val="0"/>
            <w:vAlign w:val="center"/>
          </w:tcPr>
          <w:p w14:paraId="50C773C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3B726D5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2790DD2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617" w:type="dxa"/>
            <w:tcBorders>
              <w:top w:val="single" w:color="auto" w:sz="6" w:space="0"/>
              <w:left w:val="single" w:color="auto" w:sz="6" w:space="0"/>
              <w:bottom w:val="single" w:color="auto" w:sz="6" w:space="0"/>
              <w:right w:val="single" w:color="auto" w:sz="6" w:space="0"/>
            </w:tcBorders>
            <w:noWrap w:val="0"/>
            <w:vAlign w:val="top"/>
          </w:tcPr>
          <w:p w14:paraId="591F55D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582" w:type="dxa"/>
            <w:tcBorders>
              <w:top w:val="single" w:color="auto" w:sz="6" w:space="0"/>
              <w:left w:val="single" w:color="auto" w:sz="6" w:space="0"/>
              <w:bottom w:val="single" w:color="auto" w:sz="6" w:space="0"/>
              <w:right w:val="single" w:color="auto" w:sz="6" w:space="0"/>
            </w:tcBorders>
            <w:noWrap w:val="0"/>
            <w:vAlign w:val="top"/>
          </w:tcPr>
          <w:p w14:paraId="0FD3A02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CF84B6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F94735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948D91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308443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406DA9FB">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top"/>
          </w:tcPr>
          <w:p w14:paraId="6BFFA1F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766" w:type="dxa"/>
            <w:tcBorders>
              <w:top w:val="single" w:color="auto" w:sz="6" w:space="0"/>
              <w:left w:val="single" w:color="auto" w:sz="6" w:space="0"/>
              <w:bottom w:val="single" w:color="auto" w:sz="6" w:space="0"/>
              <w:right w:val="single" w:color="auto" w:sz="6" w:space="0"/>
            </w:tcBorders>
            <w:noWrap w:val="0"/>
            <w:vAlign w:val="top"/>
          </w:tcPr>
          <w:p w14:paraId="029BDD5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766" w:type="dxa"/>
            <w:tcBorders>
              <w:top w:val="single" w:color="auto" w:sz="6" w:space="0"/>
              <w:left w:val="single" w:color="auto" w:sz="6" w:space="0"/>
              <w:bottom w:val="single" w:color="auto" w:sz="6" w:space="0"/>
              <w:right w:val="single" w:color="auto" w:sz="6" w:space="0"/>
            </w:tcBorders>
            <w:noWrap w:val="0"/>
            <w:vAlign w:val="top"/>
          </w:tcPr>
          <w:p w14:paraId="6B469D0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r w14:paraId="0F8E5F98">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745294F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color w:val="auto"/>
                <w:sz w:val="24"/>
                <w:highlight w:val="none"/>
              </w:rPr>
            </w:pPr>
          </w:p>
        </w:tc>
        <w:tc>
          <w:tcPr>
            <w:tcW w:w="617" w:type="dxa"/>
            <w:tcBorders>
              <w:top w:val="single" w:color="auto" w:sz="6" w:space="0"/>
              <w:left w:val="single" w:color="auto" w:sz="6" w:space="0"/>
              <w:bottom w:val="single" w:color="auto" w:sz="6" w:space="0"/>
              <w:right w:val="single" w:color="auto" w:sz="6" w:space="0"/>
            </w:tcBorders>
            <w:noWrap w:val="0"/>
            <w:vAlign w:val="top"/>
          </w:tcPr>
          <w:p w14:paraId="53C78F1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582" w:type="dxa"/>
            <w:tcBorders>
              <w:top w:val="single" w:color="auto" w:sz="6" w:space="0"/>
              <w:left w:val="single" w:color="auto" w:sz="6" w:space="0"/>
              <w:bottom w:val="single" w:color="auto" w:sz="6" w:space="0"/>
              <w:right w:val="single" w:color="auto" w:sz="6" w:space="0"/>
            </w:tcBorders>
            <w:noWrap w:val="0"/>
            <w:vAlign w:val="top"/>
          </w:tcPr>
          <w:p w14:paraId="196857C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38D5C82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5F3B90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91CF0AD">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6EE86CF">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6F7840A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top"/>
          </w:tcPr>
          <w:p w14:paraId="5030AC9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766" w:type="dxa"/>
            <w:tcBorders>
              <w:top w:val="single" w:color="auto" w:sz="6" w:space="0"/>
              <w:left w:val="single" w:color="auto" w:sz="6" w:space="0"/>
              <w:bottom w:val="single" w:color="auto" w:sz="6" w:space="0"/>
              <w:right w:val="single" w:color="auto" w:sz="6" w:space="0"/>
            </w:tcBorders>
            <w:noWrap w:val="0"/>
            <w:vAlign w:val="top"/>
          </w:tcPr>
          <w:p w14:paraId="2480835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c>
          <w:tcPr>
            <w:tcW w:w="766" w:type="dxa"/>
            <w:tcBorders>
              <w:top w:val="single" w:color="auto" w:sz="6" w:space="0"/>
              <w:left w:val="single" w:color="auto" w:sz="6" w:space="0"/>
              <w:bottom w:val="single" w:color="auto" w:sz="6" w:space="0"/>
              <w:right w:val="single" w:color="auto" w:sz="6" w:space="0"/>
            </w:tcBorders>
            <w:noWrap w:val="0"/>
            <w:vAlign w:val="top"/>
          </w:tcPr>
          <w:p w14:paraId="184372F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color w:val="auto"/>
                <w:sz w:val="24"/>
                <w:highlight w:val="none"/>
              </w:rPr>
            </w:pPr>
          </w:p>
        </w:tc>
      </w:tr>
    </w:tbl>
    <w:p w14:paraId="1C88C83E">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注：供应商可按上述的格式自行编制，须随表提交相应的证书复印件并注明所在响应技术文件页码。</w:t>
      </w:r>
    </w:p>
    <w:p w14:paraId="03538CBF">
      <w:pPr>
        <w:spacing w:line="360" w:lineRule="auto"/>
        <w:rPr>
          <w:rFonts w:hint="eastAsia" w:ascii="仿宋_GB2312" w:hAnsi="仿宋" w:eastAsia="仿宋_GB2312" w:cs="仿宋_GB2312"/>
          <w:b/>
          <w:bCs/>
          <w:color w:val="auto"/>
          <w:sz w:val="24"/>
          <w:highlight w:val="none"/>
          <w:lang w:val="en-US" w:eastAsia="zh-CN"/>
        </w:rPr>
      </w:pPr>
      <w:r>
        <w:rPr>
          <w:rFonts w:hint="eastAsia" w:ascii="仿宋_GB2312" w:hAnsi="仿宋" w:eastAsia="仿宋_GB2312" w:cs="仿宋_GB2312"/>
          <w:b/>
          <w:color w:val="auto"/>
          <w:sz w:val="24"/>
          <w:highlight w:val="none"/>
        </w:rPr>
        <w:t>附表C:本项目的项目经理和小组人员</w:t>
      </w:r>
      <w:r>
        <w:rPr>
          <w:rFonts w:hint="eastAsia" w:ascii="仿宋_GB2312" w:hAnsi="仿宋" w:eastAsia="仿宋_GB2312" w:cs="仿宋_GB2312"/>
          <w:b/>
          <w:color w:val="auto"/>
          <w:sz w:val="24"/>
          <w:highlight w:val="none"/>
          <w:lang w:eastAsia="zh-CN"/>
        </w:rPr>
        <w:t>在截止时间前</w:t>
      </w:r>
      <w:r>
        <w:rPr>
          <w:rFonts w:hint="eastAsia" w:ascii="仿宋_GB2312" w:hAnsi="仿宋" w:eastAsia="仿宋_GB2312" w:cs="仿宋_GB2312"/>
          <w:b/>
          <w:color w:val="auto"/>
          <w:sz w:val="24"/>
          <w:highlight w:val="none"/>
        </w:rPr>
        <w:t>半年内至少近1个月为其缴纳的社保证明或劳动合同</w:t>
      </w:r>
      <w:r>
        <w:rPr>
          <w:rFonts w:hint="eastAsia" w:ascii="仿宋_GB2312" w:hAnsi="仿宋" w:eastAsia="仿宋_GB2312" w:cs="仿宋_GB2312"/>
          <w:b/>
          <w:color w:val="auto"/>
          <w:sz w:val="24"/>
          <w:highlight w:val="none"/>
          <w:lang w:eastAsia="zh-CN"/>
        </w:rPr>
        <w:t>复印件</w:t>
      </w:r>
    </w:p>
    <w:p w14:paraId="382B689F">
      <w:pPr>
        <w:autoSpaceDE w:val="0"/>
        <w:autoSpaceDN w:val="0"/>
        <w:spacing w:line="360" w:lineRule="auto"/>
        <w:ind w:firstLine="6505" w:firstLineChars="2700"/>
        <w:rPr>
          <w:rFonts w:ascii="仿宋_GB2312" w:hAnsi="仿宋" w:eastAsia="仿宋_GB2312" w:cs="仿宋_GB2312"/>
          <w:b/>
          <w:bCs/>
          <w:color w:val="auto"/>
          <w:sz w:val="24"/>
          <w:highlight w:val="none"/>
        </w:rPr>
      </w:pPr>
    </w:p>
    <w:p w14:paraId="35279759">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3EC12E4">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7BDAD32F">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11AB2F24">
      <w:pPr>
        <w:snapToGrid w:val="0"/>
        <w:spacing w:line="360" w:lineRule="auto"/>
        <w:ind w:firstLine="602" w:firstLineChars="200"/>
        <w:rPr>
          <w:rFonts w:hint="eastAsia" w:ascii="仿宋" w:hAnsi="仿宋" w:eastAsia="仿宋" w:cs="仿宋_GB2312"/>
          <w:b/>
          <w:color w:val="auto"/>
          <w:sz w:val="30"/>
          <w:szCs w:val="30"/>
          <w:highlight w:val="none"/>
        </w:rPr>
      </w:pPr>
    </w:p>
    <w:p w14:paraId="5A74EB8E">
      <w:pPr>
        <w:snapToGrid w:val="0"/>
        <w:spacing w:line="360" w:lineRule="auto"/>
        <w:ind w:firstLine="602" w:firstLineChars="200"/>
        <w:rPr>
          <w:rFonts w:hint="eastAsia" w:ascii="仿宋" w:hAnsi="仿宋" w:eastAsia="仿宋" w:cs="仿宋_GB2312"/>
          <w:b/>
          <w:color w:val="auto"/>
          <w:sz w:val="30"/>
          <w:szCs w:val="30"/>
          <w:highlight w:val="none"/>
        </w:rPr>
      </w:pPr>
    </w:p>
    <w:p w14:paraId="2EF5C233">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十一、服务需求、商务条款要求提供的其他材料</w:t>
      </w:r>
    </w:p>
    <w:p w14:paraId="5434167C">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3F4BA4D2">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2B45CA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0DE56861">
      <w:pPr>
        <w:autoSpaceDE w:val="0"/>
        <w:autoSpaceDN w:val="0"/>
        <w:spacing w:line="360" w:lineRule="auto"/>
        <w:ind w:firstLine="6505" w:firstLineChars="2700"/>
        <w:rPr>
          <w:rFonts w:ascii="仿宋_GB2312" w:hAnsi="仿宋" w:eastAsia="仿宋_GB2312" w:cs="仿宋_GB2312"/>
          <w:b/>
          <w:bCs/>
          <w:color w:val="auto"/>
          <w:sz w:val="24"/>
          <w:highlight w:val="none"/>
        </w:rPr>
        <w:sectPr>
          <w:pgSz w:w="11910" w:h="16840"/>
          <w:pgMar w:top="1340" w:right="1474" w:bottom="1134" w:left="1587" w:header="720" w:footer="720" w:gutter="0"/>
          <w:pgNumType w:fmt="decimal"/>
          <w:cols w:space="720" w:num="1"/>
        </w:sectPr>
      </w:pPr>
    </w:p>
    <w:p w14:paraId="0A8D1F80">
      <w:pPr>
        <w:pStyle w:val="3"/>
        <w:jc w:val="both"/>
        <w:rPr>
          <w:rFonts w:hint="eastAsia" w:ascii="宋体" w:hAnsi="宋体"/>
          <w:color w:val="auto"/>
          <w:highlight w:val="none"/>
          <w:lang w:val="en-US" w:eastAsia="zh-CN"/>
        </w:rPr>
      </w:pPr>
      <w:bookmarkStart w:id="89" w:name="_Toc15486"/>
      <w:bookmarkStart w:id="90" w:name="_Toc80886945"/>
      <w:bookmarkStart w:id="91" w:name="_Toc80205942"/>
      <w:r>
        <w:rPr>
          <w:rFonts w:hint="eastAsia" w:ascii="宋体" w:hAnsi="宋体"/>
          <w:color w:val="auto"/>
          <w:highlight w:val="none"/>
          <w:lang w:val="en-US" w:eastAsia="zh-CN"/>
        </w:rPr>
        <w:t>第四节 报价文件格式</w:t>
      </w:r>
      <w:bookmarkEnd w:id="89"/>
      <w:bookmarkEnd w:id="90"/>
    </w:p>
    <w:p w14:paraId="148B2E9C">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8B70E">
      <w:pPr>
        <w:snapToGrid w:val="0"/>
        <w:spacing w:before="120" w:beforeLines="50" w:after="50"/>
        <w:rPr>
          <w:rFonts w:hint="eastAsia" w:ascii="宋体" w:hAnsi="宋体"/>
          <w:color w:val="auto"/>
          <w:sz w:val="24"/>
          <w:szCs w:val="20"/>
          <w:highlight w:val="none"/>
        </w:rPr>
      </w:pPr>
    </w:p>
    <w:p w14:paraId="5D59908A">
      <w:pPr>
        <w:snapToGrid w:val="0"/>
        <w:spacing w:before="120" w:beforeLines="50" w:after="50"/>
        <w:rPr>
          <w:rFonts w:hint="eastAsia" w:ascii="宋体" w:hAnsi="宋体"/>
          <w:color w:val="auto"/>
          <w:sz w:val="24"/>
          <w:szCs w:val="20"/>
          <w:highlight w:val="none"/>
        </w:rPr>
      </w:pPr>
    </w:p>
    <w:p w14:paraId="139C4D86">
      <w:pPr>
        <w:snapToGrid w:val="0"/>
        <w:spacing w:before="120" w:beforeLines="50" w:after="50"/>
        <w:rPr>
          <w:rFonts w:hint="eastAsia" w:ascii="宋体" w:hAnsi="宋体"/>
          <w:color w:val="auto"/>
          <w:sz w:val="24"/>
          <w:szCs w:val="20"/>
          <w:highlight w:val="none"/>
        </w:rPr>
      </w:pPr>
    </w:p>
    <w:p w14:paraId="43F5178B">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 xml:space="preserve">报 </w:t>
      </w:r>
      <w:r>
        <w:rPr>
          <w:rFonts w:ascii="微软雅黑" w:hAnsi="微软雅黑" w:eastAsia="微软雅黑" w:cs="微软雅黑"/>
          <w:bCs/>
          <w:color w:val="auto"/>
          <w:sz w:val="44"/>
          <w:szCs w:val="44"/>
          <w:highlight w:val="none"/>
        </w:rPr>
        <w:t xml:space="preserve"> </w:t>
      </w:r>
      <w:r>
        <w:rPr>
          <w:rFonts w:hint="eastAsia" w:ascii="微软雅黑" w:hAnsi="微软雅黑" w:eastAsia="微软雅黑" w:cs="微软雅黑"/>
          <w:bCs/>
          <w:color w:val="auto"/>
          <w:sz w:val="44"/>
          <w:szCs w:val="44"/>
          <w:highlight w:val="none"/>
        </w:rPr>
        <w:t>价  文  件（封面）</w:t>
      </w:r>
    </w:p>
    <w:p w14:paraId="25BF28C1">
      <w:pPr>
        <w:snapToGrid w:val="0"/>
        <w:spacing w:before="120" w:beforeLines="50" w:after="50"/>
        <w:rPr>
          <w:rFonts w:hint="eastAsia" w:ascii="宋体" w:hAnsi="宋体"/>
          <w:bCs/>
          <w:color w:val="auto"/>
          <w:sz w:val="24"/>
          <w:szCs w:val="20"/>
          <w:highlight w:val="none"/>
        </w:rPr>
      </w:pPr>
    </w:p>
    <w:p w14:paraId="69F26A2C">
      <w:pPr>
        <w:snapToGrid w:val="0"/>
        <w:spacing w:before="120" w:beforeLines="50" w:after="50"/>
        <w:rPr>
          <w:rFonts w:hint="eastAsia" w:ascii="宋体" w:hAnsi="宋体"/>
          <w:bCs/>
          <w:color w:val="auto"/>
          <w:sz w:val="24"/>
          <w:szCs w:val="20"/>
          <w:highlight w:val="none"/>
        </w:rPr>
      </w:pPr>
    </w:p>
    <w:p w14:paraId="11C708CA">
      <w:pPr>
        <w:snapToGrid w:val="0"/>
        <w:spacing w:before="120" w:beforeLines="50" w:after="50"/>
        <w:rPr>
          <w:rFonts w:hint="eastAsia" w:ascii="宋体" w:hAnsi="宋体"/>
          <w:bCs/>
          <w:color w:val="auto"/>
          <w:sz w:val="24"/>
          <w:szCs w:val="20"/>
          <w:highlight w:val="none"/>
        </w:rPr>
      </w:pPr>
    </w:p>
    <w:p w14:paraId="0A9457D3">
      <w:pPr>
        <w:snapToGrid w:val="0"/>
        <w:spacing w:before="120" w:beforeLines="50" w:after="50"/>
        <w:rPr>
          <w:rFonts w:hint="eastAsia" w:ascii="宋体" w:hAnsi="宋体"/>
          <w:bCs/>
          <w:color w:val="auto"/>
          <w:sz w:val="24"/>
          <w:szCs w:val="20"/>
          <w:highlight w:val="none"/>
        </w:rPr>
      </w:pPr>
    </w:p>
    <w:p w14:paraId="7E2518A1">
      <w:pPr>
        <w:snapToGrid w:val="0"/>
        <w:spacing w:before="120" w:beforeLines="50" w:after="50"/>
        <w:rPr>
          <w:rFonts w:hint="eastAsia" w:ascii="宋体" w:hAnsi="宋体"/>
          <w:bCs/>
          <w:color w:val="auto"/>
          <w:sz w:val="24"/>
          <w:szCs w:val="20"/>
          <w:highlight w:val="none"/>
        </w:rPr>
      </w:pPr>
    </w:p>
    <w:p w14:paraId="21CC91BA">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2026年南宁市武鸣区基层就业服务网点（就业服务站）项目</w:t>
      </w:r>
    </w:p>
    <w:p w14:paraId="511C62B6">
      <w:pPr>
        <w:snapToGrid w:val="0"/>
        <w:spacing w:before="120" w:beforeLines="50" w:after="50"/>
        <w:ind w:firstLine="720" w:firstLineChars="225"/>
        <w:rPr>
          <w:rFonts w:hint="eastAsia" w:ascii="宋体" w:hAnsi="宋体" w:cs="仿宋_GB2312"/>
          <w:bCs/>
          <w:color w:val="auto"/>
          <w:sz w:val="32"/>
          <w:szCs w:val="32"/>
          <w:highlight w:val="none"/>
        </w:rPr>
      </w:pPr>
    </w:p>
    <w:p w14:paraId="42DF4284">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NNZC2026-C3-100081-GXXZ</w:t>
      </w:r>
    </w:p>
    <w:p w14:paraId="6F2FDD8E">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CA10491">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162C1E7A">
      <w:pPr>
        <w:snapToGrid w:val="0"/>
        <w:spacing w:before="120" w:beforeLines="50" w:after="50"/>
        <w:ind w:firstLine="720" w:firstLineChars="225"/>
        <w:rPr>
          <w:rFonts w:hint="eastAsia" w:ascii="宋体" w:hAnsi="宋体" w:cs="仿宋_GB2312"/>
          <w:bCs/>
          <w:color w:val="auto"/>
          <w:sz w:val="32"/>
          <w:szCs w:val="32"/>
          <w:highlight w:val="none"/>
        </w:rPr>
      </w:pPr>
    </w:p>
    <w:p w14:paraId="330CD852">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37A2996">
      <w:pPr>
        <w:pStyle w:val="7"/>
        <w:snapToGrid w:val="0"/>
        <w:spacing w:before="50" w:after="50"/>
        <w:ind w:firstLine="720" w:firstLineChars="225"/>
        <w:rPr>
          <w:rFonts w:hint="eastAsia" w:ascii="宋体" w:hAnsi="宋体" w:cs="仿宋_GB2312"/>
          <w:bCs/>
          <w:color w:val="auto"/>
          <w:sz w:val="32"/>
          <w:szCs w:val="32"/>
          <w:highlight w:val="none"/>
        </w:rPr>
      </w:pPr>
    </w:p>
    <w:p w14:paraId="65CF97BB">
      <w:pPr>
        <w:pStyle w:val="7"/>
        <w:snapToGrid w:val="0"/>
        <w:spacing w:before="50" w:after="50"/>
        <w:ind w:firstLine="720" w:firstLineChars="225"/>
        <w:rPr>
          <w:rFonts w:hint="eastAsia" w:ascii="宋体" w:hAnsi="宋体" w:cs="仿宋_GB2312"/>
          <w:bCs/>
          <w:color w:val="auto"/>
          <w:sz w:val="32"/>
          <w:szCs w:val="32"/>
          <w:highlight w:val="none"/>
        </w:rPr>
      </w:pPr>
    </w:p>
    <w:p w14:paraId="78871715">
      <w:pPr>
        <w:pStyle w:val="7"/>
        <w:snapToGrid w:val="0"/>
        <w:spacing w:before="50" w:after="50"/>
        <w:ind w:firstLine="1280" w:firstLineChars="400"/>
        <w:rPr>
          <w:rFonts w:hint="eastAsia" w:ascii="宋体" w:hAnsi="宋体" w:cs="仿宋_GB2312"/>
          <w:bCs/>
          <w:color w:val="auto"/>
          <w:sz w:val="32"/>
          <w:szCs w:val="32"/>
          <w:highlight w:val="none"/>
        </w:rPr>
      </w:pPr>
    </w:p>
    <w:p w14:paraId="438691B0">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97EED5F">
      <w:pPr>
        <w:rPr>
          <w:rFonts w:hint="eastAsia" w:ascii="宋体" w:hAnsi="宋体"/>
          <w:b/>
          <w:bCs/>
          <w:color w:val="auto"/>
          <w:sz w:val="32"/>
          <w:szCs w:val="32"/>
          <w:highlight w:val="none"/>
        </w:rPr>
      </w:pPr>
      <w:r>
        <w:rPr>
          <w:rFonts w:ascii="宋体" w:hAnsi="宋体"/>
          <w:color w:val="auto"/>
          <w:sz w:val="24"/>
          <w:highlight w:val="none"/>
        </w:rPr>
        <w:br w:type="page"/>
      </w:r>
    </w:p>
    <w:p w14:paraId="17C50DEA">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报价文件目录</w:t>
      </w:r>
    </w:p>
    <w:p w14:paraId="5DAC58A0">
      <w:pPr>
        <w:snapToGrid w:val="0"/>
        <w:spacing w:before="120" w:beforeLines="50" w:after="50" w:line="400" w:lineRule="exact"/>
        <w:jc w:val="center"/>
        <w:rPr>
          <w:rFonts w:hint="eastAsia" w:ascii="宋体" w:hAnsi="宋体"/>
          <w:b/>
          <w:bCs/>
          <w:color w:val="auto"/>
          <w:sz w:val="32"/>
          <w:szCs w:val="32"/>
          <w:highlight w:val="none"/>
        </w:rPr>
      </w:pPr>
    </w:p>
    <w:p w14:paraId="1E703875">
      <w:pPr>
        <w:rPr>
          <w:rFonts w:hint="eastAsia" w:ascii="宋体" w:hAnsi="宋体" w:cs="宋体"/>
          <w:color w:val="auto"/>
          <w:highlight w:val="none"/>
        </w:rPr>
      </w:pPr>
    </w:p>
    <w:p w14:paraId="0A25AD26">
      <w:pPr>
        <w:spacing w:line="480" w:lineRule="auto"/>
        <w:rPr>
          <w:rFonts w:hint="eastAsia" w:ascii="仿宋_GB2312" w:hAnsi="仿宋" w:eastAsia="仿宋_GB2312" w:cs="仿宋_GB2312"/>
          <w:b w:val="0"/>
          <w:bCs w:val="0"/>
          <w:color w:val="auto"/>
          <w:kern w:val="0"/>
          <w:sz w:val="28"/>
          <w:szCs w:val="28"/>
          <w:highlight w:val="none"/>
        </w:rPr>
      </w:pPr>
      <w:r>
        <w:rPr>
          <w:rFonts w:hint="eastAsia" w:ascii="仿宋_GB2312" w:hAnsi="仿宋" w:eastAsia="仿宋_GB2312" w:cs="仿宋_GB2312"/>
          <w:b w:val="0"/>
          <w:bCs w:val="0"/>
          <w:color w:val="auto"/>
          <w:kern w:val="0"/>
          <w:sz w:val="28"/>
          <w:szCs w:val="28"/>
          <w:highlight w:val="none"/>
        </w:rPr>
        <w:t>一、响应函………………………………………………………（页码）</w:t>
      </w:r>
    </w:p>
    <w:p w14:paraId="45AF229A">
      <w:pPr>
        <w:spacing w:line="480" w:lineRule="auto"/>
        <w:rPr>
          <w:rFonts w:hint="eastAsia" w:ascii="仿宋_GB2312" w:hAnsi="仿宋" w:eastAsia="仿宋_GB2312" w:cs="仿宋_GB2312"/>
          <w:b w:val="0"/>
          <w:bCs w:val="0"/>
          <w:color w:val="auto"/>
          <w:kern w:val="0"/>
          <w:sz w:val="28"/>
          <w:szCs w:val="28"/>
          <w:highlight w:val="none"/>
        </w:rPr>
      </w:pPr>
      <w:r>
        <w:rPr>
          <w:rFonts w:hint="eastAsia" w:ascii="仿宋_GB2312" w:hAnsi="仿宋" w:eastAsia="仿宋_GB2312" w:cs="仿宋_GB2312"/>
          <w:b w:val="0"/>
          <w:bCs w:val="0"/>
          <w:color w:val="auto"/>
          <w:kern w:val="0"/>
          <w:sz w:val="28"/>
          <w:szCs w:val="28"/>
          <w:highlight w:val="none"/>
        </w:rPr>
        <w:t>二、响应报价表…………………………………………………（页码）</w:t>
      </w:r>
    </w:p>
    <w:p w14:paraId="609E9F21">
      <w:pPr>
        <w:snapToGrid w:val="0"/>
        <w:spacing w:before="120" w:beforeLines="50" w:after="50" w:line="360" w:lineRule="auto"/>
        <w:ind w:left="142" w:firstLine="480" w:firstLineChars="200"/>
        <w:jc w:val="left"/>
        <w:rPr>
          <w:rFonts w:hAnsi="宋体" w:cs="仿宋_GB2312"/>
          <w:color w:val="auto"/>
          <w:sz w:val="24"/>
          <w:highlight w:val="none"/>
        </w:rPr>
      </w:pPr>
      <w:r>
        <w:rPr>
          <w:rFonts w:hAnsi="宋体" w:cs="仿宋_GB2312"/>
          <w:color w:val="auto"/>
          <w:sz w:val="24"/>
          <w:highlight w:val="none"/>
        </w:rPr>
        <w:br w:type="page"/>
      </w:r>
      <w:r>
        <w:rPr>
          <w:rFonts w:hint="eastAsia" w:hAnsi="宋体"/>
          <w:b/>
          <w:bCs/>
          <w:color w:val="auto"/>
          <w:sz w:val="32"/>
          <w:szCs w:val="32"/>
          <w:highlight w:val="none"/>
        </w:rPr>
        <w:t>一、响应函</w:t>
      </w:r>
    </w:p>
    <w:p w14:paraId="75D9F764">
      <w:pPr>
        <w:pStyle w:val="17"/>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响应函</w:t>
      </w:r>
    </w:p>
    <w:p w14:paraId="08D95F21">
      <w:pPr>
        <w:pStyle w:val="17"/>
        <w:spacing w:line="360" w:lineRule="auto"/>
        <w:rPr>
          <w:rFonts w:hint="eastAsia" w:ascii="Times New Roman" w:hAnsi="Times New Roman"/>
          <w:color w:val="auto"/>
          <w:szCs w:val="20"/>
          <w:highlight w:val="none"/>
        </w:rPr>
      </w:pPr>
    </w:p>
    <w:p w14:paraId="28A981D3">
      <w:pPr>
        <w:pStyle w:val="17"/>
        <w:spacing w:line="360" w:lineRule="auto"/>
        <w:rPr>
          <w:rFonts w:ascii="Times New Roman" w:hAnsi="Times New Roman"/>
          <w:color w:val="auto"/>
          <w:sz w:val="21"/>
          <w:szCs w:val="21"/>
          <w:highlight w:val="none"/>
        </w:rPr>
      </w:pPr>
      <w:r>
        <w:rPr>
          <w:rFonts w:hint="eastAsia" w:ascii="Times New Roman" w:hAnsi="Times New Roman"/>
          <w:color w:val="auto"/>
          <w:sz w:val="21"/>
          <w:szCs w:val="21"/>
          <w:highlight w:val="none"/>
        </w:rPr>
        <w:t>致：</w:t>
      </w:r>
      <w:r>
        <w:rPr>
          <w:rFonts w:ascii="Times New Roman" w:hAnsi="Times New Roman"/>
          <w:color w:val="auto"/>
          <w:sz w:val="21"/>
          <w:szCs w:val="21"/>
          <w:highlight w:val="none"/>
          <w:u w:val="single"/>
        </w:rPr>
        <w:t xml:space="preserve"> </w:t>
      </w:r>
      <w:r>
        <w:rPr>
          <w:rFonts w:hint="eastAsia" w:ascii="Times New Roman" w:hAnsi="Times New Roman"/>
          <w:color w:val="auto"/>
          <w:sz w:val="21"/>
          <w:szCs w:val="21"/>
          <w:highlight w:val="none"/>
          <w:u w:val="single"/>
          <w:lang w:eastAsia="zh-CN"/>
        </w:rPr>
        <w:t>广西翔正项目管理有限公司</w:t>
      </w:r>
      <w:r>
        <w:rPr>
          <w:rFonts w:ascii="Times New Roman" w:hAnsi="Times New Roman"/>
          <w:color w:val="auto"/>
          <w:sz w:val="21"/>
          <w:szCs w:val="21"/>
          <w:highlight w:val="none"/>
          <w:u w:val="single"/>
        </w:rPr>
        <w:t xml:space="preserve"> </w:t>
      </w:r>
    </w:p>
    <w:p w14:paraId="2B486692">
      <w:pPr>
        <w:pStyle w:val="17"/>
        <w:spacing w:line="360" w:lineRule="auto"/>
        <w:ind w:firstLine="420" w:firstLineChars="200"/>
        <w:rPr>
          <w:rFonts w:ascii="Times New Roman" w:hAnsi="Times New Roman"/>
          <w:color w:val="auto"/>
          <w:sz w:val="21"/>
          <w:szCs w:val="21"/>
          <w:highlight w:val="none"/>
        </w:rPr>
      </w:pPr>
      <w:r>
        <w:rPr>
          <w:rFonts w:hint="eastAsia"/>
          <w:color w:val="auto"/>
          <w:sz w:val="21"/>
          <w:szCs w:val="21"/>
          <w:highlight w:val="none"/>
        </w:rPr>
        <w:t>我方已仔细阅读了贵方组织的</w:t>
      </w:r>
      <w:r>
        <w:rPr>
          <w:rFonts w:hint="eastAsia"/>
          <w:color w:val="auto"/>
          <w:sz w:val="21"/>
          <w:szCs w:val="21"/>
          <w:highlight w:val="none"/>
          <w:u w:val="single"/>
        </w:rPr>
        <w:t xml:space="preserve"> </w:t>
      </w:r>
      <w:r>
        <w:rPr>
          <w:rFonts w:hint="eastAsia"/>
          <w:color w:val="auto"/>
          <w:sz w:val="21"/>
          <w:szCs w:val="21"/>
          <w:highlight w:val="none"/>
          <w:u w:val="single"/>
          <w:lang w:eastAsia="zh-CN"/>
        </w:rPr>
        <w:t>2026年南宁市武鸣区基层就业服务网点（就业服务站）项目</w:t>
      </w:r>
      <w:r>
        <w:rPr>
          <w:rFonts w:hint="eastAsia"/>
          <w:color w:val="auto"/>
          <w:sz w:val="21"/>
          <w:szCs w:val="21"/>
          <w:highlight w:val="none"/>
          <w:u w:val="single"/>
        </w:rPr>
        <w:t xml:space="preserve">  </w:t>
      </w:r>
      <w:r>
        <w:rPr>
          <w:rFonts w:hint="eastAsia"/>
          <w:color w:val="auto"/>
          <w:sz w:val="21"/>
          <w:szCs w:val="21"/>
          <w:highlight w:val="none"/>
        </w:rPr>
        <w:t>（项目编号：</w:t>
      </w:r>
      <w:r>
        <w:rPr>
          <w:rFonts w:hint="eastAsia" w:hAnsi="宋体"/>
          <w:color w:val="auto"/>
          <w:sz w:val="21"/>
          <w:szCs w:val="21"/>
          <w:highlight w:val="none"/>
          <w:u w:val="single"/>
        </w:rPr>
        <w:t xml:space="preserve">  </w:t>
      </w:r>
      <w:r>
        <w:rPr>
          <w:rFonts w:hint="eastAsia" w:hAnsi="宋体"/>
          <w:color w:val="auto"/>
          <w:sz w:val="21"/>
          <w:szCs w:val="21"/>
          <w:highlight w:val="none"/>
          <w:u w:val="single"/>
          <w:lang w:eastAsia="zh-CN"/>
        </w:rPr>
        <w:t>NNZC2026-C3-100081-GXXZ</w:t>
      </w:r>
      <w:r>
        <w:rPr>
          <w:rFonts w:hint="eastAsia" w:hAnsi="宋体"/>
          <w:color w:val="auto"/>
          <w:sz w:val="21"/>
          <w:szCs w:val="21"/>
          <w:highlight w:val="none"/>
          <w:u w:val="single"/>
        </w:rPr>
        <w:t xml:space="preserve"> </w:t>
      </w:r>
      <w:r>
        <w:rPr>
          <w:rFonts w:hint="eastAsia"/>
          <w:color w:val="auto"/>
          <w:sz w:val="21"/>
          <w:szCs w:val="21"/>
          <w:highlight w:val="none"/>
        </w:rPr>
        <w:t xml:space="preserve">）的竞争性磋商采购文件的全部内容，现正式递交下述文件参加贵方组织的本次政府采购活动： </w:t>
      </w:r>
    </w:p>
    <w:p w14:paraId="52A62D86">
      <w:pPr>
        <w:pStyle w:val="17"/>
        <w:spacing w:line="360" w:lineRule="auto"/>
        <w:ind w:firstLine="420" w:firstLineChars="200"/>
        <w:rPr>
          <w:rFonts w:ascii="Times New Roman" w:hAnsi="Times New Roman"/>
          <w:color w:val="auto"/>
          <w:sz w:val="21"/>
          <w:szCs w:val="21"/>
          <w:highlight w:val="none"/>
        </w:rPr>
      </w:pPr>
      <w:r>
        <w:rPr>
          <w:rFonts w:hint="eastAsia"/>
          <w:color w:val="auto"/>
          <w:sz w:val="21"/>
          <w:szCs w:val="21"/>
          <w:highlight w:val="none"/>
        </w:rPr>
        <w:t>一、首次报价文件电子版</w:t>
      </w:r>
      <w:r>
        <w:rPr>
          <w:rFonts w:hint="eastAsia"/>
          <w:color w:val="auto"/>
          <w:sz w:val="21"/>
          <w:szCs w:val="21"/>
          <w:highlight w:val="none"/>
          <w:u w:val="single"/>
        </w:rPr>
        <w:t xml:space="preserve">   </w:t>
      </w:r>
      <w:r>
        <w:rPr>
          <w:rFonts w:hint="eastAsia"/>
          <w:color w:val="auto"/>
          <w:sz w:val="21"/>
          <w:szCs w:val="21"/>
          <w:highlight w:val="none"/>
        </w:rPr>
        <w:t>份（包含按“第三章 供应商须知”提交的全部文件）；</w:t>
      </w:r>
    </w:p>
    <w:p w14:paraId="5DA1463C">
      <w:pPr>
        <w:pStyle w:val="17"/>
        <w:spacing w:line="360" w:lineRule="auto"/>
        <w:ind w:firstLine="420" w:firstLineChars="200"/>
        <w:rPr>
          <w:rFonts w:hint="eastAsia"/>
          <w:color w:val="auto"/>
          <w:sz w:val="21"/>
          <w:szCs w:val="21"/>
          <w:highlight w:val="none"/>
          <w:lang w:eastAsia="zh-CN"/>
        </w:rPr>
      </w:pPr>
      <w:r>
        <w:rPr>
          <w:rFonts w:hint="eastAsia"/>
          <w:color w:val="auto"/>
          <w:sz w:val="21"/>
          <w:szCs w:val="21"/>
          <w:highlight w:val="none"/>
        </w:rPr>
        <w:t>二、</w:t>
      </w:r>
      <w:r>
        <w:rPr>
          <w:rFonts w:hint="eastAsia" w:hAnsi="宋体"/>
          <w:color w:val="auto"/>
          <w:sz w:val="21"/>
          <w:szCs w:val="21"/>
          <w:highlight w:val="none"/>
        </w:rPr>
        <w:t>技术</w:t>
      </w:r>
      <w:r>
        <w:rPr>
          <w:rFonts w:hint="eastAsia"/>
          <w:color w:val="auto"/>
          <w:sz w:val="21"/>
          <w:szCs w:val="21"/>
          <w:highlight w:val="none"/>
        </w:rPr>
        <w:t>文件电子版</w:t>
      </w:r>
      <w:r>
        <w:rPr>
          <w:rFonts w:hint="eastAsia"/>
          <w:color w:val="auto"/>
          <w:sz w:val="21"/>
          <w:szCs w:val="21"/>
          <w:highlight w:val="none"/>
          <w:u w:val="single"/>
        </w:rPr>
        <w:t xml:space="preserve">   </w:t>
      </w:r>
      <w:r>
        <w:rPr>
          <w:rFonts w:hint="eastAsia"/>
          <w:color w:val="auto"/>
          <w:sz w:val="21"/>
          <w:szCs w:val="21"/>
          <w:highlight w:val="none"/>
        </w:rPr>
        <w:t>份（包含按“第三章 供应商须知”提交的全部文件）；商务</w:t>
      </w:r>
      <w:r>
        <w:rPr>
          <w:rFonts w:hint="eastAsia" w:hAnsi="宋体"/>
          <w:color w:val="auto"/>
          <w:sz w:val="21"/>
          <w:szCs w:val="21"/>
          <w:highlight w:val="none"/>
        </w:rPr>
        <w:t>文件</w:t>
      </w:r>
      <w:r>
        <w:rPr>
          <w:rFonts w:hint="eastAsia"/>
          <w:color w:val="auto"/>
          <w:sz w:val="21"/>
          <w:szCs w:val="21"/>
          <w:highlight w:val="none"/>
        </w:rPr>
        <w:t>电子版</w:t>
      </w:r>
      <w:r>
        <w:rPr>
          <w:rFonts w:hint="eastAsia"/>
          <w:color w:val="auto"/>
          <w:sz w:val="21"/>
          <w:szCs w:val="21"/>
          <w:highlight w:val="none"/>
          <w:u w:val="single"/>
        </w:rPr>
        <w:t xml:space="preserve">   </w:t>
      </w:r>
      <w:r>
        <w:rPr>
          <w:rFonts w:hint="eastAsia"/>
          <w:color w:val="auto"/>
          <w:sz w:val="21"/>
          <w:szCs w:val="21"/>
          <w:highlight w:val="none"/>
        </w:rPr>
        <w:t>份（包含按“第三章 供应商须知”提交的全部文件）；（商务技术文件已合并装订成册）</w:t>
      </w:r>
      <w:r>
        <w:rPr>
          <w:rFonts w:hint="eastAsia"/>
          <w:color w:val="auto"/>
          <w:sz w:val="21"/>
          <w:szCs w:val="21"/>
          <w:highlight w:val="none"/>
          <w:lang w:eastAsia="zh-CN"/>
        </w:rPr>
        <w:t>；</w:t>
      </w:r>
    </w:p>
    <w:p w14:paraId="6E3EBB3B">
      <w:pPr>
        <w:pStyle w:val="17"/>
        <w:spacing w:line="360" w:lineRule="auto"/>
        <w:ind w:firstLine="420" w:firstLineChars="200"/>
        <w:rPr>
          <w:rFonts w:hint="eastAsia"/>
          <w:color w:val="auto"/>
          <w:sz w:val="21"/>
          <w:szCs w:val="21"/>
          <w:highlight w:val="none"/>
          <w:lang w:eastAsia="zh-CN"/>
        </w:rPr>
      </w:pPr>
      <w:r>
        <w:rPr>
          <w:rFonts w:hint="eastAsia"/>
          <w:color w:val="auto"/>
          <w:sz w:val="21"/>
          <w:szCs w:val="21"/>
          <w:highlight w:val="none"/>
          <w:lang w:eastAsia="zh-CN"/>
        </w:rPr>
        <w:t>三、资格证明文件电子版（包含按“第三章供应商须知”提交的全部文件）；</w:t>
      </w:r>
    </w:p>
    <w:p w14:paraId="0B3A79DB">
      <w:pPr>
        <w:pStyle w:val="17"/>
        <w:spacing w:line="360" w:lineRule="auto"/>
        <w:ind w:firstLine="420" w:firstLineChars="200"/>
        <w:rPr>
          <w:rFonts w:ascii="Times New Roman" w:hAnsi="Times New Roman"/>
          <w:color w:val="auto"/>
          <w:sz w:val="21"/>
          <w:szCs w:val="21"/>
          <w:highlight w:val="none"/>
        </w:rPr>
      </w:pPr>
      <w:r>
        <w:rPr>
          <w:rFonts w:hint="eastAsia"/>
          <w:color w:val="auto"/>
          <w:sz w:val="21"/>
          <w:szCs w:val="21"/>
          <w:highlight w:val="none"/>
        </w:rPr>
        <w:t>据此函，签字人兹宣布：</w:t>
      </w:r>
    </w:p>
    <w:p w14:paraId="3B34BDEC">
      <w:pPr>
        <w:pStyle w:val="17"/>
        <w:spacing w:line="360" w:lineRule="auto"/>
        <w:ind w:firstLine="482"/>
        <w:rPr>
          <w:rFonts w:ascii="Times New Roman" w:hAnsi="Times New Roman"/>
          <w:color w:val="auto"/>
          <w:sz w:val="21"/>
          <w:szCs w:val="21"/>
          <w:highlight w:val="none"/>
        </w:rPr>
      </w:pPr>
      <w:r>
        <w:rPr>
          <w:rFonts w:hint="eastAsia"/>
          <w:color w:val="auto"/>
          <w:sz w:val="21"/>
          <w:szCs w:val="21"/>
          <w:highlight w:val="none"/>
        </w:rPr>
        <w:t>1、我方愿意以（大写）人民币</w:t>
      </w:r>
      <w:r>
        <w:rPr>
          <w:rFonts w:hint="eastAsia"/>
          <w:color w:val="auto"/>
          <w:sz w:val="21"/>
          <w:szCs w:val="21"/>
          <w:highlight w:val="none"/>
          <w:u w:val="single"/>
        </w:rPr>
        <w:t xml:space="preserve">              </w:t>
      </w:r>
      <w:r>
        <w:rPr>
          <w:rFonts w:hint="eastAsia"/>
          <w:color w:val="auto"/>
          <w:sz w:val="21"/>
          <w:szCs w:val="21"/>
          <w:highlight w:val="none"/>
        </w:rPr>
        <w:t>（￥</w:t>
      </w:r>
      <w:r>
        <w:rPr>
          <w:rFonts w:hint="eastAsia"/>
          <w:color w:val="auto"/>
          <w:sz w:val="21"/>
          <w:szCs w:val="21"/>
          <w:highlight w:val="none"/>
          <w:u w:val="single"/>
        </w:rPr>
        <w:t xml:space="preserve">          </w:t>
      </w:r>
      <w:r>
        <w:rPr>
          <w:rFonts w:hint="eastAsia"/>
          <w:color w:val="auto"/>
          <w:sz w:val="21"/>
          <w:szCs w:val="21"/>
          <w:highlight w:val="none"/>
        </w:rPr>
        <w:t>元)的竞标总报价，</w:t>
      </w:r>
      <w:r>
        <w:rPr>
          <w:rFonts w:hint="eastAsia"/>
          <w:color w:val="auto"/>
          <w:sz w:val="21"/>
          <w:szCs w:val="21"/>
          <w:highlight w:val="none"/>
          <w:lang w:eastAsia="zh-CN"/>
        </w:rPr>
        <w:t>服务期限</w:t>
      </w:r>
      <w:r>
        <w:rPr>
          <w:rFonts w:hint="eastAsia"/>
          <w:color w:val="auto"/>
          <w:sz w:val="21"/>
          <w:szCs w:val="21"/>
          <w:highlight w:val="none"/>
        </w:rPr>
        <w:t>（无分标时填写）：</w:t>
      </w:r>
      <w:r>
        <w:rPr>
          <w:rFonts w:hint="eastAsia"/>
          <w:color w:val="auto"/>
          <w:sz w:val="21"/>
          <w:szCs w:val="21"/>
          <w:highlight w:val="none"/>
          <w:u w:val="single"/>
        </w:rPr>
        <w:t xml:space="preserve">            </w:t>
      </w:r>
      <w:r>
        <w:rPr>
          <w:rFonts w:hint="eastAsia"/>
          <w:color w:val="auto"/>
          <w:sz w:val="21"/>
          <w:szCs w:val="21"/>
          <w:highlight w:val="none"/>
        </w:rPr>
        <w:t>，提供本项目竞争性磋商采购文件第二章“服务需求一览表”中相应的采购内容。</w:t>
      </w:r>
    </w:p>
    <w:p w14:paraId="1ACC3654">
      <w:pPr>
        <w:pStyle w:val="17"/>
        <w:spacing w:line="360" w:lineRule="auto"/>
        <w:ind w:firstLine="482"/>
        <w:rPr>
          <w:color w:val="auto"/>
          <w:sz w:val="21"/>
          <w:szCs w:val="21"/>
          <w:highlight w:val="none"/>
        </w:rPr>
      </w:pPr>
      <w:r>
        <w:rPr>
          <w:rFonts w:hint="eastAsia"/>
          <w:color w:val="auto"/>
          <w:sz w:val="21"/>
          <w:szCs w:val="21"/>
          <w:highlight w:val="none"/>
        </w:rPr>
        <w:t>2、我方同意自本项目竞争性磋商采购文件采购公告规定的递交响应文件截止时间起遵循</w:t>
      </w:r>
      <w:r>
        <w:rPr>
          <w:rFonts w:hint="eastAsia" w:hAnsi="宋体"/>
          <w:color w:val="auto"/>
          <w:sz w:val="21"/>
          <w:szCs w:val="21"/>
          <w:highlight w:val="none"/>
        </w:rPr>
        <w:t>本响应函</w:t>
      </w:r>
      <w:r>
        <w:rPr>
          <w:rFonts w:hint="eastAsia"/>
          <w:color w:val="auto"/>
          <w:sz w:val="21"/>
          <w:szCs w:val="21"/>
          <w:highlight w:val="none"/>
        </w:rPr>
        <w:t>，并承诺在“第三章 供应商须知”规定的响应有效期内不修改、撤销响应文件。</w:t>
      </w:r>
    </w:p>
    <w:p w14:paraId="39D662E5">
      <w:pPr>
        <w:pStyle w:val="17"/>
        <w:spacing w:line="360" w:lineRule="auto"/>
        <w:ind w:firstLine="482"/>
        <w:rPr>
          <w:rFonts w:hint="eastAsia"/>
          <w:color w:val="auto"/>
          <w:sz w:val="21"/>
          <w:szCs w:val="21"/>
          <w:highlight w:val="none"/>
        </w:rPr>
      </w:pPr>
      <w:r>
        <w:rPr>
          <w:rFonts w:hint="eastAsia"/>
          <w:color w:val="auto"/>
          <w:sz w:val="21"/>
          <w:szCs w:val="21"/>
          <w:highlight w:val="none"/>
        </w:rPr>
        <w:t>3、我方在此声明，所递交的响应文件及有关资料内容完整、真实和准确。</w:t>
      </w:r>
    </w:p>
    <w:p w14:paraId="709F4665">
      <w:pPr>
        <w:pStyle w:val="17"/>
        <w:spacing w:line="360" w:lineRule="auto"/>
        <w:ind w:firstLine="482"/>
        <w:rPr>
          <w:rFonts w:hint="eastAsia"/>
          <w:color w:val="auto"/>
          <w:sz w:val="21"/>
          <w:szCs w:val="21"/>
          <w:highlight w:val="none"/>
        </w:rPr>
      </w:pPr>
      <w:r>
        <w:rPr>
          <w:rFonts w:hint="eastAsia"/>
          <w:color w:val="auto"/>
          <w:sz w:val="21"/>
          <w:szCs w:val="21"/>
          <w:highlight w:val="none"/>
        </w:rPr>
        <w:t>4、如本项目采购内容涉及须符合国家强制规定的，我方承诺我方本次竞标均符合国家有关强制规定。</w:t>
      </w:r>
    </w:p>
    <w:p w14:paraId="550575C9">
      <w:pPr>
        <w:pStyle w:val="17"/>
        <w:spacing w:line="360" w:lineRule="auto"/>
        <w:ind w:firstLine="482"/>
        <w:rPr>
          <w:rFonts w:hint="eastAsia"/>
          <w:color w:val="auto"/>
          <w:sz w:val="21"/>
          <w:szCs w:val="21"/>
          <w:highlight w:val="none"/>
        </w:rPr>
      </w:pPr>
      <w:r>
        <w:rPr>
          <w:rFonts w:hint="eastAsia"/>
          <w:color w:val="auto"/>
          <w:sz w:val="21"/>
          <w:szCs w:val="21"/>
          <w:highlight w:val="none"/>
        </w:rPr>
        <w:t>5、如我方成交，我方承诺在收到成交通知书后，在成交通知书规定的期限内，</w:t>
      </w:r>
      <w:r>
        <w:rPr>
          <w:rFonts w:hint="eastAsia" w:hAnsi="宋体"/>
          <w:color w:val="auto"/>
          <w:sz w:val="21"/>
          <w:szCs w:val="21"/>
          <w:highlight w:val="none"/>
        </w:rPr>
        <w:t>根据竞争性磋商采购文件、我方的响应文件及有关澄清承诺书的要求按第六章“合同文本”与采购人订立书面合同，并按照合同约定</w:t>
      </w:r>
      <w:r>
        <w:rPr>
          <w:rFonts w:hint="eastAsia"/>
          <w:color w:val="auto"/>
          <w:sz w:val="21"/>
          <w:szCs w:val="21"/>
          <w:highlight w:val="none"/>
        </w:rPr>
        <w:t>承担完成合同的责任和义务。</w:t>
      </w:r>
    </w:p>
    <w:p w14:paraId="59E940A5">
      <w:pPr>
        <w:pStyle w:val="17"/>
        <w:spacing w:line="360" w:lineRule="auto"/>
        <w:ind w:firstLine="482"/>
        <w:rPr>
          <w:rFonts w:hint="eastAsia"/>
          <w:color w:val="auto"/>
          <w:sz w:val="21"/>
          <w:szCs w:val="21"/>
          <w:highlight w:val="none"/>
        </w:rPr>
      </w:pPr>
      <w:r>
        <w:rPr>
          <w:rFonts w:hint="eastAsia"/>
          <w:color w:val="auto"/>
          <w:sz w:val="21"/>
          <w:szCs w:val="21"/>
          <w:highlight w:val="none"/>
        </w:rPr>
        <w:t>6、我方已详细审核竞争性磋商采购文件，我方知道必须放弃提出含糊不清或误解问题的权利。</w:t>
      </w:r>
    </w:p>
    <w:p w14:paraId="7705BD06">
      <w:pPr>
        <w:pStyle w:val="17"/>
        <w:spacing w:line="360" w:lineRule="auto"/>
        <w:ind w:firstLine="482"/>
        <w:rPr>
          <w:rFonts w:hint="eastAsia"/>
          <w:color w:val="auto"/>
          <w:sz w:val="21"/>
          <w:szCs w:val="21"/>
          <w:highlight w:val="none"/>
        </w:rPr>
      </w:pPr>
      <w:r>
        <w:rPr>
          <w:rFonts w:hint="eastAsia"/>
          <w:color w:val="auto"/>
          <w:sz w:val="21"/>
          <w:szCs w:val="21"/>
          <w:highlight w:val="none"/>
        </w:rPr>
        <w:t>7、我方承诺满足竞争性磋商采购文件</w:t>
      </w:r>
      <w:r>
        <w:rPr>
          <w:rFonts w:hint="eastAsia" w:hAnsi="宋体"/>
          <w:color w:val="auto"/>
          <w:sz w:val="21"/>
          <w:szCs w:val="21"/>
          <w:highlight w:val="none"/>
        </w:rPr>
        <w:t>第六章“合同文本”</w:t>
      </w:r>
      <w:r>
        <w:rPr>
          <w:rFonts w:hint="eastAsia"/>
          <w:color w:val="auto"/>
          <w:sz w:val="21"/>
          <w:szCs w:val="21"/>
          <w:highlight w:val="none"/>
        </w:rPr>
        <w:t>的条款，承担完成合同的责任和义务。</w:t>
      </w:r>
    </w:p>
    <w:p w14:paraId="4D3F28A0">
      <w:pPr>
        <w:pStyle w:val="17"/>
        <w:spacing w:line="360" w:lineRule="auto"/>
        <w:ind w:firstLine="482"/>
        <w:rPr>
          <w:rFonts w:hint="eastAsia"/>
          <w:color w:val="auto"/>
          <w:sz w:val="21"/>
          <w:szCs w:val="21"/>
          <w:highlight w:val="none"/>
        </w:rPr>
      </w:pPr>
      <w:r>
        <w:rPr>
          <w:rFonts w:hint="eastAsia"/>
          <w:color w:val="auto"/>
          <w:sz w:val="21"/>
          <w:szCs w:val="21"/>
          <w:highlight w:val="none"/>
        </w:rPr>
        <w:t>8、我方同意应贵方要求提供与本竞标有关的任何数据或资料。若贵方需要，我方愿意提供我方</w:t>
      </w:r>
      <w:r>
        <w:rPr>
          <w:rFonts w:hint="eastAsia"/>
          <w:color w:val="auto"/>
          <w:sz w:val="21"/>
          <w:szCs w:val="21"/>
          <w:highlight w:val="none"/>
          <w:lang w:eastAsia="zh-CN"/>
        </w:rPr>
        <w:t>做出</w:t>
      </w:r>
      <w:r>
        <w:rPr>
          <w:rFonts w:hint="eastAsia"/>
          <w:color w:val="auto"/>
          <w:sz w:val="21"/>
          <w:szCs w:val="21"/>
          <w:highlight w:val="none"/>
        </w:rPr>
        <w:t>的一切承诺的证明材料。</w:t>
      </w:r>
    </w:p>
    <w:p w14:paraId="5BA7BDAF">
      <w:pPr>
        <w:pStyle w:val="17"/>
        <w:spacing w:line="360" w:lineRule="auto"/>
        <w:ind w:firstLine="482"/>
        <w:rPr>
          <w:rFonts w:hint="eastAsia"/>
          <w:color w:val="auto"/>
          <w:sz w:val="21"/>
          <w:szCs w:val="21"/>
          <w:highlight w:val="none"/>
        </w:rPr>
      </w:pPr>
      <w:r>
        <w:rPr>
          <w:rFonts w:hint="eastAsia"/>
          <w:color w:val="auto"/>
          <w:sz w:val="21"/>
          <w:szCs w:val="21"/>
          <w:highlight w:val="none"/>
        </w:rPr>
        <w:t>9、我方完全理解贵方不一定接受响应报价最低的竞标人为成交供应商的行为。</w:t>
      </w:r>
    </w:p>
    <w:p w14:paraId="6E701121">
      <w:pPr>
        <w:pStyle w:val="17"/>
        <w:spacing w:line="360" w:lineRule="auto"/>
        <w:ind w:firstLine="482"/>
        <w:rPr>
          <w:rFonts w:hint="eastAsia"/>
          <w:color w:val="auto"/>
          <w:sz w:val="21"/>
          <w:szCs w:val="21"/>
          <w:highlight w:val="none"/>
        </w:rPr>
      </w:pPr>
      <w:r>
        <w:rPr>
          <w:rFonts w:hint="eastAsia"/>
          <w:color w:val="auto"/>
          <w:sz w:val="21"/>
          <w:szCs w:val="21"/>
          <w:highlight w:val="none"/>
        </w:rPr>
        <w:t>10、我方将严格遵守《中华人民共和国政府采购法》第七十七条的规定，即供应商有下列情形之一的，处以采购金额千分之五以上千分之十</w:t>
      </w:r>
      <w:r>
        <w:rPr>
          <w:rFonts w:hint="eastAsia" w:hAnsi="宋体"/>
          <w:color w:val="auto"/>
          <w:sz w:val="21"/>
          <w:szCs w:val="21"/>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26AA3E64">
      <w:pPr>
        <w:pStyle w:val="17"/>
        <w:numPr>
          <w:ilvl w:val="0"/>
          <w:numId w:val="7"/>
        </w:numPr>
        <w:tabs>
          <w:tab w:val="left" w:pos="945"/>
        </w:tabs>
        <w:spacing w:line="360" w:lineRule="auto"/>
        <w:rPr>
          <w:rFonts w:hint="eastAsia" w:hAnsi="宋体"/>
          <w:color w:val="auto"/>
          <w:sz w:val="21"/>
          <w:szCs w:val="21"/>
          <w:highlight w:val="none"/>
        </w:rPr>
      </w:pPr>
      <w:r>
        <w:rPr>
          <w:rFonts w:hint="eastAsia" w:hAnsi="宋体"/>
          <w:color w:val="auto"/>
          <w:sz w:val="21"/>
          <w:szCs w:val="21"/>
          <w:highlight w:val="none"/>
        </w:rPr>
        <w:t>提供虚假材料谋取中标、成交的；</w:t>
      </w:r>
    </w:p>
    <w:p w14:paraId="5F3A755A">
      <w:pPr>
        <w:pStyle w:val="17"/>
        <w:numPr>
          <w:ilvl w:val="0"/>
          <w:numId w:val="7"/>
        </w:numPr>
        <w:tabs>
          <w:tab w:val="left" w:pos="945"/>
        </w:tabs>
        <w:spacing w:line="360" w:lineRule="auto"/>
        <w:rPr>
          <w:rFonts w:hint="eastAsia" w:hAnsi="宋体"/>
          <w:color w:val="auto"/>
          <w:sz w:val="21"/>
          <w:szCs w:val="21"/>
          <w:highlight w:val="none"/>
        </w:rPr>
      </w:pPr>
      <w:r>
        <w:rPr>
          <w:rFonts w:hint="eastAsia" w:hAnsi="宋体"/>
          <w:color w:val="auto"/>
          <w:sz w:val="21"/>
          <w:szCs w:val="21"/>
          <w:highlight w:val="none"/>
        </w:rPr>
        <w:t>采取不正当手段诋毁、排挤其他供应商的；</w:t>
      </w:r>
    </w:p>
    <w:p w14:paraId="091B7965">
      <w:pPr>
        <w:pStyle w:val="17"/>
        <w:numPr>
          <w:ilvl w:val="0"/>
          <w:numId w:val="7"/>
        </w:numPr>
        <w:tabs>
          <w:tab w:val="left" w:pos="945"/>
        </w:tabs>
        <w:spacing w:line="360" w:lineRule="auto"/>
        <w:rPr>
          <w:rFonts w:hint="eastAsia"/>
          <w:color w:val="auto"/>
          <w:sz w:val="21"/>
          <w:szCs w:val="21"/>
          <w:highlight w:val="none"/>
        </w:rPr>
      </w:pPr>
      <w:r>
        <w:rPr>
          <w:rFonts w:hint="eastAsia" w:hAnsi="宋体"/>
          <w:color w:val="auto"/>
          <w:sz w:val="21"/>
          <w:szCs w:val="21"/>
          <w:highlight w:val="none"/>
        </w:rPr>
        <w:t>与采购人、其他供应商或者采购代理机构恶意串通的；</w:t>
      </w:r>
    </w:p>
    <w:p w14:paraId="54380A90">
      <w:pPr>
        <w:pStyle w:val="17"/>
        <w:numPr>
          <w:ilvl w:val="0"/>
          <w:numId w:val="7"/>
        </w:numPr>
        <w:tabs>
          <w:tab w:val="left" w:pos="945"/>
        </w:tabs>
        <w:spacing w:line="360" w:lineRule="auto"/>
        <w:rPr>
          <w:rFonts w:hint="eastAsia"/>
          <w:color w:val="auto"/>
          <w:sz w:val="21"/>
          <w:szCs w:val="21"/>
          <w:highlight w:val="none"/>
        </w:rPr>
      </w:pPr>
      <w:r>
        <w:rPr>
          <w:rFonts w:hint="eastAsia" w:hAnsi="宋体"/>
          <w:color w:val="auto"/>
          <w:sz w:val="21"/>
          <w:szCs w:val="21"/>
          <w:highlight w:val="none"/>
        </w:rPr>
        <w:t>向采购人、采购代理机构行贿或者提供其他不正当利益的；</w:t>
      </w:r>
    </w:p>
    <w:p w14:paraId="1EF35BDC">
      <w:pPr>
        <w:pStyle w:val="17"/>
        <w:numPr>
          <w:ilvl w:val="0"/>
          <w:numId w:val="7"/>
        </w:numPr>
        <w:tabs>
          <w:tab w:val="left" w:pos="945"/>
        </w:tabs>
        <w:spacing w:line="360" w:lineRule="auto"/>
        <w:rPr>
          <w:rFonts w:hint="eastAsia"/>
          <w:color w:val="auto"/>
          <w:sz w:val="21"/>
          <w:szCs w:val="21"/>
          <w:highlight w:val="none"/>
        </w:rPr>
      </w:pPr>
      <w:r>
        <w:rPr>
          <w:rFonts w:hint="eastAsia" w:hAnsi="宋体"/>
          <w:color w:val="auto"/>
          <w:sz w:val="21"/>
          <w:szCs w:val="21"/>
          <w:highlight w:val="none"/>
        </w:rPr>
        <w:t>在采购过程中与采购人进行协商谈判的；</w:t>
      </w:r>
    </w:p>
    <w:p w14:paraId="3B21A4DA">
      <w:pPr>
        <w:pStyle w:val="17"/>
        <w:numPr>
          <w:ilvl w:val="0"/>
          <w:numId w:val="7"/>
        </w:numPr>
        <w:tabs>
          <w:tab w:val="left" w:pos="945"/>
        </w:tabs>
        <w:spacing w:line="360" w:lineRule="auto"/>
        <w:rPr>
          <w:rFonts w:hint="eastAsia"/>
          <w:color w:val="auto"/>
          <w:sz w:val="21"/>
          <w:szCs w:val="21"/>
          <w:highlight w:val="none"/>
        </w:rPr>
      </w:pPr>
      <w:r>
        <w:rPr>
          <w:rFonts w:hint="eastAsia" w:hAnsi="宋体"/>
          <w:color w:val="auto"/>
          <w:sz w:val="21"/>
          <w:szCs w:val="21"/>
          <w:highlight w:val="none"/>
        </w:rPr>
        <w:t>拒绝有关部门监督检查或提供虚假情况的。</w:t>
      </w:r>
    </w:p>
    <w:p w14:paraId="268F5899">
      <w:pPr>
        <w:pStyle w:val="17"/>
        <w:spacing w:line="360" w:lineRule="auto"/>
        <w:ind w:firstLine="420"/>
        <w:rPr>
          <w:rFonts w:hint="eastAsia"/>
          <w:color w:val="auto"/>
          <w:sz w:val="21"/>
          <w:szCs w:val="21"/>
          <w:highlight w:val="none"/>
        </w:rPr>
      </w:pPr>
      <w:r>
        <w:rPr>
          <w:rFonts w:hint="eastAsia" w:hAnsi="宋体" w:cs="宋体"/>
          <w:color w:val="auto"/>
          <w:sz w:val="21"/>
          <w:szCs w:val="21"/>
          <w:highlight w:val="none"/>
        </w:rPr>
        <w:t>11.与本磋商有关的一切正式往来信函请寄</w:t>
      </w:r>
      <w:r>
        <w:rPr>
          <w:rFonts w:hint="eastAsia"/>
          <w:color w:val="auto"/>
          <w:sz w:val="21"/>
          <w:szCs w:val="21"/>
          <w:highlight w:val="none"/>
        </w:rPr>
        <w:t>：</w:t>
      </w:r>
      <w:r>
        <w:rPr>
          <w:rFonts w:hint="eastAsia"/>
          <w:color w:val="auto"/>
          <w:sz w:val="21"/>
          <w:szCs w:val="21"/>
          <w:highlight w:val="none"/>
          <w:u w:val="single"/>
        </w:rPr>
        <w:t xml:space="preserve"> </w:t>
      </w:r>
    </w:p>
    <w:p w14:paraId="24471E1A">
      <w:pPr>
        <w:pStyle w:val="17"/>
        <w:spacing w:line="360" w:lineRule="auto"/>
        <w:ind w:firstLine="420"/>
        <w:rPr>
          <w:rFonts w:hint="eastAsia"/>
          <w:color w:val="auto"/>
          <w:sz w:val="21"/>
          <w:szCs w:val="21"/>
          <w:highlight w:val="none"/>
        </w:rPr>
      </w:pPr>
      <w:r>
        <w:rPr>
          <w:rFonts w:hint="eastAsia"/>
          <w:color w:val="auto"/>
          <w:sz w:val="21"/>
          <w:szCs w:val="21"/>
          <w:highlight w:val="none"/>
        </w:rPr>
        <w:t>地址：</w:t>
      </w:r>
      <w:r>
        <w:rPr>
          <w:rFonts w:hint="eastAsia"/>
          <w:color w:val="auto"/>
          <w:sz w:val="21"/>
          <w:szCs w:val="21"/>
          <w:highlight w:val="none"/>
          <w:u w:val="single"/>
        </w:rPr>
        <w:t xml:space="preserve">                                                        </w:t>
      </w:r>
      <w:r>
        <w:rPr>
          <w:rFonts w:hint="eastAsia"/>
          <w:color w:val="auto"/>
          <w:sz w:val="21"/>
          <w:szCs w:val="21"/>
          <w:highlight w:val="none"/>
        </w:rPr>
        <w:t xml:space="preserve"> </w:t>
      </w:r>
    </w:p>
    <w:p w14:paraId="0EEA4079">
      <w:pPr>
        <w:pStyle w:val="17"/>
        <w:spacing w:line="360" w:lineRule="auto"/>
        <w:ind w:firstLine="420"/>
        <w:rPr>
          <w:rFonts w:hint="eastAsia"/>
          <w:color w:val="auto"/>
          <w:sz w:val="21"/>
          <w:szCs w:val="21"/>
          <w:highlight w:val="none"/>
          <w:u w:val="single"/>
        </w:rPr>
      </w:pPr>
      <w:r>
        <w:rPr>
          <w:rFonts w:hint="eastAsia"/>
          <w:color w:val="auto"/>
          <w:sz w:val="21"/>
          <w:szCs w:val="21"/>
          <w:highlight w:val="none"/>
        </w:rPr>
        <w:t>电话：</w:t>
      </w:r>
      <w:r>
        <w:rPr>
          <w:rFonts w:hint="eastAsia"/>
          <w:color w:val="auto"/>
          <w:sz w:val="21"/>
          <w:szCs w:val="21"/>
          <w:highlight w:val="none"/>
          <w:u w:val="single"/>
        </w:rPr>
        <w:t xml:space="preserve">                                      　　　　　　　　　</w:t>
      </w:r>
    </w:p>
    <w:p w14:paraId="10D7B789">
      <w:pPr>
        <w:pStyle w:val="17"/>
        <w:spacing w:line="360" w:lineRule="auto"/>
        <w:ind w:firstLine="420"/>
        <w:rPr>
          <w:rFonts w:hint="eastAsia"/>
          <w:color w:val="auto"/>
          <w:sz w:val="21"/>
          <w:szCs w:val="21"/>
          <w:highlight w:val="none"/>
        </w:rPr>
      </w:pPr>
      <w:r>
        <w:rPr>
          <w:rFonts w:hint="eastAsia"/>
          <w:color w:val="auto"/>
          <w:sz w:val="21"/>
          <w:szCs w:val="21"/>
          <w:highlight w:val="none"/>
        </w:rPr>
        <w:t>传真：</w:t>
      </w:r>
      <w:r>
        <w:rPr>
          <w:rFonts w:hint="eastAsia"/>
          <w:color w:val="auto"/>
          <w:sz w:val="21"/>
          <w:szCs w:val="21"/>
          <w:highlight w:val="none"/>
          <w:u w:val="single"/>
        </w:rPr>
        <w:t>　　　　　　　　　　　　　　　　　　　　　　　　　　　　</w:t>
      </w:r>
    </w:p>
    <w:p w14:paraId="67BC581B">
      <w:pPr>
        <w:pStyle w:val="17"/>
        <w:spacing w:line="360" w:lineRule="auto"/>
        <w:ind w:firstLine="420"/>
        <w:rPr>
          <w:rFonts w:hint="eastAsia"/>
          <w:color w:val="auto"/>
          <w:sz w:val="21"/>
          <w:szCs w:val="21"/>
          <w:highlight w:val="none"/>
          <w:u w:val="single"/>
        </w:rPr>
      </w:pPr>
      <w:r>
        <w:rPr>
          <w:rFonts w:hint="eastAsia"/>
          <w:color w:val="auto"/>
          <w:sz w:val="21"/>
          <w:szCs w:val="21"/>
          <w:highlight w:val="none"/>
        </w:rPr>
        <w:t>邮政编码：</w:t>
      </w:r>
      <w:r>
        <w:rPr>
          <w:rFonts w:hint="eastAsia"/>
          <w:color w:val="auto"/>
          <w:sz w:val="21"/>
          <w:szCs w:val="21"/>
          <w:highlight w:val="none"/>
          <w:u w:val="single"/>
        </w:rPr>
        <w:t xml:space="preserve">                                                    </w:t>
      </w:r>
    </w:p>
    <w:p w14:paraId="20D54720">
      <w:pPr>
        <w:pStyle w:val="17"/>
        <w:spacing w:line="360" w:lineRule="auto"/>
        <w:ind w:firstLine="420"/>
        <w:rPr>
          <w:rFonts w:hint="eastAsia"/>
          <w:color w:val="auto"/>
          <w:sz w:val="21"/>
          <w:szCs w:val="21"/>
          <w:highlight w:val="none"/>
          <w:u w:val="single"/>
        </w:rPr>
      </w:pPr>
      <w:r>
        <w:rPr>
          <w:rFonts w:hint="eastAsia"/>
          <w:color w:val="auto"/>
          <w:sz w:val="21"/>
          <w:szCs w:val="21"/>
          <w:highlight w:val="none"/>
        </w:rPr>
        <w:t>开户名称：</w:t>
      </w:r>
      <w:r>
        <w:rPr>
          <w:rFonts w:hint="eastAsia"/>
          <w:color w:val="auto"/>
          <w:sz w:val="21"/>
          <w:szCs w:val="21"/>
          <w:highlight w:val="none"/>
          <w:u w:val="single"/>
        </w:rPr>
        <w:t xml:space="preserve">                                                    </w:t>
      </w:r>
    </w:p>
    <w:p w14:paraId="137E4547">
      <w:pPr>
        <w:pStyle w:val="17"/>
        <w:spacing w:line="360" w:lineRule="auto"/>
        <w:ind w:firstLine="420"/>
        <w:rPr>
          <w:rFonts w:hint="eastAsia"/>
          <w:color w:val="auto"/>
          <w:sz w:val="21"/>
          <w:szCs w:val="21"/>
          <w:highlight w:val="none"/>
          <w:u w:val="single"/>
        </w:rPr>
      </w:pPr>
      <w:r>
        <w:rPr>
          <w:rFonts w:hint="eastAsia"/>
          <w:color w:val="auto"/>
          <w:sz w:val="21"/>
          <w:szCs w:val="21"/>
          <w:highlight w:val="none"/>
        </w:rPr>
        <w:t>开户银行：</w:t>
      </w:r>
      <w:r>
        <w:rPr>
          <w:rFonts w:hint="eastAsia"/>
          <w:color w:val="auto"/>
          <w:sz w:val="21"/>
          <w:szCs w:val="21"/>
          <w:highlight w:val="none"/>
          <w:u w:val="single"/>
        </w:rPr>
        <w:t xml:space="preserve">                                                    </w:t>
      </w:r>
    </w:p>
    <w:p w14:paraId="7EE19A26">
      <w:pPr>
        <w:pStyle w:val="17"/>
        <w:spacing w:line="360" w:lineRule="auto"/>
        <w:ind w:firstLine="420"/>
        <w:rPr>
          <w:rFonts w:hint="eastAsia"/>
          <w:color w:val="auto"/>
          <w:sz w:val="21"/>
          <w:szCs w:val="21"/>
          <w:highlight w:val="none"/>
          <w:u w:val="single"/>
        </w:rPr>
      </w:pPr>
      <w:r>
        <w:rPr>
          <w:rFonts w:hint="eastAsia"/>
          <w:color w:val="auto"/>
          <w:sz w:val="21"/>
          <w:szCs w:val="21"/>
          <w:highlight w:val="none"/>
        </w:rPr>
        <w:t>银行账号：</w:t>
      </w:r>
      <w:r>
        <w:rPr>
          <w:rFonts w:hint="eastAsia"/>
          <w:color w:val="auto"/>
          <w:sz w:val="21"/>
          <w:szCs w:val="21"/>
          <w:highlight w:val="none"/>
          <w:u w:val="single"/>
        </w:rPr>
        <w:t xml:space="preserve">                                                    </w:t>
      </w:r>
    </w:p>
    <w:p w14:paraId="5E4577E4">
      <w:pPr>
        <w:pStyle w:val="15"/>
        <w:tabs>
          <w:tab w:val="left" w:pos="939"/>
        </w:tabs>
        <w:spacing w:line="360" w:lineRule="auto"/>
        <w:ind w:left="141" w:leftChars="67"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特此承诺。</w:t>
      </w:r>
    </w:p>
    <w:p w14:paraId="0BB76BF5">
      <w:pPr>
        <w:spacing w:line="360" w:lineRule="auto"/>
        <w:jc w:val="left"/>
        <w:rPr>
          <w:rFonts w:hint="eastAsia" w:ascii="宋体" w:hAnsi="宋体" w:cs="宋体"/>
          <w:color w:val="auto"/>
          <w:sz w:val="24"/>
          <w:szCs w:val="24"/>
          <w:highlight w:val="none"/>
        </w:rPr>
      </w:pPr>
    </w:p>
    <w:p w14:paraId="4CC24854">
      <w:pPr>
        <w:autoSpaceDE w:val="0"/>
        <w:autoSpaceDN w:val="0"/>
        <w:spacing w:line="360" w:lineRule="auto"/>
        <w:ind w:left="4335" w:leftChars="1950" w:hanging="240" w:hangingChars="100"/>
        <w:rPr>
          <w:rFonts w:hint="eastAsia" w:ascii="仿宋_GB2312" w:hAnsi="仿宋" w:eastAsia="仿宋_GB2312" w:cs="仿宋_GB2312"/>
          <w:color w:val="auto"/>
          <w:kern w:val="0"/>
          <w:sz w:val="24"/>
          <w:szCs w:val="24"/>
          <w:highlight w:val="none"/>
        </w:rPr>
      </w:pPr>
      <w:r>
        <w:rPr>
          <w:rFonts w:hint="eastAsia" w:ascii="仿宋_GB2312" w:hAnsi="仿宋" w:eastAsia="仿宋_GB2312" w:cs="仿宋_GB2312"/>
          <w:color w:val="auto"/>
          <w:kern w:val="0"/>
          <w:sz w:val="24"/>
          <w:szCs w:val="24"/>
          <w:highlight w:val="none"/>
        </w:rPr>
        <w:t>供应商名称（电子签章）：</w:t>
      </w:r>
    </w:p>
    <w:p w14:paraId="16B7575B">
      <w:pPr>
        <w:autoSpaceDE w:val="0"/>
        <w:autoSpaceDN w:val="0"/>
        <w:spacing w:line="360" w:lineRule="auto"/>
        <w:ind w:firstLine="6480" w:firstLineChars="2700"/>
        <w:rPr>
          <w:rFonts w:hint="eastAsia" w:ascii="仿宋_GB2312" w:hAnsi="仿宋" w:eastAsia="仿宋_GB2312" w:cs="仿宋_GB2312"/>
          <w:color w:val="auto"/>
          <w:kern w:val="0"/>
          <w:sz w:val="24"/>
          <w:szCs w:val="24"/>
          <w:highlight w:val="none"/>
          <w:lang w:val="zh-CN"/>
        </w:rPr>
      </w:pPr>
      <w:r>
        <w:rPr>
          <w:rFonts w:hint="eastAsia" w:ascii="仿宋_GB2312" w:hAnsi="仿宋" w:eastAsia="仿宋_GB2312" w:cs="仿宋_GB2312"/>
          <w:color w:val="auto"/>
          <w:kern w:val="0"/>
          <w:sz w:val="24"/>
          <w:szCs w:val="24"/>
          <w:highlight w:val="none"/>
          <w:lang w:val="zh-CN"/>
        </w:rPr>
        <w:t>日期：  年  月   日</w:t>
      </w:r>
    </w:p>
    <w:p w14:paraId="314CCB79">
      <w:pPr>
        <w:rPr>
          <w:rFonts w:hint="eastAsia"/>
          <w:color w:val="auto"/>
          <w:highlight w:val="none"/>
          <w:lang w:val="zh-CN"/>
        </w:rPr>
      </w:pPr>
    </w:p>
    <w:p w14:paraId="1B28585D">
      <w:pPr>
        <w:rPr>
          <w:rFonts w:hint="eastAsia" w:ascii="仿宋_GB2312" w:hAnsi="仿宋" w:eastAsia="仿宋_GB2312" w:cs="仿宋_GB2312"/>
          <w:color w:val="auto"/>
          <w:kern w:val="0"/>
          <w:sz w:val="24"/>
          <w:highlight w:val="none"/>
          <w:lang w:val="zh-CN"/>
        </w:rPr>
      </w:pPr>
    </w:p>
    <w:p w14:paraId="7D3F155F">
      <w:pPr>
        <w:spacing w:line="520" w:lineRule="exact"/>
        <w:ind w:firstLine="420" w:firstLineChars="200"/>
        <w:rPr>
          <w:rFonts w:hint="eastAsia"/>
          <w:color w:val="auto"/>
          <w:highlight w:val="none"/>
        </w:rPr>
      </w:pPr>
    </w:p>
    <w:p w14:paraId="5BEBD2B1">
      <w:pPr>
        <w:spacing w:line="520" w:lineRule="exact"/>
        <w:ind w:firstLine="420" w:firstLineChars="200"/>
        <w:rPr>
          <w:rFonts w:hint="eastAsia"/>
          <w:color w:val="auto"/>
          <w:highlight w:val="none"/>
        </w:rPr>
      </w:pPr>
    </w:p>
    <w:p w14:paraId="67781DA4">
      <w:pPr>
        <w:spacing w:line="520" w:lineRule="exact"/>
        <w:ind w:firstLine="420" w:firstLineChars="200"/>
        <w:rPr>
          <w:rFonts w:hint="eastAsia"/>
          <w:color w:val="auto"/>
          <w:highlight w:val="none"/>
        </w:rPr>
      </w:pPr>
    </w:p>
    <w:p w14:paraId="3F772E7D">
      <w:pPr>
        <w:spacing w:line="520" w:lineRule="exact"/>
        <w:ind w:firstLine="420" w:firstLineChars="200"/>
        <w:rPr>
          <w:rFonts w:hint="eastAsia"/>
          <w:color w:val="auto"/>
          <w:highlight w:val="none"/>
        </w:rPr>
      </w:pPr>
    </w:p>
    <w:p w14:paraId="07D1BAEE">
      <w:pPr>
        <w:spacing w:line="520" w:lineRule="exact"/>
        <w:ind w:firstLine="420" w:firstLineChars="200"/>
        <w:rPr>
          <w:rFonts w:hint="eastAsia"/>
          <w:color w:val="auto"/>
          <w:highlight w:val="none"/>
        </w:rPr>
      </w:pPr>
    </w:p>
    <w:p w14:paraId="21FF201D">
      <w:pPr>
        <w:spacing w:line="520" w:lineRule="exact"/>
        <w:ind w:firstLine="420" w:firstLineChars="200"/>
        <w:rPr>
          <w:rFonts w:hint="eastAsia"/>
          <w:color w:val="auto"/>
          <w:highlight w:val="none"/>
        </w:rPr>
      </w:pPr>
    </w:p>
    <w:p w14:paraId="3FB05477">
      <w:pPr>
        <w:spacing w:line="520" w:lineRule="exact"/>
        <w:ind w:firstLine="420" w:firstLineChars="200"/>
        <w:rPr>
          <w:rFonts w:hint="eastAsia"/>
          <w:color w:val="auto"/>
          <w:highlight w:val="none"/>
        </w:rPr>
      </w:pPr>
    </w:p>
    <w:p w14:paraId="12490FA6">
      <w:pPr>
        <w:spacing w:line="520" w:lineRule="exact"/>
        <w:rPr>
          <w:rFonts w:hint="eastAsia" w:ascii="宋体" w:hAnsi="宋体"/>
          <w:b/>
          <w:bCs/>
          <w:color w:val="auto"/>
          <w:sz w:val="32"/>
          <w:szCs w:val="32"/>
          <w:highlight w:val="none"/>
        </w:rPr>
      </w:pPr>
      <w:r>
        <w:rPr>
          <w:rFonts w:hint="eastAsia" w:ascii="宋体" w:hAnsi="宋体" w:eastAsia="宋体" w:cs="Times New Roman"/>
          <w:b/>
          <w:bCs/>
          <w:color w:val="auto"/>
          <w:sz w:val="32"/>
          <w:szCs w:val="32"/>
          <w:highlight w:val="none"/>
        </w:rPr>
        <w:br w:type="page"/>
      </w:r>
      <w:r>
        <w:rPr>
          <w:rFonts w:hint="eastAsia" w:ascii="宋体" w:hAnsi="宋体" w:eastAsia="宋体" w:cs="Times New Roman"/>
          <w:b/>
          <w:bCs/>
          <w:color w:val="auto"/>
          <w:sz w:val="32"/>
          <w:szCs w:val="32"/>
          <w:highlight w:val="none"/>
        </w:rPr>
        <w:t>二、响</w:t>
      </w:r>
      <w:r>
        <w:rPr>
          <w:rFonts w:hint="eastAsia" w:ascii="宋体" w:hAnsi="宋体"/>
          <w:b/>
          <w:bCs/>
          <w:color w:val="auto"/>
          <w:sz w:val="32"/>
          <w:szCs w:val="32"/>
          <w:highlight w:val="none"/>
        </w:rPr>
        <w:t>应报价表</w:t>
      </w:r>
    </w:p>
    <w:p w14:paraId="59B87756">
      <w:pPr>
        <w:snapToGrid w:val="0"/>
        <w:spacing w:before="50" w:after="50" w:line="360" w:lineRule="auto"/>
        <w:rPr>
          <w:rFonts w:hint="eastAsia" w:ascii="宋体" w:hAnsi="宋体"/>
          <w:color w:val="auto"/>
          <w:sz w:val="24"/>
          <w:highlight w:val="none"/>
        </w:rPr>
      </w:pPr>
    </w:p>
    <w:p w14:paraId="6BA36721">
      <w:pPr>
        <w:snapToGrid w:val="0"/>
        <w:spacing w:before="50" w:after="50" w:line="360" w:lineRule="auto"/>
        <w:rPr>
          <w:rFonts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2026年南宁市武鸣区基层就业服务网点（就业服务站）项目</w:t>
      </w:r>
      <w:r>
        <w:rPr>
          <w:rFonts w:ascii="宋体" w:hAnsi="宋体"/>
          <w:color w:val="auto"/>
          <w:sz w:val="24"/>
          <w:highlight w:val="none"/>
          <w:u w:val="single"/>
        </w:rPr>
        <w:t xml:space="preserve"> </w:t>
      </w:r>
      <w:r>
        <w:rPr>
          <w:rFonts w:ascii="宋体" w:hAnsi="宋体"/>
          <w:color w:val="auto"/>
          <w:sz w:val="24"/>
          <w:highlight w:val="none"/>
        </w:rPr>
        <w:t xml:space="preserve">      </w:t>
      </w:r>
    </w:p>
    <w:p w14:paraId="61957C9E">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NNZC2026-C3-100081-GXXZ</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84C416D">
      <w:pPr>
        <w:snapToGrid w:val="0"/>
        <w:spacing w:before="50" w:after="50" w:line="360" w:lineRule="auto"/>
        <w:rPr>
          <w:rFonts w:hint="eastAsia" w:ascii="宋体" w:hAnsi="宋体"/>
          <w:color w:val="auto"/>
          <w:sz w:val="24"/>
          <w:highlight w:val="none"/>
          <w:u w:val="single"/>
        </w:rPr>
      </w:pPr>
      <w:r>
        <w:rPr>
          <w:rFonts w:hint="eastAsia" w:hAnsi="宋体"/>
          <w:color w:val="auto"/>
          <w:sz w:val="24"/>
          <w:highlight w:val="none"/>
        </w:rPr>
        <w:t>供应商名称：</w:t>
      </w:r>
      <w:r>
        <w:rPr>
          <w:rFonts w:hint="eastAsia" w:hAnsi="宋体"/>
          <w:color w:val="auto"/>
          <w:sz w:val="24"/>
          <w:highlight w:val="none"/>
          <w:u w:val="single"/>
        </w:rPr>
        <w:t xml:space="preserve">                     </w:t>
      </w:r>
      <w:r>
        <w:rPr>
          <w:rFonts w:hint="eastAsia" w:hAnsi="宋体"/>
          <w:color w:val="auto"/>
          <w:sz w:val="24"/>
          <w:highlight w:val="none"/>
        </w:rPr>
        <w:t xml:space="preserve">  </w:t>
      </w:r>
      <w:r>
        <w:rPr>
          <w:rFonts w:hint="eastAsia" w:ascii="宋体" w:hAnsi="宋体" w:cs="仿宋_GB2312"/>
          <w:color w:val="auto"/>
          <w:sz w:val="24"/>
          <w:highlight w:val="none"/>
        </w:rPr>
        <w:t xml:space="preserve">                    </w:t>
      </w:r>
    </w:p>
    <w:tbl>
      <w:tblPr>
        <w:tblStyle w:val="30"/>
        <w:tblW w:w="9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165"/>
        <w:gridCol w:w="1909"/>
        <w:gridCol w:w="999"/>
        <w:gridCol w:w="1165"/>
        <w:gridCol w:w="1402"/>
        <w:gridCol w:w="885"/>
        <w:gridCol w:w="885"/>
      </w:tblGrid>
      <w:tr w14:paraId="37A0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665" w:type="dxa"/>
            <w:tcBorders>
              <w:top w:val="single" w:color="auto" w:sz="4" w:space="0"/>
              <w:left w:val="single" w:color="auto" w:sz="4" w:space="0"/>
              <w:bottom w:val="single" w:color="auto" w:sz="4" w:space="0"/>
              <w:right w:val="single" w:color="auto" w:sz="4" w:space="0"/>
            </w:tcBorders>
            <w:noWrap w:val="0"/>
            <w:vAlign w:val="center"/>
          </w:tcPr>
          <w:p w14:paraId="682FB54D">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2"/>
                <w:highlight w:val="none"/>
              </w:rPr>
              <w:t>序号</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7B0DCB0C">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2"/>
                <w:highlight w:val="none"/>
              </w:rPr>
              <w:t>服务名称</w:t>
            </w:r>
          </w:p>
        </w:tc>
        <w:tc>
          <w:tcPr>
            <w:tcW w:w="1909" w:type="dxa"/>
            <w:tcBorders>
              <w:top w:val="single" w:color="auto" w:sz="4" w:space="0"/>
              <w:left w:val="single" w:color="auto" w:sz="4" w:space="0"/>
              <w:bottom w:val="single" w:color="auto" w:sz="4" w:space="0"/>
              <w:right w:val="single" w:color="auto" w:sz="4" w:space="0"/>
            </w:tcBorders>
            <w:noWrap w:val="0"/>
            <w:vAlign w:val="center"/>
          </w:tcPr>
          <w:p w14:paraId="612222BE">
            <w:pPr>
              <w:keepNext w:val="0"/>
              <w:keepLines w:val="0"/>
              <w:suppressLineNumbers w:val="0"/>
              <w:spacing w:before="0" w:beforeAutospacing="0" w:after="0" w:afterAutospacing="0"/>
              <w:ind w:left="0" w:right="0"/>
              <w:jc w:val="center"/>
              <w:rPr>
                <w:rFonts w:hint="default" w:ascii="宋体" w:hAnsi="宋体"/>
                <w:color w:val="auto"/>
                <w:szCs w:val="22"/>
                <w:highlight w:val="none"/>
              </w:rPr>
            </w:pPr>
            <w:r>
              <w:rPr>
                <w:rFonts w:hint="eastAsia" w:ascii="宋体" w:hAnsi="宋体"/>
                <w:color w:val="auto"/>
                <w:szCs w:val="22"/>
                <w:highlight w:val="none"/>
              </w:rPr>
              <w:t>具体服务内容</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3A66A835">
            <w:pPr>
              <w:keepNext w:val="0"/>
              <w:keepLines w:val="0"/>
              <w:suppressLineNumbers w:val="0"/>
              <w:spacing w:before="0" w:beforeAutospacing="0" w:after="0" w:afterAutospacing="0"/>
              <w:ind w:left="0" w:right="0"/>
              <w:jc w:val="center"/>
              <w:rPr>
                <w:rFonts w:hint="default" w:ascii="宋体" w:hAnsi="宋体"/>
                <w:color w:val="auto"/>
                <w:szCs w:val="22"/>
                <w:highlight w:val="none"/>
              </w:rPr>
            </w:pPr>
            <w:r>
              <w:rPr>
                <w:rFonts w:hint="eastAsia" w:ascii="宋体" w:hAnsi="宋体"/>
                <w:color w:val="auto"/>
                <w:szCs w:val="22"/>
                <w:highlight w:val="none"/>
              </w:rPr>
              <w:t>数量</w:t>
            </w:r>
            <w:r>
              <w:rPr>
                <w:rFonts w:hint="default" w:ascii="宋体" w:hAnsi="宋体"/>
                <w:color w:val="auto"/>
                <w:szCs w:val="22"/>
                <w:highlight w:val="none"/>
              </w:rPr>
              <w:t>①</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624C3A8D">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2"/>
                <w:highlight w:val="none"/>
              </w:rPr>
              <w:t>单价</w:t>
            </w:r>
            <w:r>
              <w:rPr>
                <w:rFonts w:hint="default" w:ascii="宋体" w:hAnsi="宋体"/>
                <w:color w:val="auto"/>
                <w:szCs w:val="22"/>
                <w:highlight w:val="none"/>
              </w:rPr>
              <w:t>(</w:t>
            </w:r>
            <w:r>
              <w:rPr>
                <w:rFonts w:hint="eastAsia" w:ascii="宋体" w:hAnsi="宋体"/>
                <w:color w:val="auto"/>
                <w:szCs w:val="22"/>
                <w:highlight w:val="none"/>
              </w:rPr>
              <w:t>元</w:t>
            </w:r>
            <w:r>
              <w:rPr>
                <w:rFonts w:hint="default" w:ascii="宋体" w:hAnsi="宋体"/>
                <w:color w:val="auto"/>
                <w:szCs w:val="22"/>
                <w:highlight w:val="none"/>
              </w:rPr>
              <w:t>)②</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0BE51227">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2"/>
                <w:highlight w:val="none"/>
              </w:rPr>
              <w:t>单项合价（元）</w:t>
            </w:r>
          </w:p>
          <w:p w14:paraId="5D1AD649">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default" w:ascii="宋体" w:hAnsi="宋体"/>
                <w:color w:val="auto"/>
                <w:szCs w:val="22"/>
                <w:highlight w:val="none"/>
              </w:rPr>
              <w:t>③</w:t>
            </w:r>
            <w:r>
              <w:rPr>
                <w:rFonts w:hint="eastAsia" w:ascii="宋体" w:hAnsi="宋体"/>
                <w:color w:val="auto"/>
                <w:szCs w:val="22"/>
                <w:highlight w:val="none"/>
              </w:rPr>
              <w:t>＝</w:t>
            </w:r>
            <w:r>
              <w:rPr>
                <w:rFonts w:hint="default" w:ascii="宋体" w:hAnsi="宋体"/>
                <w:color w:val="auto"/>
                <w:szCs w:val="22"/>
                <w:highlight w:val="none"/>
              </w:rPr>
              <w:t>①×②</w:t>
            </w:r>
          </w:p>
        </w:tc>
        <w:tc>
          <w:tcPr>
            <w:tcW w:w="885" w:type="dxa"/>
            <w:tcBorders>
              <w:top w:val="single" w:color="auto" w:sz="4" w:space="0"/>
              <w:left w:val="single" w:color="auto" w:sz="4" w:space="0"/>
              <w:bottom w:val="single" w:color="auto" w:sz="4" w:space="0"/>
              <w:right w:val="single" w:color="auto" w:sz="4" w:space="0"/>
            </w:tcBorders>
            <w:noWrap w:val="0"/>
            <w:vAlign w:val="top"/>
          </w:tcPr>
          <w:p w14:paraId="7FF957D1">
            <w:pPr>
              <w:keepNext w:val="0"/>
              <w:keepLines w:val="0"/>
              <w:suppressLineNumbers w:val="0"/>
              <w:spacing w:before="0" w:beforeAutospacing="0" w:after="0" w:afterAutospacing="0" w:line="360" w:lineRule="auto"/>
              <w:ind w:left="0" w:right="0"/>
              <w:jc w:val="center"/>
              <w:rPr>
                <w:rFonts w:hint="eastAsia" w:ascii="宋体" w:hAnsi="宋体"/>
                <w:color w:val="auto"/>
                <w:szCs w:val="22"/>
                <w:highlight w:val="none"/>
              </w:rPr>
            </w:pPr>
          </w:p>
          <w:p w14:paraId="79916C89">
            <w:pPr>
              <w:keepNext w:val="0"/>
              <w:keepLines w:val="0"/>
              <w:suppressLineNumbers w:val="0"/>
              <w:spacing w:before="0" w:beforeAutospacing="0" w:after="0" w:afterAutospacing="0" w:line="360" w:lineRule="auto"/>
              <w:ind w:left="0" w:right="0"/>
              <w:jc w:val="center"/>
              <w:rPr>
                <w:rFonts w:hint="eastAsia" w:ascii="宋体" w:hAnsi="宋体"/>
                <w:color w:val="auto"/>
                <w:szCs w:val="22"/>
                <w:highlight w:val="none"/>
              </w:rPr>
            </w:pPr>
            <w:r>
              <w:rPr>
                <w:rFonts w:hint="eastAsia" w:ascii="宋体" w:hAnsi="宋体"/>
                <w:color w:val="auto"/>
                <w:szCs w:val="22"/>
                <w:highlight w:val="none"/>
              </w:rPr>
              <w:t>服务期限</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2E60745">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2"/>
                <w:highlight w:val="none"/>
              </w:rPr>
              <w:t>备注</w:t>
            </w:r>
          </w:p>
        </w:tc>
      </w:tr>
      <w:tr w14:paraId="1AC0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65" w:type="dxa"/>
            <w:tcBorders>
              <w:top w:val="single" w:color="auto" w:sz="4" w:space="0"/>
              <w:left w:val="single" w:color="auto" w:sz="4" w:space="0"/>
              <w:bottom w:val="single" w:color="auto" w:sz="4" w:space="0"/>
              <w:right w:val="single" w:color="auto" w:sz="4" w:space="0"/>
            </w:tcBorders>
            <w:noWrap w:val="0"/>
            <w:vAlign w:val="center"/>
          </w:tcPr>
          <w:p w14:paraId="1F93D19C">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default" w:ascii="宋体" w:hAnsi="宋体"/>
                <w:color w:val="auto"/>
                <w:szCs w:val="22"/>
                <w:highlight w:val="none"/>
              </w:rPr>
              <w:t>1</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28EBA2FF">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909" w:type="dxa"/>
            <w:tcBorders>
              <w:top w:val="single" w:color="auto" w:sz="4" w:space="0"/>
              <w:left w:val="single" w:color="auto" w:sz="4" w:space="0"/>
              <w:bottom w:val="single" w:color="auto" w:sz="4" w:space="0"/>
              <w:right w:val="single" w:color="auto" w:sz="4" w:space="0"/>
            </w:tcBorders>
            <w:noWrap w:val="0"/>
            <w:vAlign w:val="center"/>
          </w:tcPr>
          <w:p w14:paraId="52720DC3">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14:paraId="35861332">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32A2A396">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14:paraId="68F1A758">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027701FF">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D48E722">
            <w:pPr>
              <w:keepNext w:val="0"/>
              <w:keepLines w:val="0"/>
              <w:suppressLineNumbers w:val="0"/>
              <w:spacing w:before="0" w:beforeAutospacing="0" w:after="0" w:afterAutospacing="0"/>
              <w:ind w:left="0" w:right="0"/>
              <w:rPr>
                <w:rFonts w:hint="default" w:ascii="宋体" w:hAnsi="宋体"/>
                <w:color w:val="auto"/>
                <w:szCs w:val="22"/>
                <w:highlight w:val="none"/>
              </w:rPr>
            </w:pPr>
          </w:p>
        </w:tc>
      </w:tr>
      <w:tr w14:paraId="2919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665" w:type="dxa"/>
            <w:tcBorders>
              <w:top w:val="single" w:color="auto" w:sz="4" w:space="0"/>
              <w:left w:val="single" w:color="auto" w:sz="4" w:space="0"/>
              <w:bottom w:val="single" w:color="auto" w:sz="4" w:space="0"/>
              <w:right w:val="single" w:color="auto" w:sz="4" w:space="0"/>
            </w:tcBorders>
            <w:noWrap w:val="0"/>
            <w:vAlign w:val="center"/>
          </w:tcPr>
          <w:p w14:paraId="496443C5">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default" w:ascii="宋体" w:hAnsi="宋体"/>
                <w:color w:val="auto"/>
                <w:szCs w:val="22"/>
                <w:highlight w:val="none"/>
              </w:rPr>
              <w:t>2</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3C5956E0">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909" w:type="dxa"/>
            <w:tcBorders>
              <w:top w:val="single" w:color="auto" w:sz="4" w:space="0"/>
              <w:left w:val="single" w:color="auto" w:sz="4" w:space="0"/>
              <w:bottom w:val="single" w:color="auto" w:sz="4" w:space="0"/>
              <w:right w:val="single" w:color="auto" w:sz="4" w:space="0"/>
            </w:tcBorders>
            <w:noWrap w:val="0"/>
            <w:vAlign w:val="center"/>
          </w:tcPr>
          <w:p w14:paraId="33E5E6A1">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14:paraId="7A4F2859">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61B4637C">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14:paraId="770EFB97">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6D4D79DC">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48F17C1">
            <w:pPr>
              <w:keepNext w:val="0"/>
              <w:keepLines w:val="0"/>
              <w:suppressLineNumbers w:val="0"/>
              <w:spacing w:before="0" w:beforeAutospacing="0" w:after="0" w:afterAutospacing="0"/>
              <w:ind w:left="0" w:right="0"/>
              <w:rPr>
                <w:rFonts w:hint="default" w:ascii="宋体" w:hAnsi="宋体"/>
                <w:color w:val="auto"/>
                <w:szCs w:val="22"/>
                <w:highlight w:val="none"/>
              </w:rPr>
            </w:pPr>
          </w:p>
        </w:tc>
      </w:tr>
      <w:tr w14:paraId="3609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665" w:type="dxa"/>
            <w:tcBorders>
              <w:top w:val="single" w:color="auto" w:sz="4" w:space="0"/>
              <w:left w:val="single" w:color="auto" w:sz="4" w:space="0"/>
              <w:bottom w:val="single" w:color="auto" w:sz="4" w:space="0"/>
              <w:right w:val="single" w:color="auto" w:sz="4" w:space="0"/>
            </w:tcBorders>
            <w:noWrap w:val="0"/>
            <w:vAlign w:val="center"/>
          </w:tcPr>
          <w:p w14:paraId="2263803B">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default" w:ascii="宋体" w:hAnsi="宋体"/>
                <w:color w:val="auto"/>
                <w:szCs w:val="22"/>
                <w:highlight w:val="none"/>
              </w:rPr>
              <w:t>...</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46A5BAD1">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909" w:type="dxa"/>
            <w:tcBorders>
              <w:top w:val="single" w:color="auto" w:sz="4" w:space="0"/>
              <w:left w:val="single" w:color="auto" w:sz="4" w:space="0"/>
              <w:bottom w:val="single" w:color="auto" w:sz="4" w:space="0"/>
              <w:right w:val="single" w:color="auto" w:sz="4" w:space="0"/>
            </w:tcBorders>
            <w:noWrap w:val="0"/>
            <w:vAlign w:val="center"/>
          </w:tcPr>
          <w:p w14:paraId="59B79555">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14:paraId="17859209">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A22D692">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1402" w:type="dxa"/>
            <w:tcBorders>
              <w:top w:val="single" w:color="auto" w:sz="4" w:space="0"/>
              <w:left w:val="single" w:color="auto" w:sz="4" w:space="0"/>
              <w:bottom w:val="single" w:color="auto" w:sz="4" w:space="0"/>
              <w:right w:val="single" w:color="auto" w:sz="4" w:space="0"/>
            </w:tcBorders>
            <w:noWrap w:val="0"/>
            <w:vAlign w:val="center"/>
          </w:tcPr>
          <w:p w14:paraId="0A8FDECB">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556369C2">
            <w:pPr>
              <w:keepNext w:val="0"/>
              <w:keepLines w:val="0"/>
              <w:suppressLineNumbers w:val="0"/>
              <w:spacing w:before="0" w:beforeAutospacing="0" w:after="0" w:afterAutospacing="0"/>
              <w:ind w:left="0" w:right="0"/>
              <w:rPr>
                <w:rFonts w:hint="default" w:ascii="宋体" w:hAnsi="宋体"/>
                <w:color w:val="auto"/>
                <w:szCs w:val="22"/>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5B864A4">
            <w:pPr>
              <w:keepNext w:val="0"/>
              <w:keepLines w:val="0"/>
              <w:suppressLineNumbers w:val="0"/>
              <w:spacing w:before="0" w:beforeAutospacing="0" w:after="0" w:afterAutospacing="0"/>
              <w:ind w:left="0" w:right="0"/>
              <w:rPr>
                <w:rFonts w:hint="default" w:ascii="宋体" w:hAnsi="宋体"/>
                <w:color w:val="auto"/>
                <w:szCs w:val="22"/>
                <w:highlight w:val="none"/>
              </w:rPr>
            </w:pPr>
          </w:p>
        </w:tc>
      </w:tr>
      <w:tr w14:paraId="4987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9075" w:type="dxa"/>
            <w:gridSpan w:val="8"/>
            <w:tcBorders>
              <w:top w:val="single" w:color="auto" w:sz="4" w:space="0"/>
              <w:left w:val="single" w:color="auto" w:sz="4" w:space="0"/>
              <w:bottom w:val="single" w:color="auto" w:sz="4" w:space="0"/>
              <w:right w:val="single" w:color="auto" w:sz="4" w:space="0"/>
            </w:tcBorders>
            <w:noWrap w:val="0"/>
            <w:vAlign w:val="top"/>
          </w:tcPr>
          <w:p w14:paraId="4F7B3780">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2"/>
                <w:highlight w:val="none"/>
              </w:rPr>
              <w:t>报价合计（包含税费等所有费用）：（大写）人民币</w:t>
            </w:r>
            <w:r>
              <w:rPr>
                <w:rFonts w:hint="default" w:ascii="宋体" w:hAnsi="宋体"/>
                <w:color w:val="auto"/>
                <w:szCs w:val="22"/>
                <w:highlight w:val="none"/>
              </w:rPr>
              <w:t xml:space="preserve">                                       </w:t>
            </w:r>
            <w:r>
              <w:rPr>
                <w:rFonts w:hint="eastAsia" w:ascii="宋体" w:hAnsi="宋体"/>
                <w:color w:val="auto"/>
                <w:szCs w:val="22"/>
                <w:highlight w:val="none"/>
              </w:rPr>
              <w:t>（￥</w:t>
            </w:r>
            <w:r>
              <w:rPr>
                <w:rFonts w:hint="default" w:ascii="宋体" w:hAnsi="宋体"/>
                <w:color w:val="auto"/>
                <w:szCs w:val="22"/>
                <w:highlight w:val="none"/>
              </w:rPr>
              <w:t xml:space="preserve">                </w:t>
            </w:r>
            <w:r>
              <w:rPr>
                <w:rFonts w:hint="eastAsia" w:ascii="宋体" w:hAnsi="宋体"/>
                <w:color w:val="auto"/>
                <w:szCs w:val="22"/>
                <w:highlight w:val="none"/>
              </w:rPr>
              <w:t>元）</w:t>
            </w:r>
          </w:p>
        </w:tc>
      </w:tr>
      <w:tr w14:paraId="318D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9075" w:type="dxa"/>
            <w:gridSpan w:val="8"/>
            <w:tcBorders>
              <w:top w:val="single" w:color="auto" w:sz="4" w:space="0"/>
              <w:left w:val="single" w:color="auto" w:sz="4" w:space="0"/>
              <w:bottom w:val="single" w:color="auto" w:sz="4" w:space="0"/>
              <w:right w:val="single" w:color="auto" w:sz="4" w:space="0"/>
            </w:tcBorders>
            <w:noWrap w:val="0"/>
            <w:vAlign w:val="top"/>
          </w:tcPr>
          <w:p w14:paraId="511E3BF7">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w:t>
            </w:r>
            <w:r>
              <w:rPr>
                <w:rFonts w:hint="default" w:ascii="宋体" w:hAnsi="宋体"/>
                <w:color w:val="auto"/>
                <w:szCs w:val="21"/>
                <w:highlight w:val="none"/>
              </w:rPr>
              <w:t>“</w:t>
            </w:r>
            <w:r>
              <w:rPr>
                <w:rFonts w:hint="eastAsia" w:ascii="宋体" w:hAnsi="宋体"/>
                <w:color w:val="auto"/>
                <w:szCs w:val="21"/>
                <w:highlight w:val="none"/>
              </w:rPr>
              <w:t>无</w:t>
            </w:r>
            <w:r>
              <w:rPr>
                <w:rFonts w:hint="default" w:ascii="宋体" w:hAnsi="宋体"/>
                <w:color w:val="auto"/>
                <w:szCs w:val="21"/>
                <w:highlight w:val="none"/>
              </w:rPr>
              <w:t>”</w:t>
            </w:r>
            <w:r>
              <w:rPr>
                <w:rFonts w:hint="eastAsia" w:ascii="宋体" w:hAnsi="宋体"/>
                <w:color w:val="auto"/>
                <w:szCs w:val="21"/>
                <w:highlight w:val="none"/>
              </w:rPr>
              <w:t>）</w:t>
            </w:r>
          </w:p>
        </w:tc>
      </w:tr>
      <w:tr w14:paraId="1DA0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9075" w:type="dxa"/>
            <w:gridSpan w:val="8"/>
            <w:tcBorders>
              <w:top w:val="single" w:color="auto" w:sz="4" w:space="0"/>
              <w:left w:val="single" w:color="auto" w:sz="4" w:space="0"/>
              <w:bottom w:val="single" w:color="auto" w:sz="4" w:space="0"/>
              <w:right w:val="single" w:color="auto" w:sz="4" w:space="0"/>
            </w:tcBorders>
            <w:noWrap w:val="0"/>
            <w:vAlign w:val="top"/>
          </w:tcPr>
          <w:p w14:paraId="48785ECF">
            <w:pPr>
              <w:keepNext w:val="0"/>
              <w:keepLines w:val="0"/>
              <w:suppressLineNumbers w:val="0"/>
              <w:spacing w:before="0" w:beforeAutospacing="0" w:after="0" w:afterAutospacing="0"/>
              <w:ind w:left="0" w:right="0"/>
              <w:rPr>
                <w:rFonts w:hint="default" w:ascii="宋体" w:hAnsi="宋体"/>
                <w:color w:val="auto"/>
                <w:szCs w:val="22"/>
                <w:highlight w:val="none"/>
              </w:rPr>
            </w:pPr>
            <w:r>
              <w:rPr>
                <w:rFonts w:hint="eastAsia" w:ascii="宋体" w:hAnsi="宋体"/>
                <w:color w:val="auto"/>
                <w:szCs w:val="22"/>
                <w:highlight w:val="none"/>
              </w:rPr>
              <w:t>验收标准：</w:t>
            </w:r>
          </w:p>
        </w:tc>
      </w:tr>
      <w:tr w14:paraId="3189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9075" w:type="dxa"/>
            <w:gridSpan w:val="8"/>
            <w:tcBorders>
              <w:top w:val="single" w:color="auto" w:sz="4" w:space="0"/>
              <w:left w:val="single" w:color="auto" w:sz="4" w:space="0"/>
              <w:bottom w:val="single" w:color="auto" w:sz="4" w:space="0"/>
              <w:right w:val="single" w:color="auto" w:sz="4" w:space="0"/>
            </w:tcBorders>
            <w:noWrap w:val="0"/>
            <w:vAlign w:val="top"/>
          </w:tcPr>
          <w:p w14:paraId="625502AF">
            <w:pPr>
              <w:keepNext w:val="0"/>
              <w:keepLines w:val="0"/>
              <w:suppressLineNumbers w:val="0"/>
              <w:spacing w:before="0" w:beforeAutospacing="0" w:after="0" w:afterAutospacing="0"/>
              <w:ind w:left="0" w:right="0"/>
              <w:rPr>
                <w:rFonts w:hint="eastAsia" w:ascii="宋体" w:hAnsi="宋体"/>
                <w:color w:val="auto"/>
                <w:szCs w:val="22"/>
                <w:highlight w:val="none"/>
              </w:rPr>
            </w:pPr>
            <w:r>
              <w:rPr>
                <w:rFonts w:hint="eastAsia" w:ascii="宋体" w:hAnsi="宋体"/>
                <w:color w:val="auto"/>
                <w:szCs w:val="22"/>
                <w:highlight w:val="none"/>
              </w:rPr>
              <w:t>优惠</w:t>
            </w:r>
            <w:r>
              <w:rPr>
                <w:rFonts w:hint="eastAsia" w:ascii="宋体" w:hAnsi="宋体"/>
                <w:color w:val="auto"/>
                <w:szCs w:val="22"/>
                <w:highlight w:val="none"/>
                <w:lang w:eastAsia="zh-CN"/>
              </w:rPr>
              <w:t>及其他</w:t>
            </w:r>
            <w:r>
              <w:rPr>
                <w:rFonts w:hint="eastAsia" w:ascii="宋体" w:hAnsi="宋体"/>
                <w:color w:val="auto"/>
                <w:szCs w:val="22"/>
                <w:highlight w:val="none"/>
              </w:rPr>
              <w:t>：</w:t>
            </w:r>
          </w:p>
        </w:tc>
      </w:tr>
    </w:tbl>
    <w:p w14:paraId="1F2DF879">
      <w:pPr>
        <w:snapToGrid w:val="0"/>
        <w:spacing w:before="50" w:after="5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注： </w:t>
      </w:r>
    </w:p>
    <w:p w14:paraId="473385C8">
      <w:pPr>
        <w:snapToGrid w:val="0"/>
        <w:spacing w:before="50" w:after="5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1、 供应商需按本表格式填写，不得自行更改，也不得留空, 如有多分标，按分标分别提供响应报价表</w:t>
      </w:r>
      <w:r>
        <w:rPr>
          <w:rFonts w:hint="eastAsia" w:ascii="仿宋_GB2312" w:hAnsi="仿宋" w:eastAsia="仿宋_GB2312" w:cs="仿宋_GB2312"/>
          <w:b/>
          <w:color w:val="auto"/>
          <w:kern w:val="0"/>
          <w:sz w:val="24"/>
          <w:highlight w:val="none"/>
          <w:lang w:val="zh-CN"/>
        </w:rPr>
        <w:t>。</w:t>
      </w:r>
    </w:p>
    <w:p w14:paraId="3710D3C0">
      <w:pPr>
        <w:snapToGrid w:val="0"/>
        <w:spacing w:before="50" w:after="50"/>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kern w:val="0"/>
          <w:sz w:val="24"/>
          <w:highlight w:val="none"/>
          <w:lang w:val="zh-CN"/>
        </w:rPr>
        <w:t>否则其响应作无效响应处理。</w:t>
      </w:r>
    </w:p>
    <w:p w14:paraId="66165533">
      <w:pPr>
        <w:snapToGrid w:val="0"/>
        <w:spacing w:before="50" w:after="50"/>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3、以上表格要求细分项目及报价，在“具体服务内容”一栏中，填写具体服务范围、服务时间、服务标准，</w:t>
      </w:r>
      <w:r>
        <w:rPr>
          <w:rFonts w:hint="eastAsia" w:ascii="仿宋_GB2312" w:hAnsi="仿宋" w:eastAsia="仿宋_GB2312" w:cs="仿宋_GB2312"/>
          <w:b/>
          <w:color w:val="auto"/>
          <w:kern w:val="0"/>
          <w:sz w:val="24"/>
          <w:highlight w:val="none"/>
          <w:lang w:val="zh-CN"/>
        </w:rPr>
        <w:t>否则其响应作无效响应处理。</w:t>
      </w:r>
    </w:p>
    <w:p w14:paraId="5E12763A">
      <w:pPr>
        <w:snapToGrid w:val="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4、特别提示：采购机构将对项目名称和项目编号，成交供应商名称、地址和成交金额，主要成交标的的名称、服务范围、服务要求、服务时间、服务标准等予以公示。</w:t>
      </w:r>
    </w:p>
    <w:p w14:paraId="6982FD3B">
      <w:pPr>
        <w:snapToGrid w:val="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szCs w:val="22"/>
          <w:highlight w:val="none"/>
          <w:lang w:val="zh-CN"/>
        </w:rPr>
        <w:t>5、</w:t>
      </w:r>
      <w:r>
        <w:rPr>
          <w:rFonts w:hint="eastAsia" w:ascii="仿宋_GB2312" w:hAnsi="仿宋" w:eastAsia="仿宋_GB2312" w:cs="仿宋_GB2312"/>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390EEED8">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4ED6F26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2AF5A04">
      <w:pPr>
        <w:rPr>
          <w:rFonts w:hint="eastAsia" w:ascii="宋体" w:hAnsi="宋体"/>
          <w:color w:val="auto"/>
          <w:highlight w:val="none"/>
          <w:lang w:val="en-US" w:eastAsia="zh-CN"/>
        </w:rPr>
      </w:pPr>
    </w:p>
    <w:p w14:paraId="345B3286">
      <w:pPr>
        <w:pStyle w:val="3"/>
        <w:jc w:val="center"/>
        <w:rPr>
          <w:rFonts w:ascii="宋体" w:hAnsi="宋体"/>
          <w:b w:val="0"/>
          <w:color w:val="auto"/>
          <w:highlight w:val="none"/>
        </w:rPr>
      </w:pPr>
      <w:bookmarkStart w:id="92" w:name="_Toc18183"/>
      <w:r>
        <w:rPr>
          <w:rFonts w:hint="eastAsia" w:ascii="宋体" w:hAnsi="宋体"/>
          <w:color w:val="auto"/>
          <w:highlight w:val="none"/>
          <w:lang w:val="en-US" w:eastAsia="zh-CN"/>
        </w:rPr>
        <w:t>第五节 其他文书、文件格式</w:t>
      </w:r>
      <w:bookmarkEnd w:id="91"/>
      <w:bookmarkEnd w:id="92"/>
    </w:p>
    <w:p w14:paraId="06A76162">
      <w:pPr>
        <w:jc w:val="center"/>
        <w:rPr>
          <w:rFonts w:hint="eastAsia"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1998FE2D">
      <w:pP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w:t>
      </w:r>
    </w:p>
    <w:p w14:paraId="69244E02">
      <w:pPr>
        <w:rPr>
          <w:rFonts w:hint="eastAsia" w:ascii="仿宋_GB2312" w:hAnsi="仿宋_GB2312" w:eastAsia="仿宋_GB2312" w:cs="仿宋_GB2312"/>
          <w:color w:val="auto"/>
          <w:sz w:val="30"/>
          <w:szCs w:val="30"/>
          <w:highlight w:val="none"/>
          <w:lang w:val="en"/>
        </w:rPr>
      </w:pPr>
      <w:r>
        <w:rPr>
          <w:rFonts w:hint="eastAsia" w:ascii="仿宋_GB2312" w:hAnsi="仿宋_GB2312" w:eastAsia="仿宋_GB2312" w:cs="仿宋_GB2312"/>
          <w:color w:val="auto"/>
          <w:sz w:val="30"/>
          <w:szCs w:val="30"/>
          <w:highlight w:val="none"/>
        </w:rPr>
        <w:t xml:space="preserve">    本</w:t>
      </w:r>
      <w:r>
        <w:rPr>
          <w:rFonts w:hint="eastAsia" w:ascii="仿宋_GB2312" w:hAnsi="仿宋_GB2312" w:eastAsia="仿宋_GB2312" w:cs="仿宋_GB2312"/>
          <w:color w:val="auto"/>
          <w:sz w:val="30"/>
          <w:szCs w:val="30"/>
          <w:highlight w:val="none"/>
          <w:lang w:val="en"/>
        </w:rPr>
        <w:t>企业（单位）自愿参与政府投资政府采购的</w:t>
      </w:r>
      <w:r>
        <w:rPr>
          <w:rFonts w:hint="eastAsia" w:ascii="仿宋_GB2312" w:hAnsi="仿宋_GB2312" w:eastAsia="仿宋_GB2312" w:cs="仿宋_GB2312"/>
          <w:color w:val="auto"/>
          <w:sz w:val="30"/>
          <w:szCs w:val="30"/>
          <w:highlight w:val="none"/>
          <w:u w:val="single"/>
          <w:lang w:val="en" w:eastAsia="zh-CN"/>
        </w:rPr>
        <w:t>2026年南宁市武鸣区基层就业服务网点（就业服务站）项目</w:t>
      </w:r>
      <w:r>
        <w:rPr>
          <w:rFonts w:hint="eastAsia" w:ascii="仿宋_GB2312" w:hAnsi="仿宋_GB2312" w:eastAsia="仿宋_GB2312" w:cs="仿宋_GB2312"/>
          <w:color w:val="auto"/>
          <w:sz w:val="30"/>
          <w:szCs w:val="30"/>
          <w:highlight w:val="none"/>
          <w:lang w:val="en"/>
        </w:rPr>
        <w:t>项目，</w:t>
      </w:r>
      <w:r>
        <w:rPr>
          <w:rFonts w:hint="eastAsia" w:ascii="仿宋_GB2312" w:hAnsi="仿宋_GB2312" w:eastAsia="仿宋_GB2312" w:cs="仿宋_GB2312"/>
          <w:b/>
          <w:bCs/>
          <w:color w:val="auto"/>
          <w:sz w:val="30"/>
          <w:szCs w:val="30"/>
          <w:highlight w:val="none"/>
          <w:lang w:val="en"/>
        </w:rPr>
        <w:t>在此郑重承诺：</w:t>
      </w:r>
      <w:r>
        <w:rPr>
          <w:rFonts w:hint="eastAsia" w:ascii="仿宋_GB2312" w:hAnsi="仿宋_GB2312" w:eastAsia="仿宋_GB2312" w:cs="仿宋_GB2312"/>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811006E">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596AC27A">
      <w:pPr>
        <w:snapToGrid w:val="0"/>
        <w:spacing w:line="360" w:lineRule="auto"/>
        <w:ind w:left="5137" w:leftChars="1736" w:hanging="1491" w:hangingChars="825"/>
        <w:rPr>
          <w:rFonts w:hint="eastAsia"/>
          <w:b/>
          <w:color w:val="auto"/>
          <w:sz w:val="18"/>
          <w:szCs w:val="18"/>
          <w:highlight w:val="none"/>
        </w:rPr>
      </w:pPr>
    </w:p>
    <w:p w14:paraId="4BBD8D38">
      <w:pPr>
        <w:snapToGrid w:val="0"/>
        <w:spacing w:line="360" w:lineRule="auto"/>
        <w:ind w:left="5137" w:leftChars="1736" w:hanging="1491" w:hangingChars="825"/>
        <w:rPr>
          <w:rFonts w:hint="eastAsia"/>
          <w:b/>
          <w:color w:val="auto"/>
          <w:sz w:val="18"/>
          <w:szCs w:val="18"/>
          <w:highlight w:val="none"/>
        </w:rPr>
      </w:pPr>
    </w:p>
    <w:p w14:paraId="06C37F3D">
      <w:pPr>
        <w:snapToGrid w:val="0"/>
        <w:spacing w:line="360" w:lineRule="auto"/>
        <w:ind w:left="5137" w:leftChars="1736" w:hanging="1491" w:hangingChars="825"/>
        <w:rPr>
          <w:rFonts w:hint="eastAsia"/>
          <w:b/>
          <w:color w:val="auto"/>
          <w:sz w:val="18"/>
          <w:szCs w:val="18"/>
          <w:highlight w:val="none"/>
        </w:rPr>
      </w:pPr>
    </w:p>
    <w:p w14:paraId="44129EC5">
      <w:pPr>
        <w:snapToGrid w:val="0"/>
        <w:spacing w:line="360" w:lineRule="auto"/>
        <w:ind w:left="5137" w:leftChars="1736" w:hanging="1491" w:hangingChars="825"/>
        <w:rPr>
          <w:rFonts w:hint="eastAsia" w:ascii="仿宋_GB2312" w:hAnsi="仿宋" w:eastAsia="仿宋_GB2312" w:cs="仿宋_GB2312"/>
          <w:color w:val="auto"/>
          <w:kern w:val="0"/>
          <w:sz w:val="24"/>
          <w:highlight w:val="none"/>
        </w:rPr>
      </w:pPr>
      <w:r>
        <w:rPr>
          <w:rFonts w:hint="eastAsia"/>
          <w:b/>
          <w:color w:val="auto"/>
          <w:sz w:val="18"/>
          <w:szCs w:val="18"/>
          <w:highlight w:val="none"/>
        </w:rPr>
        <w:t xml:space="preserve">      </w:t>
      </w:r>
      <w:r>
        <w:rPr>
          <w:rFonts w:hint="eastAsia" w:ascii="仿宋_GB2312" w:hAnsi="仿宋" w:eastAsia="仿宋_GB2312" w:cs="仿宋_GB2312"/>
          <w:color w:val="auto"/>
          <w:kern w:val="0"/>
          <w:sz w:val="24"/>
          <w:highlight w:val="none"/>
          <w:lang w:val="zh-CN"/>
        </w:rPr>
        <w:t>投标人名称(电子签章)：</w:t>
      </w:r>
    </w:p>
    <w:p w14:paraId="415F3F0B">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4ED1EB7">
      <w:pPr>
        <w:spacing w:line="520" w:lineRule="exact"/>
        <w:rPr>
          <w:rFonts w:ascii="宋体" w:hAnsi="宋体" w:cs="仿宋_GB2312"/>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3B0371D2">
      <w:pPr>
        <w:spacing w:line="520" w:lineRule="exact"/>
        <w:jc w:val="center"/>
        <w:rPr>
          <w:rFonts w:ascii="宋体" w:hAnsi="宋体"/>
          <w:color w:val="auto"/>
          <w:sz w:val="24"/>
          <w:highlight w:val="none"/>
        </w:rPr>
      </w:pPr>
    </w:p>
    <w:p w14:paraId="559E8CB9">
      <w:pPr>
        <w:spacing w:line="520" w:lineRule="exact"/>
        <w:jc w:val="center"/>
        <w:rPr>
          <w:rFonts w:ascii="宋体" w:hAnsi="宋体"/>
          <w:color w:val="auto"/>
          <w:sz w:val="24"/>
          <w:highlight w:val="none"/>
        </w:rPr>
      </w:pPr>
    </w:p>
    <w:p w14:paraId="5BA8C8BB">
      <w:pPr>
        <w:spacing w:line="520" w:lineRule="exact"/>
        <w:jc w:val="center"/>
        <w:rPr>
          <w:rFonts w:ascii="宋体" w:hAnsi="宋体"/>
          <w:color w:val="auto"/>
          <w:sz w:val="24"/>
          <w:highlight w:val="none"/>
        </w:rPr>
      </w:pPr>
    </w:p>
    <w:p w14:paraId="6481159B">
      <w:pPr>
        <w:rPr>
          <w:rFonts w:hint="eastAsia"/>
          <w:color w:val="auto"/>
          <w:highlight w:val="none"/>
        </w:rPr>
      </w:pPr>
    </w:p>
    <w:p w14:paraId="6DA24E90">
      <w:pPr>
        <w:rPr>
          <w:rFonts w:hint="eastAsia"/>
          <w:color w:val="auto"/>
          <w:highlight w:val="none"/>
        </w:rPr>
      </w:pPr>
    </w:p>
    <w:p w14:paraId="5C2A8A3E">
      <w:pPr>
        <w:pStyle w:val="2"/>
        <w:jc w:val="center"/>
        <w:rPr>
          <w:rFonts w:hint="eastAsia" w:ascii="宋体" w:hAnsi="宋体"/>
          <w:b/>
          <w:bCs/>
          <w:color w:val="auto"/>
          <w:highlight w:val="none"/>
        </w:rPr>
      </w:pPr>
      <w:bookmarkStart w:id="93" w:name="_Toc21523"/>
      <w:r>
        <w:rPr>
          <w:rFonts w:hint="eastAsia" w:ascii="宋体" w:hAnsi="宋体"/>
          <w:b w:val="0"/>
          <w:bCs w:val="0"/>
          <w:color w:val="auto"/>
          <w:highlight w:val="none"/>
        </w:rPr>
        <w:t xml:space="preserve">第六章 </w:t>
      </w:r>
      <w:r>
        <w:rPr>
          <w:rFonts w:ascii="宋体" w:hAnsi="宋体"/>
          <w:b w:val="0"/>
          <w:bCs w:val="0"/>
          <w:color w:val="auto"/>
          <w:highlight w:val="none"/>
        </w:rPr>
        <w:t xml:space="preserve"> </w:t>
      </w:r>
      <w:r>
        <w:rPr>
          <w:rFonts w:hint="eastAsia" w:ascii="宋体" w:hAnsi="宋体"/>
          <w:b w:val="0"/>
          <w:bCs w:val="0"/>
          <w:color w:val="auto"/>
          <w:highlight w:val="none"/>
        </w:rPr>
        <w:t>合同文本</w:t>
      </w:r>
      <w:r>
        <w:rPr>
          <w:rFonts w:ascii="宋体" w:hAnsi="宋体"/>
          <w:b w:val="0"/>
          <w:bCs w:val="0"/>
          <w:color w:val="auto"/>
          <w:highlight w:val="none"/>
        </w:rPr>
        <w:br w:type="page"/>
      </w:r>
      <w:r>
        <w:rPr>
          <w:rFonts w:hint="eastAsia" w:ascii="仿宋_GB2312" w:hAnsi="楷体" w:eastAsia="仿宋_GB2312"/>
          <w:color w:val="auto"/>
          <w:sz w:val="24"/>
          <w:highlight w:val="none"/>
        </w:rPr>
        <w:t>“</w:t>
      </w:r>
      <w:r>
        <w:rPr>
          <w:rFonts w:hint="eastAsia" w:ascii="仿宋_GB2312" w:hAnsi="楷体" w:eastAsia="仿宋_GB2312" w:cs="Times New Roman"/>
          <w:color w:val="auto"/>
          <w:sz w:val="24"/>
          <w:highlight w:val="none"/>
        </w:rPr>
        <w:t>广西政府采购云”平</w:t>
      </w:r>
      <w:r>
        <w:rPr>
          <w:rFonts w:hint="eastAsia" w:ascii="仿宋_GB2312" w:hAnsi="楷体" w:eastAsia="仿宋_GB2312"/>
          <w:color w:val="auto"/>
          <w:sz w:val="24"/>
          <w:highlight w:val="none"/>
        </w:rPr>
        <w:t>台合同编号：</w:t>
      </w:r>
      <w:bookmarkEnd w:id="93"/>
    </w:p>
    <w:p w14:paraId="4687F696">
      <w:pPr>
        <w:spacing w:line="360" w:lineRule="auto"/>
        <w:jc w:val="center"/>
        <w:rPr>
          <w:rFonts w:hint="eastAsia" w:ascii="宋体"/>
          <w:b/>
          <w:bCs/>
          <w:color w:val="auto"/>
          <w:sz w:val="52"/>
          <w:highlight w:val="none"/>
        </w:rPr>
      </w:pPr>
      <w:r>
        <w:rPr>
          <w:rFonts w:hint="eastAsia" w:ascii="宋体"/>
          <w:b/>
          <w:bCs/>
          <w:color w:val="auto"/>
          <w:sz w:val="52"/>
          <w:highlight w:val="none"/>
        </w:rPr>
        <w:t>南 宁 市 政 府 采 购</w:t>
      </w:r>
    </w:p>
    <w:p w14:paraId="2E40CEBA">
      <w:pPr>
        <w:spacing w:line="360" w:lineRule="auto"/>
        <w:ind w:firstLine="420" w:firstLineChars="200"/>
        <w:rPr>
          <w:rFonts w:hint="eastAsia" w:ascii="宋体"/>
          <w:color w:val="auto"/>
          <w:highlight w:val="none"/>
        </w:rPr>
      </w:pPr>
    </w:p>
    <w:p w14:paraId="69615BF5">
      <w:pPr>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252BE71C">
      <w:pPr>
        <w:spacing w:line="360" w:lineRule="auto"/>
        <w:jc w:val="center"/>
        <w:rPr>
          <w:rFonts w:hint="eastAsia" w:ascii="宋体"/>
          <w:b/>
          <w:bCs/>
          <w:color w:val="auto"/>
          <w:sz w:val="44"/>
          <w:highlight w:val="none"/>
        </w:rPr>
      </w:pPr>
      <w:r>
        <w:rPr>
          <w:rFonts w:hint="eastAsia" w:ascii="宋体"/>
          <w:b/>
          <w:bCs/>
          <w:color w:val="auto"/>
          <w:sz w:val="44"/>
          <w:highlight w:val="none"/>
          <w:u w:val="single"/>
        </w:rPr>
        <w:t xml:space="preserve"> </w:t>
      </w:r>
      <w:r>
        <w:rPr>
          <w:rFonts w:hint="eastAsia" w:ascii="宋体"/>
          <w:b/>
          <w:bCs/>
          <w:color w:val="auto"/>
          <w:sz w:val="44"/>
          <w:highlight w:val="none"/>
          <w:u w:val="single"/>
          <w:lang w:eastAsia="zh-CN"/>
        </w:rPr>
        <w:t>2026年南宁市武鸣区基层就业服务网点（就业服务站）项目</w:t>
      </w:r>
      <w:r>
        <w:rPr>
          <w:rFonts w:hint="eastAsia" w:ascii="宋体"/>
          <w:b/>
          <w:bCs/>
          <w:color w:val="auto"/>
          <w:sz w:val="44"/>
          <w:highlight w:val="none"/>
        </w:rPr>
        <w:t>合同</w:t>
      </w:r>
    </w:p>
    <w:p w14:paraId="682FEB6C">
      <w:pPr>
        <w:spacing w:line="360" w:lineRule="auto"/>
        <w:jc w:val="center"/>
        <w:rPr>
          <w:rFonts w:hint="eastAsia" w:ascii="宋体"/>
          <w:b/>
          <w:bCs/>
          <w:color w:val="auto"/>
          <w:sz w:val="44"/>
          <w:highlight w:val="none"/>
        </w:rPr>
      </w:pPr>
    </w:p>
    <w:p w14:paraId="06CC0C6D">
      <w:pPr>
        <w:spacing w:line="360" w:lineRule="auto"/>
        <w:ind w:firstLine="3507" w:firstLineChars="794"/>
        <w:rPr>
          <w:rFonts w:hint="eastAsia" w:ascii="宋体"/>
          <w:b/>
          <w:bCs/>
          <w:color w:val="auto"/>
          <w:sz w:val="44"/>
          <w:highlight w:val="none"/>
        </w:rPr>
      </w:pPr>
    </w:p>
    <w:p w14:paraId="0D1FAF23">
      <w:pPr>
        <w:spacing w:line="360" w:lineRule="auto"/>
        <w:ind w:firstLine="3507" w:firstLineChars="794"/>
        <w:rPr>
          <w:rFonts w:hint="eastAsia" w:ascii="宋体"/>
          <w:b/>
          <w:bCs/>
          <w:color w:val="auto"/>
          <w:sz w:val="44"/>
          <w:highlight w:val="none"/>
        </w:rPr>
      </w:pPr>
    </w:p>
    <w:p w14:paraId="4B90A101">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lang w:eastAsia="zh-CN"/>
        </w:rPr>
        <w:t>NNZC2026-C3-100081-GXXZ</w:t>
      </w:r>
      <w:r>
        <w:rPr>
          <w:rFonts w:hint="eastAsia" w:ascii="宋体" w:hAnsi="宋体"/>
          <w:b/>
          <w:color w:val="auto"/>
          <w:sz w:val="36"/>
          <w:szCs w:val="36"/>
          <w:highlight w:val="none"/>
          <w:u w:val="single"/>
        </w:rPr>
        <w:t xml:space="preserve">  </w:t>
      </w:r>
    </w:p>
    <w:p w14:paraId="71D253EB">
      <w:pPr>
        <w:ind w:firstLine="1995" w:firstLineChars="552"/>
        <w:rPr>
          <w:rFonts w:hint="default" w:ascii="宋体" w:hAnsi="宋体" w:eastAsia="宋体" w:cs="Times New Roman"/>
          <w:b/>
          <w:color w:val="auto"/>
          <w:sz w:val="36"/>
          <w:szCs w:val="36"/>
          <w:highlight w:val="none"/>
          <w:u w:val="single"/>
          <w:lang w:val="en-US" w:eastAsia="zh-CN"/>
        </w:rPr>
      </w:pPr>
      <w:r>
        <w:rPr>
          <w:rFonts w:hint="eastAsia" w:ascii="宋体" w:hAnsi="宋体"/>
          <w:b/>
          <w:color w:val="auto"/>
          <w:sz w:val="36"/>
          <w:szCs w:val="36"/>
          <w:highlight w:val="none"/>
        </w:rPr>
        <w:t>采购计划编号：</w:t>
      </w:r>
      <w:r>
        <w:rPr>
          <w:rFonts w:hint="eastAsia" w:ascii="宋体" w:hAnsi="宋体" w:eastAsia="宋体" w:cs="Times New Roman"/>
          <w:b/>
          <w:color w:val="auto"/>
          <w:sz w:val="36"/>
          <w:szCs w:val="36"/>
          <w:highlight w:val="none"/>
          <w:u w:val="single"/>
          <w:lang w:eastAsia="zh-CN"/>
        </w:rPr>
        <w:t xml:space="preserve"> </w:t>
      </w:r>
      <w:r>
        <w:rPr>
          <w:rFonts w:hint="eastAsia" w:ascii="宋体" w:hAnsi="宋体" w:eastAsia="宋体" w:cs="Times New Roman"/>
          <w:b/>
          <w:color w:val="auto"/>
          <w:sz w:val="36"/>
          <w:szCs w:val="36"/>
          <w:highlight w:val="none"/>
          <w:u w:val="single"/>
          <w:lang w:val="en-US" w:eastAsia="zh-CN"/>
        </w:rPr>
        <w:t xml:space="preserve"> </w:t>
      </w:r>
      <w:r>
        <w:rPr>
          <w:rFonts w:hint="eastAsia" w:ascii="宋体" w:hAnsi="宋体" w:eastAsia="宋体" w:cs="Times New Roman"/>
          <w:b/>
          <w:color w:val="auto"/>
          <w:sz w:val="36"/>
          <w:szCs w:val="36"/>
          <w:highlight w:val="none"/>
          <w:u w:val="single"/>
          <w:lang w:eastAsia="zh-CN"/>
        </w:rPr>
        <w:t>WMZC2024-C3-00117</w:t>
      </w:r>
      <w:r>
        <w:rPr>
          <w:rFonts w:hint="eastAsia" w:ascii="宋体" w:hAnsi="宋体" w:eastAsia="宋体" w:cs="Times New Roman"/>
          <w:b/>
          <w:color w:val="auto"/>
          <w:sz w:val="36"/>
          <w:szCs w:val="36"/>
          <w:highlight w:val="none"/>
          <w:u w:val="single"/>
          <w:lang w:val="en-US" w:eastAsia="zh-CN"/>
        </w:rPr>
        <w:t xml:space="preserve">      </w:t>
      </w:r>
    </w:p>
    <w:p w14:paraId="30172C3E">
      <w:pPr>
        <w:ind w:firstLine="1308" w:firstLineChars="545"/>
        <w:rPr>
          <w:rFonts w:hint="eastAsia" w:ascii="宋体" w:hAnsi="宋体" w:cs="宋体"/>
          <w:color w:val="auto"/>
          <w:sz w:val="24"/>
          <w:highlight w:val="none"/>
        </w:rPr>
      </w:pPr>
    </w:p>
    <w:p w14:paraId="47FC2165">
      <w:pPr>
        <w:ind w:firstLine="1995" w:firstLineChars="552"/>
        <w:rPr>
          <w:rFonts w:hint="eastAsia" w:ascii="宋体" w:hAnsi="宋体"/>
          <w:b/>
          <w:color w:val="auto"/>
          <w:sz w:val="36"/>
          <w:szCs w:val="36"/>
          <w:highlight w:val="none"/>
          <w:u w:val="single"/>
        </w:rPr>
      </w:pPr>
    </w:p>
    <w:p w14:paraId="248DE625">
      <w:pPr>
        <w:ind w:firstLine="1995" w:firstLineChars="552"/>
        <w:rPr>
          <w:rFonts w:hint="eastAsia" w:ascii="宋体" w:hAnsi="宋体"/>
          <w:b/>
          <w:color w:val="auto"/>
          <w:sz w:val="36"/>
          <w:szCs w:val="36"/>
          <w:highlight w:val="none"/>
          <w:u w:val="single"/>
        </w:rPr>
      </w:pPr>
    </w:p>
    <w:p w14:paraId="5E52B0CA">
      <w:pPr>
        <w:tabs>
          <w:tab w:val="left" w:pos="7200"/>
        </w:tabs>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eastAsia="zh-CN"/>
        </w:rPr>
        <w:t>南宁市武鸣区人力资源和社会保障局</w:t>
      </w:r>
      <w:r>
        <w:rPr>
          <w:rFonts w:hint="eastAsia" w:ascii="宋体" w:hAnsi="宋体"/>
          <w:b/>
          <w:color w:val="auto"/>
          <w:sz w:val="36"/>
          <w:szCs w:val="36"/>
          <w:highlight w:val="none"/>
          <w:u w:val="single"/>
        </w:rPr>
        <w:t xml:space="preserve">  </w:t>
      </w:r>
    </w:p>
    <w:p w14:paraId="678795EF">
      <w:pPr>
        <w:tabs>
          <w:tab w:val="left" w:pos="7380"/>
        </w:tabs>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lang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rPr>
        <w:t xml:space="preserve">                   </w:t>
      </w:r>
    </w:p>
    <w:p w14:paraId="6E0C0494">
      <w:pPr>
        <w:tabs>
          <w:tab w:val="left" w:pos="7380"/>
        </w:tabs>
        <w:spacing w:line="360" w:lineRule="auto"/>
        <w:rPr>
          <w:rFonts w:hint="eastAsia" w:ascii="宋体"/>
          <w:b/>
          <w:bCs/>
          <w:color w:val="auto"/>
          <w:sz w:val="44"/>
          <w:highlight w:val="none"/>
        </w:rPr>
      </w:pPr>
    </w:p>
    <w:p w14:paraId="08E0453D">
      <w:pPr>
        <w:tabs>
          <w:tab w:val="left" w:pos="7380"/>
        </w:tabs>
        <w:spacing w:line="360" w:lineRule="auto"/>
        <w:jc w:val="center"/>
        <w:rPr>
          <w:rFonts w:hint="eastAsia" w:ascii="宋体"/>
          <w:b/>
          <w:bCs/>
          <w:color w:val="auto"/>
          <w:sz w:val="30"/>
          <w:szCs w:val="30"/>
          <w:highlight w:val="none"/>
        </w:rPr>
      </w:pPr>
    </w:p>
    <w:p w14:paraId="64F4172C">
      <w:pPr>
        <w:tabs>
          <w:tab w:val="left" w:pos="7380"/>
        </w:tabs>
        <w:spacing w:line="360" w:lineRule="auto"/>
        <w:jc w:val="center"/>
        <w:rPr>
          <w:rFonts w:hint="eastAsia" w:ascii="仿宋_GB2312" w:hAnsi="楷体" w:eastAsia="仿宋_GB2312"/>
          <w:color w:val="auto"/>
          <w:sz w:val="30"/>
          <w:szCs w:val="30"/>
          <w:highlight w:val="none"/>
          <w:lang w:val="zh-CN"/>
        </w:rPr>
      </w:pPr>
      <w:r>
        <w:rPr>
          <w:rFonts w:hint="eastAsia" w:ascii="仿宋_GB2312" w:hAnsi="楷体" w:eastAsia="仿宋_GB2312"/>
          <w:color w:val="auto"/>
          <w:sz w:val="30"/>
          <w:szCs w:val="30"/>
          <w:highlight w:val="none"/>
          <w:lang w:val="zh-CN"/>
        </w:rPr>
        <w:t>签订时间：</w:t>
      </w:r>
      <w:r>
        <w:rPr>
          <w:rFonts w:hint="eastAsia" w:ascii="仿宋_GB2312" w:hAnsi="楷体" w:eastAsia="仿宋_GB2312"/>
          <w:color w:val="auto"/>
          <w:sz w:val="30"/>
          <w:szCs w:val="30"/>
          <w:highlight w:val="none"/>
          <w:u w:val="single"/>
          <w:lang w:val="zh-CN"/>
        </w:rPr>
        <w:t xml:space="preserve">     </w:t>
      </w:r>
      <w:r>
        <w:rPr>
          <w:rFonts w:hint="eastAsia" w:ascii="仿宋_GB2312" w:hAnsi="楷体" w:eastAsia="仿宋_GB2312"/>
          <w:color w:val="auto"/>
          <w:sz w:val="30"/>
          <w:szCs w:val="30"/>
          <w:highlight w:val="none"/>
          <w:lang w:val="zh-CN"/>
        </w:rPr>
        <w:t>年</w:t>
      </w:r>
      <w:r>
        <w:rPr>
          <w:rFonts w:hint="eastAsia" w:ascii="仿宋_GB2312" w:hAnsi="楷体" w:eastAsia="仿宋_GB2312"/>
          <w:color w:val="auto"/>
          <w:sz w:val="30"/>
          <w:szCs w:val="30"/>
          <w:highlight w:val="none"/>
          <w:u w:val="single"/>
          <w:lang w:val="zh-CN"/>
        </w:rPr>
        <w:t xml:space="preserve">    </w:t>
      </w:r>
      <w:r>
        <w:rPr>
          <w:rFonts w:hint="eastAsia" w:ascii="仿宋_GB2312" w:hAnsi="楷体" w:eastAsia="仿宋_GB2312"/>
          <w:color w:val="auto"/>
          <w:sz w:val="30"/>
          <w:szCs w:val="30"/>
          <w:highlight w:val="none"/>
          <w:lang w:val="zh-CN"/>
        </w:rPr>
        <w:t>月</w:t>
      </w:r>
      <w:r>
        <w:rPr>
          <w:rFonts w:hint="eastAsia" w:ascii="仿宋_GB2312" w:hAnsi="楷体" w:eastAsia="仿宋_GB2312"/>
          <w:color w:val="auto"/>
          <w:sz w:val="30"/>
          <w:szCs w:val="30"/>
          <w:highlight w:val="none"/>
          <w:u w:val="single"/>
          <w:lang w:val="zh-CN"/>
        </w:rPr>
        <w:t xml:space="preserve">    </w:t>
      </w:r>
      <w:r>
        <w:rPr>
          <w:rFonts w:hint="eastAsia" w:ascii="仿宋_GB2312" w:hAnsi="楷体" w:eastAsia="仿宋_GB2312"/>
          <w:color w:val="auto"/>
          <w:sz w:val="30"/>
          <w:szCs w:val="30"/>
          <w:highlight w:val="none"/>
          <w:lang w:val="zh-CN"/>
        </w:rPr>
        <w:t>日</w:t>
      </w:r>
    </w:p>
    <w:p w14:paraId="75664A64">
      <w:pPr>
        <w:snapToGrid w:val="0"/>
        <w:spacing w:line="360" w:lineRule="auto"/>
        <w:jc w:val="center"/>
        <w:rPr>
          <w:rFonts w:hint="eastAsia" w:ascii="仿宋_GB2312" w:hAnsi="楷体" w:eastAsia="仿宋_GB2312"/>
          <w:b/>
          <w:color w:val="auto"/>
          <w:sz w:val="24"/>
          <w:highlight w:val="none"/>
        </w:rPr>
      </w:pPr>
      <w:r>
        <w:rPr>
          <w:rFonts w:hint="eastAsia" w:ascii="宋体"/>
          <w:b/>
          <w:bCs/>
          <w:color w:val="auto"/>
          <w:sz w:val="44"/>
          <w:highlight w:val="none"/>
        </w:rPr>
        <w:br w:type="page"/>
      </w:r>
      <w:r>
        <w:rPr>
          <w:rFonts w:hint="eastAsia" w:ascii="仿宋_GB2312" w:hAnsi="楷体" w:eastAsia="仿宋_GB2312"/>
          <w:b/>
          <w:color w:val="auto"/>
          <w:sz w:val="24"/>
          <w:highlight w:val="none"/>
        </w:rPr>
        <w:t>合同目录</w:t>
      </w:r>
    </w:p>
    <w:p w14:paraId="20C61768">
      <w:pPr>
        <w:snapToGrid w:val="0"/>
        <w:spacing w:line="360" w:lineRule="auto"/>
        <w:jc w:val="center"/>
        <w:rPr>
          <w:rFonts w:hint="eastAsia" w:ascii="宋体"/>
          <w:b/>
          <w:bCs/>
          <w:color w:val="auto"/>
          <w:sz w:val="44"/>
          <w:highlight w:val="none"/>
        </w:rPr>
      </w:pPr>
    </w:p>
    <w:p w14:paraId="699FA9A3">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第一部分 合同书</w:t>
      </w:r>
      <w:r>
        <w:rPr>
          <w:rFonts w:hint="eastAsia" w:ascii="仿宋_GB2312" w:hAnsi="仿宋" w:eastAsia="仿宋_GB2312" w:cs="仿宋_GB2312"/>
          <w:color w:val="auto"/>
          <w:kern w:val="0"/>
          <w:sz w:val="24"/>
          <w:highlight w:val="none"/>
        </w:rPr>
        <w:t>……………………………………………………………（页码）</w:t>
      </w:r>
    </w:p>
    <w:p w14:paraId="0D9CE45B">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二、第二部分 合同一般条款……………………………………………………（页码）</w:t>
      </w:r>
    </w:p>
    <w:p w14:paraId="794CA7E8">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三、第三部分 合同专用条款……………………………………………………（页码）</w:t>
      </w:r>
    </w:p>
    <w:p w14:paraId="3A96FB35">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四、</w:t>
      </w:r>
      <w:r>
        <w:rPr>
          <w:rFonts w:hint="eastAsia" w:ascii="仿宋_GB2312" w:hAnsi="仿宋" w:eastAsia="仿宋_GB2312"/>
          <w:color w:val="auto"/>
          <w:sz w:val="24"/>
          <w:highlight w:val="none"/>
        </w:rPr>
        <w:t>第四部分 合同附件</w:t>
      </w:r>
      <w:r>
        <w:rPr>
          <w:rFonts w:hint="eastAsia" w:ascii="仿宋_GB2312" w:hAnsi="仿宋" w:eastAsia="仿宋_GB2312" w:cs="仿宋_GB2312"/>
          <w:color w:val="auto"/>
          <w:kern w:val="0"/>
          <w:sz w:val="24"/>
          <w:highlight w:val="none"/>
        </w:rPr>
        <w:t>…………………………………………………………（页码）</w:t>
      </w:r>
    </w:p>
    <w:p w14:paraId="44D77481">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4.1成交通知书 …………………………………………………………………（页码）</w:t>
      </w:r>
    </w:p>
    <w:p w14:paraId="524F2697">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4.2采购文件服务需求一览表 …………………………………………………（页码）</w:t>
      </w:r>
    </w:p>
    <w:p w14:paraId="319DF667">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4.3采购文件的更改通知（如有） ……………………………………………（页码）</w:t>
      </w:r>
    </w:p>
    <w:p w14:paraId="4C351DD4">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4.4响应函 ………………………………………………………………………（页码）</w:t>
      </w:r>
    </w:p>
    <w:p w14:paraId="6CFC00A4">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4.5响应报价表 …………………………………………………………………（页码）</w:t>
      </w:r>
    </w:p>
    <w:p w14:paraId="60AC7110">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4.6响应服务技术资料表 ………………………………………………………（页码）</w:t>
      </w:r>
    </w:p>
    <w:p w14:paraId="12C7AF63">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4.7商务条款偏离表 ……………………………………………………………（页码）</w:t>
      </w:r>
    </w:p>
    <w:p w14:paraId="4C8B9585">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4.8成交供应商澄清函（如有请提供） ………………………………………（页码）</w:t>
      </w:r>
    </w:p>
    <w:p w14:paraId="6A5DC4B1">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4.9其他与本合同相关的资料（如有请提供） ………………………………（页码）</w:t>
      </w:r>
    </w:p>
    <w:p w14:paraId="7030D48A">
      <w:pPr>
        <w:snapToGrid w:val="0"/>
        <w:spacing w:line="360" w:lineRule="auto"/>
        <w:rPr>
          <w:rFonts w:hint="eastAsia" w:ascii="仿宋_GB2312" w:hAnsi="仿宋" w:eastAsia="仿宋_GB2312" w:cs="仿宋_GB2312"/>
          <w:color w:val="auto"/>
          <w:kern w:val="0"/>
          <w:sz w:val="24"/>
          <w:highlight w:val="none"/>
        </w:rPr>
      </w:pPr>
    </w:p>
    <w:p w14:paraId="65536D6D">
      <w:pPr>
        <w:widowControl/>
        <w:jc w:val="left"/>
        <w:rPr>
          <w:rFonts w:ascii="仿宋_GB2312" w:eastAsia="仿宋_GB2312"/>
          <w:color w:val="auto"/>
          <w:kern w:val="0"/>
          <w:sz w:val="32"/>
          <w:szCs w:val="20"/>
          <w:highlight w:val="none"/>
        </w:rPr>
        <w:sectPr>
          <w:pgSz w:w="11906" w:h="16838"/>
          <w:pgMar w:top="1134" w:right="1134" w:bottom="1134" w:left="1134" w:header="720" w:footer="720" w:gutter="0"/>
          <w:pgNumType w:fmt="decimal"/>
          <w:cols w:space="720" w:num="1"/>
          <w:docGrid w:type="lines" w:linePitch="331" w:charSpace="0"/>
        </w:sectPr>
      </w:pPr>
    </w:p>
    <w:p w14:paraId="5836B405">
      <w:pPr>
        <w:pStyle w:val="46"/>
        <w:ind w:firstLine="482"/>
        <w:jc w:val="center"/>
        <w:outlineLvl w:val="1"/>
        <w:rPr>
          <w:rFonts w:hint="eastAsia" w:ascii="宋体" w:hAnsi="宋体" w:eastAsia="宋体" w:cs="宋体"/>
          <w:b/>
          <w:color w:val="auto"/>
          <w:sz w:val="28"/>
          <w:szCs w:val="28"/>
          <w:highlight w:val="none"/>
        </w:rPr>
      </w:pPr>
      <w:bookmarkStart w:id="94" w:name="_Toc80205944"/>
      <w:bookmarkStart w:id="95" w:name="_Toc4775"/>
      <w:r>
        <w:rPr>
          <w:rFonts w:hint="eastAsia" w:ascii="宋体" w:hAnsi="宋体" w:eastAsia="宋体" w:cs="宋体"/>
          <w:b/>
          <w:color w:val="auto"/>
          <w:sz w:val="28"/>
          <w:szCs w:val="28"/>
          <w:highlight w:val="none"/>
        </w:rPr>
        <w:t>第一部分 合同书</w:t>
      </w:r>
      <w:bookmarkEnd w:id="94"/>
      <w:bookmarkEnd w:id="95"/>
    </w:p>
    <w:p w14:paraId="043A0BE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r>
        <w:rPr>
          <w:rFonts w:hint="eastAsia" w:ascii="仿宋_GB2312" w:hAnsi="楷体"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u w:val="single"/>
          <w:lang w:eastAsia="zh-CN"/>
        </w:rPr>
        <w:t>南宁市武鸣区人力资源和社会保障局</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 xml:space="preserve">   竞争性磋商方式  </w:t>
      </w:r>
      <w:r>
        <w:rPr>
          <w:rFonts w:hint="eastAsia" w:ascii="仿宋_GB2312" w:hAnsi="仿宋" w:eastAsia="仿宋_GB2312"/>
          <w:color w:val="auto"/>
          <w:sz w:val="24"/>
          <w:highlight w:val="none"/>
        </w:rPr>
        <w:t>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u w:val="single"/>
          <w:lang w:eastAsia="zh-CN"/>
        </w:rPr>
        <w:t>2026年南宁市武鸣区基层就业服务网点（就业服务站）项目</w:t>
      </w:r>
      <w:r>
        <w:rPr>
          <w:rFonts w:hint="eastAsia" w:ascii="仿宋_GB2312" w:hAnsi="仿宋" w:eastAsia="仿宋_GB2312"/>
          <w:color w:val="auto"/>
          <w:sz w:val="24"/>
          <w:highlight w:val="none"/>
          <w:u w:val="single"/>
        </w:rPr>
        <w:t xml:space="preserve">       </w:t>
      </w:r>
      <w:r>
        <w:rPr>
          <w:rFonts w:hint="eastAsia" w:ascii="仿宋_GB2312" w:hAnsi="楷体" w:eastAsia="仿宋_GB2312"/>
          <w:color w:val="auto"/>
          <w:sz w:val="24"/>
          <w:highlight w:val="none"/>
        </w:rPr>
        <w:t>项目进行了采购。经</w:t>
      </w:r>
      <w:r>
        <w:rPr>
          <w:rFonts w:hint="eastAsia" w:ascii="仿宋_GB2312" w:hAnsi="楷体" w:eastAsia="仿宋_GB2312"/>
          <w:color w:val="auto"/>
          <w:sz w:val="24"/>
          <w:highlight w:val="none"/>
          <w:u w:val="single"/>
        </w:rPr>
        <w:t xml:space="preserve">   （相关评定主体名称）   </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 xml:space="preserve">   （供应商名称）</w:t>
      </w:r>
      <w:r>
        <w:rPr>
          <w:rFonts w:hint="eastAsia" w:ascii="仿宋_GB2312" w:hAnsi="楷体" w:eastAsia="仿宋_GB2312"/>
          <w:color w:val="auto"/>
          <w:sz w:val="24"/>
          <w:highlight w:val="none"/>
        </w:rPr>
        <w:t>为该项目成交供应商。现于成交通知书发出之日起</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日（时限根据项目情况而定，不得超过25日）内，按照采购文件确定的事项签订本合同。</w:t>
      </w:r>
    </w:p>
    <w:p w14:paraId="74F27FF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eastAsia="zh-CN"/>
        </w:rPr>
        <w:t>南宁市武鸣区人力资源和社会保障局</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 xml:space="preserve">   （中标人名称）   </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30F70A98">
      <w:pPr>
        <w:spacing w:line="360" w:lineRule="auto"/>
        <w:ind w:firstLine="482" w:firstLineChars="200"/>
        <w:rPr>
          <w:rFonts w:hint="eastAsia" w:ascii="仿宋_GB2312" w:hAnsi="楷体" w:eastAsia="仿宋_GB2312"/>
          <w:b/>
          <w:color w:val="auto"/>
          <w:sz w:val="24"/>
          <w:highlight w:val="none"/>
        </w:rPr>
      </w:pPr>
      <w:bookmarkStart w:id="96" w:name="_Toc2232"/>
      <w:bookmarkStart w:id="97" w:name="_Toc3029"/>
      <w:bookmarkStart w:id="98" w:name="_Toc24059"/>
      <w:r>
        <w:rPr>
          <w:rFonts w:hint="eastAsia" w:ascii="仿宋_GB2312" w:hAnsi="楷体" w:eastAsia="仿宋_GB2312"/>
          <w:b/>
          <w:color w:val="auto"/>
          <w:sz w:val="24"/>
          <w:highlight w:val="none"/>
        </w:rPr>
        <w:t>1.1 合同组成部分</w:t>
      </w:r>
      <w:bookmarkEnd w:id="96"/>
      <w:bookmarkEnd w:id="97"/>
      <w:bookmarkEnd w:id="98"/>
    </w:p>
    <w:p w14:paraId="1A194E0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7F53474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1.1.1 本合同及其补充合同、变更协议；</w:t>
      </w:r>
    </w:p>
    <w:p w14:paraId="687F36C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1.1.2 成交通知书；</w:t>
      </w:r>
    </w:p>
    <w:p w14:paraId="318DF74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1.1.3 采购文件及“响应报价”（含澄清或者说明文件）；</w:t>
      </w:r>
    </w:p>
    <w:p w14:paraId="2A40C09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1.1.4 采购文件（含澄清或者修改文件）；</w:t>
      </w:r>
    </w:p>
    <w:p w14:paraId="452F270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1.1.5 其他相关采购文件。</w:t>
      </w:r>
    </w:p>
    <w:p w14:paraId="3C3CFBCF">
      <w:pPr>
        <w:spacing w:line="360" w:lineRule="auto"/>
        <w:ind w:firstLine="482" w:firstLineChars="200"/>
        <w:rPr>
          <w:rFonts w:hint="eastAsia" w:ascii="仿宋_GB2312" w:hAnsi="楷体" w:eastAsia="仿宋_GB2312"/>
          <w:b/>
          <w:color w:val="auto"/>
          <w:sz w:val="24"/>
          <w:highlight w:val="none"/>
        </w:rPr>
      </w:pPr>
      <w:bookmarkStart w:id="99" w:name="_Toc24300"/>
      <w:bookmarkStart w:id="100" w:name="_Toc21295"/>
      <w:bookmarkStart w:id="101" w:name="_Toc27126"/>
      <w:r>
        <w:rPr>
          <w:rFonts w:hint="eastAsia" w:ascii="仿宋_GB2312" w:hAnsi="楷体" w:eastAsia="仿宋_GB2312"/>
          <w:b/>
          <w:color w:val="auto"/>
          <w:sz w:val="24"/>
          <w:highlight w:val="none"/>
        </w:rPr>
        <w:t>1.2 标的物</w:t>
      </w:r>
      <w:bookmarkEnd w:id="99"/>
      <w:bookmarkEnd w:id="100"/>
      <w:bookmarkEnd w:id="101"/>
    </w:p>
    <w:p w14:paraId="4C10C37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 标的物1信息</w:t>
      </w:r>
    </w:p>
    <w:p w14:paraId="3789C092">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u w:val="single"/>
        </w:rPr>
        <w:t xml:space="preserve"> 2026年南宁市武鸣区基层就业服务网点（就业服务站）项目</w:t>
      </w:r>
      <w:r>
        <w:rPr>
          <w:rFonts w:hint="eastAsia" w:ascii="仿宋_GB2312" w:hAnsi="楷体" w:eastAsia="仿宋_GB2312"/>
          <w:color w:val="auto"/>
          <w:sz w:val="24"/>
          <w:highlight w:val="none"/>
        </w:rPr>
        <w:t>；</w:t>
      </w:r>
    </w:p>
    <w:p w14:paraId="150A5C47">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1.2.1.2数量：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val="en-US" w:eastAsia="zh-CN"/>
        </w:rPr>
        <w:t>1项</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55C84ED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u w:val="single"/>
          <w:lang w:eastAsia="zh-CN"/>
        </w:rPr>
        <w:t>达到国家现持有关规范、标准及规程</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6062E6EB">
      <w:pPr>
        <w:spacing w:line="360" w:lineRule="auto"/>
        <w:ind w:firstLine="482" w:firstLineChars="200"/>
        <w:rPr>
          <w:rFonts w:hint="eastAsia" w:ascii="仿宋_GB2312" w:hAnsi="楷体" w:eastAsia="仿宋_GB2312"/>
          <w:b/>
          <w:color w:val="auto"/>
          <w:sz w:val="24"/>
          <w:highlight w:val="none"/>
        </w:rPr>
      </w:pPr>
      <w:bookmarkStart w:id="102" w:name="_Toc21551"/>
      <w:bookmarkStart w:id="103" w:name="_Toc21631"/>
      <w:bookmarkStart w:id="104" w:name="_Toc23292"/>
      <w:r>
        <w:rPr>
          <w:rFonts w:hint="eastAsia" w:ascii="仿宋_GB2312" w:hAnsi="楷体" w:eastAsia="仿宋_GB2312"/>
          <w:b/>
          <w:color w:val="auto"/>
          <w:sz w:val="24"/>
          <w:highlight w:val="none"/>
        </w:rPr>
        <w:t>1.3 价款</w:t>
      </w:r>
      <w:bookmarkEnd w:id="102"/>
      <w:bookmarkEnd w:id="103"/>
      <w:bookmarkEnd w:id="104"/>
    </w:p>
    <w:p w14:paraId="1E0B809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本合同总价为：人民币</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元（大写：</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元人民币，含税）。</w:t>
      </w:r>
    </w:p>
    <w:p w14:paraId="2ADC73E6">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3813"/>
        <w:gridCol w:w="2860"/>
      </w:tblGrid>
      <w:tr w14:paraId="5663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346" w:type="dxa"/>
            <w:tcBorders>
              <w:top w:val="single" w:color="auto" w:sz="4" w:space="0"/>
              <w:left w:val="single" w:color="auto" w:sz="4" w:space="0"/>
              <w:bottom w:val="single" w:color="auto" w:sz="4" w:space="0"/>
              <w:right w:val="single" w:color="auto" w:sz="4" w:space="0"/>
            </w:tcBorders>
            <w:noWrap w:val="0"/>
            <w:vAlign w:val="center"/>
          </w:tcPr>
          <w:p w14:paraId="65B68927">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r>
              <w:rPr>
                <w:rFonts w:hint="eastAsia" w:ascii="仿宋_GB2312" w:hAnsi="楷体" w:eastAsia="仿宋_GB2312" w:cs="Calibri"/>
                <w:color w:val="auto"/>
                <w:sz w:val="24"/>
                <w:highlight w:val="none"/>
              </w:rPr>
              <w:t>序号</w:t>
            </w:r>
          </w:p>
        </w:tc>
        <w:tc>
          <w:tcPr>
            <w:tcW w:w="3813" w:type="dxa"/>
            <w:tcBorders>
              <w:top w:val="single" w:color="auto" w:sz="4" w:space="0"/>
              <w:left w:val="single" w:color="auto" w:sz="4" w:space="0"/>
              <w:bottom w:val="single" w:color="auto" w:sz="4" w:space="0"/>
              <w:right w:val="single" w:color="auto" w:sz="4" w:space="0"/>
            </w:tcBorders>
            <w:noWrap w:val="0"/>
            <w:vAlign w:val="center"/>
          </w:tcPr>
          <w:p w14:paraId="0DF222E4">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r>
              <w:rPr>
                <w:rFonts w:hint="eastAsia" w:ascii="仿宋_GB2312" w:hAnsi="楷体" w:eastAsia="仿宋_GB2312" w:cs="Calibri"/>
                <w:color w:val="auto"/>
                <w:sz w:val="24"/>
                <w:highlight w:val="none"/>
              </w:rPr>
              <w:t>分项名称</w:t>
            </w:r>
          </w:p>
        </w:tc>
        <w:tc>
          <w:tcPr>
            <w:tcW w:w="2860" w:type="dxa"/>
            <w:tcBorders>
              <w:top w:val="single" w:color="auto" w:sz="4" w:space="0"/>
              <w:left w:val="single" w:color="auto" w:sz="4" w:space="0"/>
              <w:bottom w:val="single" w:color="auto" w:sz="4" w:space="0"/>
              <w:right w:val="single" w:color="auto" w:sz="4" w:space="0"/>
            </w:tcBorders>
            <w:noWrap w:val="0"/>
            <w:vAlign w:val="center"/>
          </w:tcPr>
          <w:p w14:paraId="137ABEA8">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r>
              <w:rPr>
                <w:rFonts w:hint="eastAsia" w:ascii="仿宋_GB2312" w:hAnsi="楷体" w:eastAsia="仿宋_GB2312" w:cs="Calibri"/>
                <w:color w:val="auto"/>
                <w:sz w:val="24"/>
                <w:highlight w:val="none"/>
              </w:rPr>
              <w:t>分项价格</w:t>
            </w:r>
          </w:p>
        </w:tc>
      </w:tr>
      <w:tr w14:paraId="53AF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346" w:type="dxa"/>
            <w:tcBorders>
              <w:top w:val="single" w:color="auto" w:sz="4" w:space="0"/>
              <w:left w:val="single" w:color="auto" w:sz="4" w:space="0"/>
              <w:bottom w:val="single" w:color="auto" w:sz="4" w:space="0"/>
              <w:right w:val="single" w:color="auto" w:sz="4" w:space="0"/>
            </w:tcBorders>
            <w:noWrap w:val="0"/>
            <w:vAlign w:val="center"/>
          </w:tcPr>
          <w:p w14:paraId="22B24C5F">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c>
          <w:tcPr>
            <w:tcW w:w="3813" w:type="dxa"/>
            <w:tcBorders>
              <w:top w:val="single" w:color="auto" w:sz="4" w:space="0"/>
              <w:left w:val="single" w:color="auto" w:sz="4" w:space="0"/>
              <w:bottom w:val="single" w:color="auto" w:sz="4" w:space="0"/>
              <w:right w:val="single" w:color="auto" w:sz="4" w:space="0"/>
            </w:tcBorders>
            <w:noWrap w:val="0"/>
            <w:vAlign w:val="center"/>
          </w:tcPr>
          <w:p w14:paraId="1FC81AB1">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c>
          <w:tcPr>
            <w:tcW w:w="2860" w:type="dxa"/>
            <w:tcBorders>
              <w:top w:val="single" w:color="auto" w:sz="4" w:space="0"/>
              <w:left w:val="single" w:color="auto" w:sz="4" w:space="0"/>
              <w:bottom w:val="single" w:color="auto" w:sz="4" w:space="0"/>
              <w:right w:val="single" w:color="auto" w:sz="4" w:space="0"/>
            </w:tcBorders>
            <w:noWrap w:val="0"/>
            <w:vAlign w:val="center"/>
          </w:tcPr>
          <w:p w14:paraId="199D4776">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r>
      <w:tr w14:paraId="5A3C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346" w:type="dxa"/>
            <w:tcBorders>
              <w:top w:val="single" w:color="auto" w:sz="4" w:space="0"/>
              <w:left w:val="single" w:color="auto" w:sz="4" w:space="0"/>
              <w:bottom w:val="single" w:color="auto" w:sz="4" w:space="0"/>
              <w:right w:val="single" w:color="auto" w:sz="4" w:space="0"/>
            </w:tcBorders>
            <w:noWrap w:val="0"/>
            <w:vAlign w:val="center"/>
          </w:tcPr>
          <w:p w14:paraId="0A1485C8">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c>
          <w:tcPr>
            <w:tcW w:w="3813" w:type="dxa"/>
            <w:tcBorders>
              <w:top w:val="single" w:color="auto" w:sz="4" w:space="0"/>
              <w:left w:val="single" w:color="auto" w:sz="4" w:space="0"/>
              <w:bottom w:val="single" w:color="auto" w:sz="4" w:space="0"/>
              <w:right w:val="single" w:color="auto" w:sz="4" w:space="0"/>
            </w:tcBorders>
            <w:noWrap w:val="0"/>
            <w:vAlign w:val="center"/>
          </w:tcPr>
          <w:p w14:paraId="50E72402">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c>
          <w:tcPr>
            <w:tcW w:w="2860" w:type="dxa"/>
            <w:tcBorders>
              <w:top w:val="single" w:color="auto" w:sz="4" w:space="0"/>
              <w:left w:val="single" w:color="auto" w:sz="4" w:space="0"/>
              <w:bottom w:val="single" w:color="auto" w:sz="4" w:space="0"/>
              <w:right w:val="single" w:color="auto" w:sz="4" w:space="0"/>
            </w:tcBorders>
            <w:noWrap w:val="0"/>
            <w:vAlign w:val="center"/>
          </w:tcPr>
          <w:p w14:paraId="05DE02A4">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r>
      <w:tr w14:paraId="2772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346" w:type="dxa"/>
            <w:tcBorders>
              <w:top w:val="single" w:color="auto" w:sz="4" w:space="0"/>
              <w:left w:val="single" w:color="auto" w:sz="4" w:space="0"/>
              <w:bottom w:val="single" w:color="auto" w:sz="4" w:space="0"/>
              <w:right w:val="single" w:color="auto" w:sz="4" w:space="0"/>
            </w:tcBorders>
            <w:noWrap w:val="0"/>
            <w:vAlign w:val="center"/>
          </w:tcPr>
          <w:p w14:paraId="4658C113">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c>
          <w:tcPr>
            <w:tcW w:w="3813" w:type="dxa"/>
            <w:tcBorders>
              <w:top w:val="single" w:color="auto" w:sz="4" w:space="0"/>
              <w:left w:val="single" w:color="auto" w:sz="4" w:space="0"/>
              <w:bottom w:val="single" w:color="auto" w:sz="4" w:space="0"/>
              <w:right w:val="single" w:color="auto" w:sz="4" w:space="0"/>
            </w:tcBorders>
            <w:noWrap w:val="0"/>
            <w:vAlign w:val="center"/>
          </w:tcPr>
          <w:p w14:paraId="2F76729C">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c>
          <w:tcPr>
            <w:tcW w:w="2860" w:type="dxa"/>
            <w:tcBorders>
              <w:top w:val="single" w:color="auto" w:sz="4" w:space="0"/>
              <w:left w:val="single" w:color="auto" w:sz="4" w:space="0"/>
              <w:bottom w:val="single" w:color="auto" w:sz="4" w:space="0"/>
              <w:right w:val="single" w:color="auto" w:sz="4" w:space="0"/>
            </w:tcBorders>
            <w:noWrap w:val="0"/>
            <w:vAlign w:val="center"/>
          </w:tcPr>
          <w:p w14:paraId="1E5C55D7">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r>
      <w:tr w14:paraId="26AE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159" w:type="dxa"/>
            <w:gridSpan w:val="2"/>
            <w:tcBorders>
              <w:top w:val="single" w:color="auto" w:sz="4" w:space="0"/>
              <w:left w:val="single" w:color="auto" w:sz="4" w:space="0"/>
              <w:bottom w:val="single" w:color="auto" w:sz="4" w:space="0"/>
              <w:right w:val="single" w:color="auto" w:sz="4" w:space="0"/>
            </w:tcBorders>
            <w:noWrap w:val="0"/>
            <w:vAlign w:val="center"/>
          </w:tcPr>
          <w:p w14:paraId="71CD190D">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r>
              <w:rPr>
                <w:rFonts w:hint="eastAsia" w:ascii="仿宋_GB2312" w:hAnsi="楷体" w:eastAsia="仿宋_GB2312" w:cs="Calibri"/>
                <w:color w:val="auto"/>
                <w:sz w:val="24"/>
                <w:highlight w:val="none"/>
              </w:rPr>
              <w:t>总价</w:t>
            </w:r>
          </w:p>
        </w:tc>
        <w:tc>
          <w:tcPr>
            <w:tcW w:w="2860" w:type="dxa"/>
            <w:tcBorders>
              <w:top w:val="single" w:color="auto" w:sz="4" w:space="0"/>
              <w:left w:val="single" w:color="auto" w:sz="4" w:space="0"/>
              <w:bottom w:val="single" w:color="auto" w:sz="4" w:space="0"/>
              <w:right w:val="single" w:color="auto" w:sz="4" w:space="0"/>
            </w:tcBorders>
            <w:noWrap w:val="0"/>
            <w:vAlign w:val="center"/>
          </w:tcPr>
          <w:p w14:paraId="70193480">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cs="Calibri"/>
                <w:color w:val="auto"/>
                <w:sz w:val="24"/>
                <w:highlight w:val="none"/>
              </w:rPr>
            </w:pPr>
          </w:p>
        </w:tc>
      </w:tr>
    </w:tbl>
    <w:p w14:paraId="2AD71D2D">
      <w:pPr>
        <w:spacing w:line="360" w:lineRule="auto"/>
        <w:ind w:firstLine="482" w:firstLineChars="200"/>
        <w:rPr>
          <w:rFonts w:hint="eastAsia" w:ascii="仿宋_GB2312" w:hAnsi="楷体" w:eastAsia="仿宋_GB2312"/>
          <w:b/>
          <w:color w:val="auto"/>
          <w:sz w:val="24"/>
          <w:highlight w:val="none"/>
        </w:rPr>
      </w:pPr>
      <w:bookmarkStart w:id="105" w:name="_Toc22618"/>
      <w:bookmarkStart w:id="106" w:name="_Toc1814"/>
      <w:bookmarkStart w:id="107" w:name="_Toc10340"/>
      <w:r>
        <w:rPr>
          <w:rFonts w:hint="eastAsia" w:ascii="仿宋_GB2312" w:hAnsi="楷体" w:eastAsia="仿宋_GB2312"/>
          <w:b/>
          <w:color w:val="auto"/>
          <w:sz w:val="24"/>
          <w:highlight w:val="none"/>
        </w:rPr>
        <w:t>1.4 付款方式和发票开具方式</w:t>
      </w:r>
      <w:bookmarkEnd w:id="105"/>
      <w:bookmarkEnd w:id="106"/>
      <w:bookmarkEnd w:id="107"/>
    </w:p>
    <w:p w14:paraId="45FC6F5B">
      <w:pPr>
        <w:spacing w:line="360" w:lineRule="auto"/>
        <w:ind w:firstLine="480" w:firstLineChars="200"/>
        <w:rPr>
          <w:rFonts w:hint="eastAsia" w:ascii="宋体" w:hAnsi="宋体" w:eastAsia="宋体" w:cs="宋体"/>
          <w:color w:val="auto"/>
          <w:sz w:val="21"/>
          <w:szCs w:val="21"/>
          <w:highlight w:val="none"/>
          <w:lang w:val="en-US" w:eastAsia="zh-CN"/>
        </w:rPr>
      </w:pPr>
      <w:r>
        <w:rPr>
          <w:rFonts w:hint="eastAsia" w:ascii="仿宋_GB2312" w:hAnsi="楷体" w:eastAsia="仿宋_GB2312"/>
          <w:color w:val="auto"/>
          <w:sz w:val="24"/>
          <w:highlight w:val="none"/>
        </w:rPr>
        <w:t>1.4.1 付款方式：</w:t>
      </w:r>
      <w:r>
        <w:rPr>
          <w:rFonts w:hint="eastAsia" w:ascii="宋体" w:hAnsi="宋体" w:eastAsia="宋体" w:cs="宋体"/>
          <w:color w:val="auto"/>
          <w:sz w:val="21"/>
          <w:szCs w:val="21"/>
          <w:highlight w:val="none"/>
          <w:u w:val="none"/>
        </w:rPr>
        <w:t>完成7个就业服务站筹备</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投入</w:t>
      </w:r>
      <w:r>
        <w:rPr>
          <w:rFonts w:hint="eastAsia" w:ascii="宋体" w:hAnsi="宋体" w:eastAsia="宋体" w:cs="宋体"/>
          <w:color w:val="auto"/>
          <w:sz w:val="21"/>
          <w:szCs w:val="21"/>
          <w:highlight w:val="none"/>
          <w:u w:val="none"/>
          <w:lang w:eastAsia="zh-CN"/>
        </w:rPr>
        <w:t>试</w:t>
      </w:r>
      <w:r>
        <w:rPr>
          <w:rFonts w:hint="eastAsia" w:ascii="宋体" w:hAnsi="宋体" w:eastAsia="宋体" w:cs="宋体"/>
          <w:color w:val="auto"/>
          <w:sz w:val="21"/>
          <w:szCs w:val="21"/>
          <w:highlight w:val="none"/>
          <w:u w:val="none"/>
        </w:rPr>
        <w:t>运营并验收合格后支付合同总金额的</w:t>
      </w:r>
      <w:r>
        <w:rPr>
          <w:rFonts w:hint="eastAsia" w:ascii="宋体" w:hAnsi="宋体" w:eastAsia="宋体" w:cs="宋体"/>
          <w:color w:val="auto"/>
          <w:sz w:val="21"/>
          <w:szCs w:val="21"/>
          <w:highlight w:val="none"/>
          <w:u w:val="none"/>
          <w:lang w:val="en-US" w:eastAsia="zh-CN"/>
        </w:rPr>
        <w:t>5</w:t>
      </w:r>
      <w:r>
        <w:rPr>
          <w:rFonts w:hint="eastAsia" w:ascii="宋体" w:hAnsi="宋体" w:eastAsia="宋体" w:cs="宋体"/>
          <w:color w:val="auto"/>
          <w:sz w:val="21"/>
          <w:szCs w:val="21"/>
          <w:highlight w:val="none"/>
          <w:u w:val="none"/>
        </w:rPr>
        <w:t>0%</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剩余服务经费按运营服务期的考核结果等次和合同约定核算支付。</w:t>
      </w:r>
      <w:r>
        <w:rPr>
          <w:rFonts w:hint="eastAsia" w:ascii="宋体" w:hAnsi="宋体" w:eastAsia="宋体" w:cs="宋体"/>
          <w:color w:val="auto"/>
          <w:sz w:val="21"/>
          <w:szCs w:val="21"/>
          <w:highlight w:val="none"/>
          <w:lang w:val="en-US" w:eastAsia="zh-CN"/>
        </w:rPr>
        <w:t>考核得分达90分（含）以上的定为A等次，支付100%服务费；考核得分达85分（含）-90分（不含）的定为B等次，支付90%服务费；考核得分达80分（含）-85分（不含）的定为C等次，支付80%服务费；考核得分达75分（含）-80分（不含）的定为D等次，支付70%服务费；考核得分达60分（含）-75分（不含）的定为E等次，支付50%服务费；考核得分低于60分（不含）的定为F等次（不合格），不予支付服务费。</w:t>
      </w:r>
    </w:p>
    <w:p w14:paraId="4F4ABD7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1.4.2 发票开具方式：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eastAsia="zh-CN"/>
        </w:rPr>
        <w:t>增值税发票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5687987F">
      <w:pPr>
        <w:spacing w:line="360" w:lineRule="auto"/>
        <w:ind w:firstLine="482" w:firstLineChars="200"/>
        <w:rPr>
          <w:rFonts w:hint="eastAsia" w:ascii="仿宋_GB2312" w:hAnsi="楷体" w:eastAsia="仿宋_GB2312"/>
          <w:b/>
          <w:color w:val="auto"/>
          <w:sz w:val="24"/>
          <w:highlight w:val="none"/>
        </w:rPr>
      </w:pPr>
      <w:bookmarkStart w:id="108" w:name="_Toc19304"/>
      <w:bookmarkStart w:id="109" w:name="_Toc2846"/>
      <w:bookmarkStart w:id="110" w:name="_Toc32071"/>
      <w:r>
        <w:rPr>
          <w:rFonts w:hint="eastAsia" w:ascii="仿宋_GB2312" w:hAnsi="楷体" w:eastAsia="仿宋_GB2312"/>
          <w:b/>
          <w:color w:val="auto"/>
          <w:sz w:val="24"/>
          <w:highlight w:val="none"/>
        </w:rPr>
        <w:t>1.5 标的物交付期限、地点、方式</w:t>
      </w:r>
      <w:bookmarkEnd w:id="108"/>
      <w:bookmarkEnd w:id="109"/>
      <w:bookmarkEnd w:id="110"/>
      <w:r>
        <w:rPr>
          <w:rFonts w:hint="eastAsia" w:ascii="仿宋_GB2312" w:hAnsi="楷体" w:eastAsia="仿宋_GB2312"/>
          <w:b/>
          <w:color w:val="auto"/>
          <w:sz w:val="24"/>
          <w:highlight w:val="none"/>
        </w:rPr>
        <w:t>和服务期限</w:t>
      </w:r>
    </w:p>
    <w:p w14:paraId="59E56590">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1.5.1 交付期限：</w:t>
      </w:r>
      <w:r>
        <w:rPr>
          <w:rFonts w:hint="eastAsia" w:ascii="仿宋_GB2312" w:hAnsi="楷体" w:eastAsia="仿宋_GB2312"/>
          <w:color w:val="auto"/>
          <w:sz w:val="24"/>
          <w:highlight w:val="none"/>
          <w:u w:val="single"/>
        </w:rPr>
        <w:t xml:space="preserve">  服务期分为筹备和运营两个阶段。筹备期为2026年11月30日前完成全部站点的规范配备并投入试运营，运营服务期自全部站点（以最后一个站点）投入试运营之日的次月1日起12个月。   ；</w:t>
      </w:r>
    </w:p>
    <w:p w14:paraId="538038E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1.5.2 交付地点：</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eastAsia="zh-CN"/>
        </w:rPr>
        <w:t>南宁市武鸣区</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01248B5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1.5.3 交付方式：</w:t>
      </w:r>
      <w:r>
        <w:rPr>
          <w:rFonts w:hint="eastAsia" w:ascii="仿宋_GB2312" w:hAnsi="楷体" w:eastAsia="仿宋_GB2312"/>
          <w:color w:val="auto"/>
          <w:sz w:val="24"/>
          <w:highlight w:val="none"/>
          <w:u w:val="single"/>
          <w:lang w:eastAsia="zh-CN"/>
        </w:rPr>
        <w:t>现场交付</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287F975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1.5.4 服务及质保期限：</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val="en-US" w:eastAsia="zh-CN"/>
        </w:rPr>
        <w:t>1年半（自最终</w:t>
      </w:r>
      <w:r>
        <w:rPr>
          <w:rFonts w:hint="eastAsia" w:ascii="仿宋_GB2312" w:hAnsi="楷体" w:eastAsia="仿宋_GB2312"/>
          <w:color w:val="auto"/>
          <w:sz w:val="24"/>
          <w:highlight w:val="none"/>
          <w:u w:val="single"/>
          <w:lang w:eastAsia="zh-CN"/>
        </w:rPr>
        <w:t>成果交付之日起计</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eastAsia="zh-CN"/>
        </w:rPr>
        <w:t>）</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79735572">
      <w:pPr>
        <w:spacing w:line="360" w:lineRule="auto"/>
        <w:ind w:firstLine="482" w:firstLineChars="200"/>
        <w:rPr>
          <w:rFonts w:hint="eastAsia" w:ascii="仿宋_GB2312" w:hAnsi="楷体" w:eastAsia="仿宋_GB2312"/>
          <w:strike/>
          <w:dstrike w:val="0"/>
          <w:color w:val="auto"/>
          <w:sz w:val="24"/>
          <w:highlight w:val="none"/>
        </w:rPr>
      </w:pPr>
      <w:bookmarkStart w:id="111" w:name="_Toc27250"/>
      <w:bookmarkStart w:id="112" w:name="_Toc21423"/>
      <w:bookmarkStart w:id="113" w:name="_Toc19554"/>
      <w:r>
        <w:rPr>
          <w:rFonts w:hint="eastAsia" w:ascii="仿宋_GB2312" w:hAnsi="楷体" w:eastAsia="仿宋_GB2312"/>
          <w:b/>
          <w:color w:val="auto"/>
          <w:sz w:val="24"/>
          <w:highlight w:val="none"/>
        </w:rPr>
        <w:t>1.6 违约责任</w:t>
      </w:r>
      <w:bookmarkEnd w:id="111"/>
      <w:bookmarkEnd w:id="112"/>
      <w:bookmarkEnd w:id="113"/>
      <w:bookmarkStart w:id="114" w:name="_Toc16021"/>
      <w:bookmarkStart w:id="115" w:name="_Toc28375"/>
      <w:bookmarkStart w:id="116" w:name="_Toc15583"/>
    </w:p>
    <w:p w14:paraId="635CC8E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w:t>
      </w:r>
      <w:r>
        <w:rPr>
          <w:rFonts w:hint="eastAsia" w:ascii="仿宋_GB2312" w:hAnsi="楷体" w:eastAsia="仿宋_GB2312"/>
          <w:color w:val="auto"/>
          <w:sz w:val="24"/>
          <w:highlight w:val="none"/>
          <w:lang w:val="en-US" w:eastAsia="zh-CN"/>
        </w:rPr>
        <w:t>1</w:t>
      </w:r>
      <w:r>
        <w:rPr>
          <w:rFonts w:hint="eastAsia" w:ascii="仿宋_GB2312" w:hAnsi="楷体" w:eastAsia="仿宋_GB2312"/>
          <w:color w:val="auto"/>
          <w:sz w:val="24"/>
          <w:highlight w:val="none"/>
        </w:rPr>
        <w:t xml:space="preserve">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8FDB6A7">
      <w:pPr>
        <w:spacing w:line="360" w:lineRule="auto"/>
        <w:ind w:firstLine="480" w:firstLineChars="200"/>
        <w:rPr>
          <w:rFonts w:hint="eastAsia" w:ascii="仿宋" w:hAnsi="仿宋" w:eastAsia="仿宋" w:cs="仿宋"/>
          <w:color w:val="auto"/>
          <w:sz w:val="24"/>
          <w:highlight w:val="none"/>
        </w:rPr>
      </w:pPr>
      <w:r>
        <w:rPr>
          <w:rFonts w:hint="eastAsia" w:ascii="仿宋_GB2312" w:hAnsi="楷体" w:eastAsia="仿宋_GB2312"/>
          <w:color w:val="auto"/>
          <w:sz w:val="24"/>
          <w:highlight w:val="none"/>
        </w:rPr>
        <w:t>1.6.</w:t>
      </w:r>
      <w:r>
        <w:rPr>
          <w:rFonts w:hint="eastAsia" w:ascii="仿宋_GB2312" w:hAnsi="楷体" w:eastAsia="仿宋_GB2312"/>
          <w:color w:val="auto"/>
          <w:sz w:val="24"/>
          <w:highlight w:val="none"/>
          <w:lang w:val="en-US" w:eastAsia="zh-CN"/>
        </w:rPr>
        <w:t>2</w:t>
      </w:r>
      <w:r>
        <w:rPr>
          <w:rFonts w:hint="eastAsia" w:ascii="仿宋_GB2312" w:hAnsi="楷体" w:eastAsia="仿宋_GB2312"/>
          <w:color w:val="auto"/>
          <w:sz w:val="24"/>
          <w:highlight w:val="none"/>
        </w:rPr>
        <w:t>乙方在质保期内未按承诺提供售后等服务的，每发生一次向甲方支付</w:t>
      </w:r>
      <w:r>
        <w:rPr>
          <w:rFonts w:hint="eastAsia" w:ascii="仿宋" w:hAnsi="仿宋" w:eastAsia="仿宋" w:cs="仿宋"/>
          <w:color w:val="auto"/>
          <w:sz w:val="24"/>
          <w:highlight w:val="none"/>
          <w:u w:val="single"/>
        </w:rPr>
        <w:t xml:space="preserve">  </w:t>
      </w:r>
      <w:r>
        <w:rPr>
          <w:rFonts w:hint="eastAsia" w:ascii="仿宋_GB2312" w:hAnsi="楷体" w:eastAsia="仿宋_GB2312"/>
          <w:color w:val="auto"/>
          <w:sz w:val="24"/>
          <w:highlight w:val="none"/>
        </w:rPr>
        <w:t>元（根据项目实际填写，一般为2000元）的违约金。</w:t>
      </w:r>
    </w:p>
    <w:p w14:paraId="2780CBC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w:t>
      </w:r>
      <w:r>
        <w:rPr>
          <w:rFonts w:hint="eastAsia" w:ascii="仿宋_GB2312" w:hAnsi="楷体" w:eastAsia="仿宋_GB2312"/>
          <w:color w:val="auto"/>
          <w:sz w:val="24"/>
          <w:highlight w:val="none"/>
          <w:lang w:val="en-US" w:eastAsia="zh-CN"/>
        </w:rPr>
        <w:t>3</w:t>
      </w:r>
      <w:r>
        <w:rPr>
          <w:rFonts w:hint="eastAsia" w:ascii="仿宋_GB2312" w:hAnsi="楷体" w:eastAsia="仿宋_GB2312"/>
          <w:color w:val="auto"/>
          <w:sz w:val="24"/>
          <w:highlight w:val="none"/>
        </w:rPr>
        <w:t xml:space="preserve"> 任何一方按照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8CD175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w:t>
      </w:r>
      <w:r>
        <w:rPr>
          <w:rFonts w:hint="eastAsia" w:ascii="仿宋_GB2312" w:hAnsi="楷体" w:eastAsia="仿宋_GB2312"/>
          <w:color w:val="auto"/>
          <w:sz w:val="24"/>
          <w:highlight w:val="none"/>
          <w:lang w:val="en-US" w:eastAsia="zh-CN"/>
        </w:rPr>
        <w:t>4</w:t>
      </w:r>
      <w:r>
        <w:rPr>
          <w:rFonts w:hint="eastAsia" w:ascii="仿宋_GB2312" w:hAnsi="楷体" w:eastAsia="仿宋_GB2312"/>
          <w:color w:val="auto"/>
          <w:sz w:val="24"/>
          <w:highlight w:val="none"/>
        </w:rPr>
        <w:t xml:space="preserve">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054339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 xml:space="preserve"> 如果出现政府采购监督管理部门在处理投诉事项期间，书面通知甲方暂停采购活动的情形，或者询问或质疑事项可能影响中标结果的，导致甲方中止履行合同的情形，均不视为甲方违约。</w:t>
      </w:r>
    </w:p>
    <w:p w14:paraId="5180DA37">
      <w:pPr>
        <w:spacing w:line="360" w:lineRule="auto"/>
        <w:ind w:firstLine="482" w:firstLineChars="200"/>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1.7 合同争议的解决</w:t>
      </w:r>
      <w:bookmarkEnd w:id="114"/>
      <w:bookmarkEnd w:id="115"/>
      <w:bookmarkEnd w:id="116"/>
    </w:p>
    <w:p w14:paraId="216C842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本合同履行过程中发生的任何争议，双方当事人均可通过和解或者调解解决；不愿和解、调解或者和解、调解不成的，可以选择下列第</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种方式解决：</w:t>
      </w:r>
    </w:p>
    <w:p w14:paraId="7147A64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1.7.1 将争议提交</w:t>
      </w:r>
      <w:r>
        <w:rPr>
          <w:rFonts w:hint="eastAsia" w:ascii="仿宋_GB2312" w:hAnsi="楷体" w:eastAsia="仿宋_GB2312"/>
          <w:color w:val="auto"/>
          <w:sz w:val="24"/>
          <w:highlight w:val="none"/>
          <w:u w:val="single"/>
        </w:rPr>
        <w:t>南宁</w:t>
      </w:r>
      <w:r>
        <w:rPr>
          <w:rFonts w:hint="eastAsia" w:ascii="仿宋_GB2312" w:hAnsi="楷体" w:eastAsia="仿宋_GB2312"/>
          <w:color w:val="auto"/>
          <w:sz w:val="24"/>
          <w:highlight w:val="none"/>
        </w:rPr>
        <w:t>仲裁委员会</w:t>
      </w:r>
      <w:r>
        <w:rPr>
          <w:rFonts w:hint="eastAsia" w:ascii="仿宋_GB2312" w:hAnsi="楷体" w:eastAsia="仿宋_GB2312"/>
          <w:color w:val="auto"/>
          <w:sz w:val="24"/>
          <w:highlight w:val="none"/>
          <w:lang w:eastAsia="zh-CN"/>
        </w:rPr>
        <w:t>以</w:t>
      </w:r>
      <w:r>
        <w:rPr>
          <w:rFonts w:hint="eastAsia" w:ascii="仿宋_GB2312" w:hAnsi="楷体" w:eastAsia="仿宋_GB2312"/>
          <w:color w:val="auto"/>
          <w:sz w:val="24"/>
          <w:highlight w:val="none"/>
        </w:rPr>
        <w:t>申请仲裁时其现行有效的仲裁规则裁决；</w:t>
      </w:r>
    </w:p>
    <w:p w14:paraId="52B25E2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1.7.2 向</w:t>
      </w:r>
      <w:r>
        <w:rPr>
          <w:rFonts w:hint="eastAsia" w:ascii="仿宋_GB2312" w:hAnsi="楷体" w:eastAsia="仿宋_GB2312"/>
          <w:color w:val="auto"/>
          <w:sz w:val="24"/>
          <w:highlight w:val="none"/>
          <w:u w:val="single"/>
        </w:rPr>
        <w:t xml:space="preserve">   甲方所在地  </w:t>
      </w:r>
      <w:r>
        <w:rPr>
          <w:rFonts w:hint="eastAsia" w:ascii="仿宋_GB2312" w:hAnsi="楷体" w:eastAsia="仿宋_GB2312"/>
          <w:color w:val="auto"/>
          <w:sz w:val="24"/>
          <w:highlight w:val="none"/>
        </w:rPr>
        <w:t>人民法院起诉。</w:t>
      </w:r>
    </w:p>
    <w:p w14:paraId="79179BC7">
      <w:pPr>
        <w:spacing w:line="360" w:lineRule="auto"/>
        <w:ind w:firstLine="482" w:firstLineChars="200"/>
        <w:rPr>
          <w:rFonts w:hint="eastAsia" w:ascii="仿宋_GB2312" w:hAnsi="楷体" w:eastAsia="仿宋_GB2312"/>
          <w:b/>
          <w:color w:val="auto"/>
          <w:sz w:val="24"/>
          <w:highlight w:val="none"/>
        </w:rPr>
      </w:pPr>
      <w:bookmarkStart w:id="117" w:name="_Toc11173"/>
      <w:bookmarkStart w:id="118" w:name="_Toc7245"/>
      <w:bookmarkStart w:id="119" w:name="_Toc15322"/>
      <w:r>
        <w:rPr>
          <w:rFonts w:hint="eastAsia" w:ascii="仿宋_GB2312" w:hAnsi="楷体" w:eastAsia="仿宋_GB2312"/>
          <w:b/>
          <w:color w:val="auto"/>
          <w:sz w:val="24"/>
          <w:highlight w:val="none"/>
        </w:rPr>
        <w:t>1.8 合同生效</w:t>
      </w:r>
      <w:bookmarkEnd w:id="117"/>
      <w:bookmarkEnd w:id="118"/>
      <w:bookmarkEnd w:id="119"/>
    </w:p>
    <w:p w14:paraId="7C75A5A0">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本合同自双方当事人加盖有效电子公章时生效。</w:t>
      </w:r>
    </w:p>
    <w:p w14:paraId="7EF244D0">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                                   乙方：</w:t>
      </w:r>
    </w:p>
    <w:p w14:paraId="0546A0F6">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                        统一社会信用代码或身份证号码：</w:t>
      </w:r>
    </w:p>
    <w:p w14:paraId="2D3BAAF3">
      <w:pPr>
        <w:spacing w:line="360" w:lineRule="auto"/>
        <w:ind w:firstLine="200"/>
        <w:rPr>
          <w:rFonts w:hint="eastAsia" w:ascii="仿宋_GB2312" w:hAnsi="楷体" w:eastAsia="仿宋_GB2312"/>
          <w:color w:val="auto"/>
          <w:sz w:val="24"/>
          <w:highlight w:val="none"/>
          <w:lang w:val="zh-CN"/>
        </w:rPr>
      </w:pPr>
    </w:p>
    <w:p w14:paraId="73EDEB9E">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                                   住所：</w:t>
      </w:r>
    </w:p>
    <w:p w14:paraId="3FD5CCCE">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                             法定代表人</w:t>
      </w:r>
    </w:p>
    <w:p w14:paraId="6C9F1AF4">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授权代表（签字或盖章）：                 或授权代表（签字或盖章）: </w:t>
      </w:r>
    </w:p>
    <w:p w14:paraId="78409FA0">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                                 联系人：</w:t>
      </w:r>
    </w:p>
    <w:p w14:paraId="03DA7B5C">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                           约定送达地址：</w:t>
      </w:r>
    </w:p>
    <w:p w14:paraId="55D5E3C6">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                               邮政编码：</w:t>
      </w:r>
    </w:p>
    <w:p w14:paraId="3EFCA287">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电话:                                    电话: </w:t>
      </w:r>
    </w:p>
    <w:p w14:paraId="70F09476">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                                    传真:</w:t>
      </w:r>
    </w:p>
    <w:p w14:paraId="4B0C9FC7">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                               电子邮箱：</w:t>
      </w:r>
    </w:p>
    <w:p w14:paraId="4DE45D3E">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开户银行：                               开户银行： </w:t>
      </w:r>
    </w:p>
    <w:p w14:paraId="3F591898">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开户名称：                               开户名称： </w:t>
      </w:r>
    </w:p>
    <w:p w14:paraId="78B3E75A">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开户账号：</w:t>
      </w:r>
      <w:r>
        <w:rPr>
          <w:rFonts w:hint="eastAsia" w:ascii="仿宋_GB2312" w:hAnsi="楷体" w:eastAsia="仿宋_GB2312"/>
          <w:color w:val="auto"/>
          <w:sz w:val="24"/>
          <w:highlight w:val="none"/>
          <w:lang w:val="zh-CN"/>
        </w:rPr>
        <w:t xml:space="preserve">                               </w:t>
      </w:r>
      <w:r>
        <w:rPr>
          <w:rFonts w:hint="eastAsia" w:ascii="仿宋_GB2312" w:hAnsi="楷体" w:eastAsia="仿宋_GB2312"/>
          <w:color w:val="auto"/>
          <w:sz w:val="24"/>
          <w:highlight w:val="none"/>
        </w:rPr>
        <w:t>开户账号：</w:t>
      </w:r>
    </w:p>
    <w:p w14:paraId="567AEE63">
      <w:pPr>
        <w:pStyle w:val="46"/>
        <w:ind w:firstLine="482"/>
        <w:jc w:val="center"/>
        <w:outlineLvl w:val="1"/>
        <w:rPr>
          <w:rFonts w:hint="eastAsia" w:ascii="仿宋_GB2312" w:hAnsi="楷体" w:eastAsia="仿宋_GB2312"/>
          <w:b/>
          <w:color w:val="auto"/>
          <w:sz w:val="28"/>
          <w:szCs w:val="28"/>
          <w:highlight w:val="none"/>
        </w:rPr>
      </w:pPr>
      <w:r>
        <w:rPr>
          <w:rFonts w:hint="eastAsia" w:ascii="仿宋_GB2312" w:hAnsi="楷体" w:eastAsia="仿宋_GB2312"/>
          <w:b/>
          <w:color w:val="auto"/>
          <w:highlight w:val="none"/>
        </w:rPr>
        <w:br w:type="page"/>
      </w:r>
      <w:bookmarkStart w:id="120" w:name="_Toc80205945"/>
      <w:bookmarkStart w:id="121" w:name="_Toc331685783"/>
      <w:bookmarkStart w:id="122" w:name="_Toc8876"/>
      <w:r>
        <w:rPr>
          <w:rFonts w:hint="eastAsia" w:ascii="宋体" w:hAnsi="宋体" w:eastAsia="宋体" w:cs="宋体"/>
          <w:b/>
          <w:color w:val="auto"/>
          <w:sz w:val="28"/>
          <w:szCs w:val="28"/>
          <w:highlight w:val="none"/>
        </w:rPr>
        <w:t>第二部分 合同一般条款</w:t>
      </w:r>
      <w:bookmarkEnd w:id="120"/>
      <w:bookmarkEnd w:id="121"/>
      <w:bookmarkEnd w:id="122"/>
    </w:p>
    <w:p w14:paraId="676D42DC">
      <w:pPr>
        <w:spacing w:line="360" w:lineRule="auto"/>
        <w:ind w:firstLine="482" w:firstLineChars="200"/>
        <w:rPr>
          <w:rFonts w:hint="eastAsia" w:ascii="仿宋_GB2312" w:hAnsi="楷体" w:eastAsia="仿宋_GB2312"/>
          <w:b/>
          <w:color w:val="auto"/>
          <w:sz w:val="24"/>
          <w:highlight w:val="none"/>
        </w:rPr>
      </w:pPr>
      <w:bookmarkStart w:id="123" w:name="_Toc19614"/>
      <w:bookmarkStart w:id="124" w:name="_Toc28763"/>
      <w:bookmarkStart w:id="125" w:name="_Toc487900349"/>
      <w:bookmarkStart w:id="126" w:name="_Ref467378499"/>
      <w:bookmarkStart w:id="127" w:name="_Toc259093669"/>
      <w:bookmarkStart w:id="128" w:name="_Ref467379101"/>
      <w:bookmarkStart w:id="129" w:name="_Ref467379205"/>
      <w:bookmarkStart w:id="130" w:name="_Ref467379094"/>
      <w:bookmarkStart w:id="131" w:name="_Ref467378404"/>
      <w:bookmarkStart w:id="132" w:name="_Toc279701240"/>
      <w:bookmarkStart w:id="133" w:name="_Ref467379214"/>
      <w:bookmarkStart w:id="134" w:name="_Ref467379195"/>
      <w:bookmarkStart w:id="135" w:name="_Ref467378463"/>
      <w:bookmarkStart w:id="136" w:name="_Ref467379225"/>
      <w:bookmarkStart w:id="137" w:name="_Ref467379109"/>
      <w:bookmarkStart w:id="138" w:name="_Toc16917"/>
      <w:r>
        <w:rPr>
          <w:rFonts w:hint="eastAsia" w:ascii="仿宋_GB2312" w:hAnsi="楷体" w:eastAsia="仿宋_GB2312"/>
          <w:b/>
          <w:color w:val="auto"/>
          <w:sz w:val="24"/>
          <w:highlight w:val="none"/>
        </w:rPr>
        <w:t>2.1 定义</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27A10E6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4070DB6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 “合同”系指采购人和中标人签订的载明双方当事人所达成的协议，并包括所有的附件、附录和构成合同的其他文件。</w:t>
      </w:r>
    </w:p>
    <w:p w14:paraId="602ACA0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2.1.2 “合同价”系指根据合同约定，中标人在完全履行合同义务后，采购人应支付给中标人的价格。</w:t>
      </w:r>
    </w:p>
    <w:p w14:paraId="343DAC2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21B5AD8B">
      <w:pPr>
        <w:spacing w:line="360" w:lineRule="auto"/>
        <w:ind w:firstLine="480" w:firstLineChars="200"/>
        <w:rPr>
          <w:rFonts w:hint="eastAsia" w:ascii="仿宋_GB2312" w:hAnsi="楷体" w:eastAsia="仿宋_GB2312"/>
          <w:color w:val="auto"/>
          <w:sz w:val="24"/>
          <w:highlight w:val="none"/>
        </w:rPr>
      </w:pPr>
      <w:bookmarkStart w:id="139" w:name="_Ref467378840"/>
      <w:r>
        <w:rPr>
          <w:rFonts w:hint="eastAsia" w:ascii="仿宋_GB2312" w:hAnsi="楷体" w:eastAsia="仿宋_GB2312"/>
          <w:color w:val="auto"/>
          <w:sz w:val="24"/>
          <w:highlight w:val="none"/>
        </w:rPr>
        <w:t>2.1.4 “甲方”系指与中标人签署合同的采购人</w:t>
      </w:r>
      <w:bookmarkEnd w:id="139"/>
      <w:r>
        <w:rPr>
          <w:rFonts w:hint="eastAsia" w:ascii="仿宋_GB2312" w:hAnsi="楷体" w:eastAsia="仿宋_GB2312"/>
          <w:color w:val="auto"/>
          <w:sz w:val="24"/>
          <w:highlight w:val="none"/>
        </w:rPr>
        <w:t>；采购人委托采购机构代表其与乙方签订合同的，采购人的授权委托书作为合同附件。</w:t>
      </w:r>
    </w:p>
    <w:p w14:paraId="67FCFA4F">
      <w:pPr>
        <w:spacing w:line="360" w:lineRule="auto"/>
        <w:ind w:firstLine="480" w:firstLineChars="200"/>
        <w:rPr>
          <w:rFonts w:hint="eastAsia" w:ascii="仿宋_GB2312" w:hAnsi="楷体" w:eastAsia="仿宋_GB2312"/>
          <w:color w:val="auto"/>
          <w:sz w:val="24"/>
          <w:highlight w:val="none"/>
        </w:rPr>
      </w:pPr>
      <w:bookmarkStart w:id="140" w:name="_Ref467379400"/>
      <w:r>
        <w:rPr>
          <w:rFonts w:hint="eastAsia" w:ascii="仿宋_GB2312" w:hAnsi="楷体" w:eastAsia="仿宋_GB2312"/>
          <w:color w:val="auto"/>
          <w:sz w:val="24"/>
          <w:highlight w:val="none"/>
        </w:rPr>
        <w:t>2.1.5 “乙方”系指根据合同约定交付标的物的</w:t>
      </w:r>
      <w:bookmarkEnd w:id="140"/>
      <w:r>
        <w:rPr>
          <w:rFonts w:hint="eastAsia" w:ascii="仿宋_GB2312" w:hAnsi="楷体" w:eastAsia="仿宋_GB2312"/>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0F48C4B">
      <w:pPr>
        <w:spacing w:line="360" w:lineRule="auto"/>
        <w:ind w:firstLine="480" w:firstLineChars="200"/>
        <w:rPr>
          <w:rFonts w:hint="eastAsia" w:ascii="仿宋_GB2312" w:hAnsi="楷体" w:eastAsia="仿宋_GB2312"/>
          <w:color w:val="auto"/>
          <w:sz w:val="24"/>
          <w:highlight w:val="none"/>
        </w:rPr>
      </w:pPr>
      <w:bookmarkStart w:id="141" w:name="_Ref467379436"/>
      <w:r>
        <w:rPr>
          <w:rFonts w:hint="eastAsia" w:ascii="仿宋_GB2312" w:hAnsi="楷体" w:eastAsia="仿宋_GB2312"/>
          <w:color w:val="auto"/>
          <w:sz w:val="24"/>
          <w:highlight w:val="none"/>
        </w:rPr>
        <w:t>2.1.6 “现场”系指合同约定标的物将要运至或者实施或者安装的地点。</w:t>
      </w:r>
      <w:bookmarkEnd w:id="141"/>
    </w:p>
    <w:p w14:paraId="5E957AC3">
      <w:pPr>
        <w:spacing w:line="360" w:lineRule="auto"/>
        <w:ind w:firstLine="482" w:firstLineChars="200"/>
        <w:rPr>
          <w:rFonts w:hint="eastAsia" w:ascii="仿宋_GB2312" w:hAnsi="楷体" w:eastAsia="仿宋_GB2312"/>
          <w:b/>
          <w:color w:val="auto"/>
          <w:sz w:val="24"/>
          <w:highlight w:val="none"/>
        </w:rPr>
      </w:pPr>
      <w:bookmarkStart w:id="142" w:name="_Toc259093670"/>
      <w:bookmarkStart w:id="143" w:name="_Toc27635"/>
      <w:bookmarkStart w:id="144" w:name="_Toc279701241"/>
      <w:bookmarkStart w:id="145" w:name="_Toc32504"/>
      <w:bookmarkStart w:id="146" w:name="_Toc487900350"/>
      <w:bookmarkStart w:id="147" w:name="_Toc13336"/>
      <w:r>
        <w:rPr>
          <w:rFonts w:hint="eastAsia" w:ascii="仿宋_GB2312" w:hAnsi="楷体" w:eastAsia="仿宋_GB2312"/>
          <w:b/>
          <w:color w:val="auto"/>
          <w:sz w:val="24"/>
          <w:highlight w:val="none"/>
        </w:rPr>
        <w:t>2.2 技术规范</w:t>
      </w:r>
      <w:bookmarkEnd w:id="142"/>
      <w:bookmarkEnd w:id="143"/>
      <w:bookmarkEnd w:id="144"/>
      <w:bookmarkEnd w:id="145"/>
      <w:bookmarkEnd w:id="146"/>
      <w:bookmarkEnd w:id="147"/>
    </w:p>
    <w:p w14:paraId="2197369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17779AB">
      <w:pPr>
        <w:spacing w:line="360" w:lineRule="auto"/>
        <w:ind w:firstLine="482" w:firstLineChars="200"/>
        <w:rPr>
          <w:rFonts w:hint="eastAsia" w:ascii="仿宋_GB2312" w:hAnsi="楷体" w:eastAsia="仿宋_GB2312"/>
          <w:b/>
          <w:color w:val="auto"/>
          <w:sz w:val="24"/>
          <w:highlight w:val="none"/>
        </w:rPr>
      </w:pPr>
      <w:bookmarkStart w:id="148" w:name="_Toc487900351"/>
      <w:bookmarkStart w:id="149" w:name="_Toc259093671"/>
      <w:bookmarkStart w:id="150" w:name="_Toc27853"/>
      <w:bookmarkStart w:id="151" w:name="_Toc279701242"/>
      <w:bookmarkStart w:id="152" w:name="_Toc31634"/>
      <w:bookmarkStart w:id="153" w:name="_Toc9829"/>
      <w:r>
        <w:rPr>
          <w:rFonts w:hint="eastAsia" w:ascii="仿宋_GB2312" w:hAnsi="楷体" w:eastAsia="仿宋_GB2312"/>
          <w:b/>
          <w:color w:val="auto"/>
          <w:sz w:val="24"/>
          <w:highlight w:val="none"/>
        </w:rPr>
        <w:t>2.3 知识产权</w:t>
      </w:r>
      <w:bookmarkEnd w:id="148"/>
      <w:bookmarkEnd w:id="149"/>
      <w:bookmarkEnd w:id="150"/>
      <w:bookmarkEnd w:id="151"/>
      <w:bookmarkEnd w:id="152"/>
      <w:bookmarkEnd w:id="153"/>
    </w:p>
    <w:p w14:paraId="3844C7D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1F2D25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75E84E33">
      <w:pPr>
        <w:spacing w:line="360" w:lineRule="auto"/>
        <w:ind w:firstLine="482" w:firstLineChars="200"/>
        <w:rPr>
          <w:rFonts w:hint="eastAsia" w:ascii="仿宋_GB2312" w:hAnsi="楷体" w:eastAsia="仿宋_GB2312"/>
          <w:b/>
          <w:color w:val="auto"/>
          <w:sz w:val="24"/>
          <w:highlight w:val="none"/>
        </w:rPr>
      </w:pPr>
      <w:bookmarkStart w:id="154" w:name="_Toc29149"/>
      <w:bookmarkStart w:id="155" w:name="_Toc11932"/>
      <w:bookmarkStart w:id="156" w:name="_Toc4194"/>
      <w:r>
        <w:rPr>
          <w:rFonts w:hint="eastAsia" w:ascii="仿宋_GB2312" w:hAnsi="楷体" w:eastAsia="仿宋_GB2312"/>
          <w:b/>
          <w:color w:val="auto"/>
          <w:sz w:val="24"/>
          <w:highlight w:val="none"/>
        </w:rPr>
        <w:t>2.4 包装和装运</w:t>
      </w:r>
      <w:bookmarkEnd w:id="154"/>
      <w:bookmarkEnd w:id="155"/>
      <w:bookmarkEnd w:id="156"/>
    </w:p>
    <w:p w14:paraId="4415EAD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25EB9CB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2.4.2 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79712878">
      <w:pPr>
        <w:spacing w:line="360" w:lineRule="auto"/>
        <w:ind w:firstLine="482" w:firstLineChars="200"/>
        <w:rPr>
          <w:rFonts w:hint="eastAsia" w:ascii="仿宋_GB2312" w:hAnsi="楷体" w:eastAsia="仿宋_GB2312"/>
          <w:b/>
          <w:color w:val="auto"/>
          <w:sz w:val="24"/>
          <w:highlight w:val="none"/>
        </w:rPr>
      </w:pPr>
      <w:bookmarkStart w:id="157" w:name="_Ref467379527"/>
      <w:bookmarkStart w:id="158" w:name="_Toc487900354"/>
      <w:bookmarkStart w:id="159" w:name="_Ref467379536"/>
      <w:bookmarkStart w:id="160" w:name="_Toc259093674"/>
      <w:bookmarkStart w:id="161" w:name="_Ref467379542"/>
      <w:bookmarkStart w:id="162" w:name="_Ref467378541"/>
      <w:bookmarkStart w:id="163" w:name="_Ref467378591"/>
      <w:bookmarkStart w:id="164" w:name="_Toc279701245"/>
      <w:bookmarkStart w:id="165" w:name="_Toc19074"/>
      <w:bookmarkStart w:id="166" w:name="_Toc26182"/>
      <w:bookmarkStart w:id="167" w:name="_Toc30272"/>
      <w:r>
        <w:rPr>
          <w:rFonts w:hint="eastAsia" w:ascii="仿宋_GB2312" w:hAnsi="楷体" w:eastAsia="仿宋_GB2312"/>
          <w:b/>
          <w:color w:val="auto"/>
          <w:sz w:val="24"/>
          <w:highlight w:val="none"/>
        </w:rPr>
        <w:t>2.</w:t>
      </w:r>
      <w:bookmarkEnd w:id="157"/>
      <w:bookmarkEnd w:id="158"/>
      <w:bookmarkEnd w:id="159"/>
      <w:bookmarkEnd w:id="160"/>
      <w:bookmarkEnd w:id="161"/>
      <w:bookmarkEnd w:id="162"/>
      <w:bookmarkEnd w:id="163"/>
      <w:bookmarkEnd w:id="164"/>
      <w:r>
        <w:rPr>
          <w:rFonts w:hint="eastAsia" w:ascii="仿宋_GB2312" w:hAnsi="楷体" w:eastAsia="仿宋_GB2312"/>
          <w:b/>
          <w:color w:val="auto"/>
          <w:sz w:val="24"/>
          <w:highlight w:val="none"/>
        </w:rPr>
        <w:t>5 履约检查和问题反馈</w:t>
      </w:r>
      <w:bookmarkEnd w:id="165"/>
      <w:bookmarkEnd w:id="166"/>
      <w:bookmarkEnd w:id="167"/>
    </w:p>
    <w:p w14:paraId="5A25B201">
      <w:pPr>
        <w:spacing w:line="360" w:lineRule="auto"/>
        <w:ind w:firstLine="480" w:firstLineChars="200"/>
        <w:rPr>
          <w:rFonts w:hint="eastAsia" w:ascii="仿宋_GB2312" w:hAnsi="楷体" w:eastAsia="仿宋_GB2312"/>
          <w:color w:val="auto"/>
          <w:sz w:val="24"/>
          <w:highlight w:val="none"/>
        </w:rPr>
      </w:pPr>
      <w:bookmarkStart w:id="168" w:name="_Ref467379657"/>
      <w:r>
        <w:rPr>
          <w:rFonts w:hint="eastAsia" w:ascii="仿宋_GB2312" w:hAnsi="楷体" w:eastAsia="仿宋_GB2312"/>
          <w:color w:val="auto"/>
          <w:sz w:val="24"/>
          <w:highlight w:val="none"/>
        </w:rPr>
        <w:t>2.5.1</w:t>
      </w:r>
      <w:bookmarkEnd w:id="168"/>
      <w:bookmarkStart w:id="169" w:name="_Toc186431854"/>
      <w:bookmarkStart w:id="170" w:name="_Ref467379793"/>
      <w:bookmarkStart w:id="171" w:name="_Toc259093676"/>
      <w:bookmarkStart w:id="172" w:name="_Ref467379807"/>
      <w:bookmarkStart w:id="173" w:name="_Toc279701247"/>
      <w:bookmarkStart w:id="174" w:name="_Toc487900357"/>
      <w:r>
        <w:rPr>
          <w:rFonts w:hint="eastAsia" w:ascii="仿宋_GB2312" w:hAnsi="楷体" w:eastAsia="仿宋_GB2312"/>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D54F7F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2.5.2 合同履行期间，甲方有权将履行过程中出现的问题反馈给乙方，双方当事人应以书面形式约定需要完善和改进的内容</w:t>
      </w:r>
      <w:bookmarkEnd w:id="169"/>
      <w:bookmarkStart w:id="175" w:name="_Toc186431855"/>
      <w:r>
        <w:rPr>
          <w:rFonts w:hint="eastAsia" w:ascii="仿宋_GB2312" w:hAnsi="楷体" w:eastAsia="仿宋_GB2312"/>
          <w:color w:val="auto"/>
          <w:sz w:val="24"/>
          <w:highlight w:val="none"/>
        </w:rPr>
        <w:t>。</w:t>
      </w:r>
    </w:p>
    <w:bookmarkEnd w:id="175"/>
    <w:p w14:paraId="1ABCA069">
      <w:pPr>
        <w:spacing w:line="360" w:lineRule="auto"/>
        <w:ind w:firstLine="482" w:firstLineChars="200"/>
        <w:rPr>
          <w:rFonts w:hint="eastAsia" w:ascii="仿宋_GB2312" w:hAnsi="楷体" w:eastAsia="仿宋_GB2312"/>
          <w:b/>
          <w:color w:val="auto"/>
          <w:sz w:val="24"/>
          <w:highlight w:val="none"/>
        </w:rPr>
      </w:pPr>
      <w:bookmarkStart w:id="176" w:name="_Toc19219"/>
      <w:bookmarkStart w:id="177" w:name="_Toc28451"/>
      <w:bookmarkStart w:id="178" w:name="_Toc7836"/>
      <w:r>
        <w:rPr>
          <w:rFonts w:hint="eastAsia" w:ascii="仿宋_GB2312" w:hAnsi="楷体" w:eastAsia="仿宋_GB2312"/>
          <w:b/>
          <w:color w:val="auto"/>
          <w:sz w:val="24"/>
          <w:highlight w:val="none"/>
        </w:rPr>
        <w:t>2.6 结算方式和付款条件</w:t>
      </w:r>
      <w:bookmarkEnd w:id="170"/>
      <w:bookmarkEnd w:id="171"/>
      <w:bookmarkEnd w:id="172"/>
      <w:bookmarkEnd w:id="173"/>
      <w:bookmarkEnd w:id="174"/>
      <w:bookmarkEnd w:id="176"/>
      <w:bookmarkEnd w:id="177"/>
      <w:bookmarkEnd w:id="178"/>
    </w:p>
    <w:p w14:paraId="570F221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6A36BA8F">
      <w:pPr>
        <w:spacing w:line="360" w:lineRule="auto"/>
        <w:ind w:firstLine="482" w:firstLineChars="200"/>
        <w:rPr>
          <w:rFonts w:hint="eastAsia" w:ascii="仿宋_GB2312" w:hAnsi="楷体" w:eastAsia="仿宋_GB2312"/>
          <w:b/>
          <w:color w:val="auto"/>
          <w:sz w:val="24"/>
          <w:highlight w:val="none"/>
        </w:rPr>
      </w:pPr>
      <w:bookmarkStart w:id="179" w:name="_Ref467379852"/>
      <w:bookmarkStart w:id="180" w:name="_Toc487900358"/>
      <w:bookmarkStart w:id="181" w:name="_Ref467379863"/>
      <w:bookmarkStart w:id="182" w:name="_Toc259093677"/>
      <w:bookmarkStart w:id="183" w:name="_Toc279701248"/>
      <w:bookmarkStart w:id="184" w:name="_Ref467379923"/>
      <w:bookmarkStart w:id="185" w:name="_Toc774"/>
      <w:bookmarkStart w:id="186" w:name="_Toc16110"/>
      <w:bookmarkStart w:id="187" w:name="_Toc3225"/>
      <w:r>
        <w:rPr>
          <w:rFonts w:hint="eastAsia" w:ascii="仿宋_GB2312" w:hAnsi="楷体" w:eastAsia="仿宋_GB2312"/>
          <w:b/>
          <w:color w:val="auto"/>
          <w:sz w:val="24"/>
          <w:highlight w:val="none"/>
        </w:rPr>
        <w:t>2.7 技术资料</w:t>
      </w:r>
      <w:bookmarkEnd w:id="179"/>
      <w:bookmarkEnd w:id="180"/>
      <w:bookmarkEnd w:id="181"/>
      <w:bookmarkEnd w:id="182"/>
      <w:bookmarkEnd w:id="183"/>
      <w:bookmarkEnd w:id="184"/>
      <w:r>
        <w:rPr>
          <w:rFonts w:hint="eastAsia" w:ascii="仿宋_GB2312" w:hAnsi="楷体" w:eastAsia="仿宋_GB2312"/>
          <w:b/>
          <w:color w:val="auto"/>
          <w:sz w:val="24"/>
          <w:highlight w:val="none"/>
        </w:rPr>
        <w:t>和保密义务</w:t>
      </w:r>
      <w:bookmarkEnd w:id="185"/>
      <w:bookmarkEnd w:id="186"/>
      <w:bookmarkEnd w:id="187"/>
    </w:p>
    <w:p w14:paraId="020797E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2.7.1 乙方有权依据合同约定和项目需要，向甲方了解有关情况，调阅有关资料等，甲方应予积极配合；</w:t>
      </w:r>
    </w:p>
    <w:p w14:paraId="7394DAC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2.7.2 乙方有义务妥善保管和保护由甲方提供的前款信息和资料等；</w:t>
      </w:r>
    </w:p>
    <w:p w14:paraId="17F1825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A61F671">
      <w:pPr>
        <w:spacing w:line="360" w:lineRule="auto"/>
        <w:ind w:firstLine="482" w:firstLineChars="200"/>
        <w:rPr>
          <w:rFonts w:hint="eastAsia" w:ascii="仿宋_GB2312" w:hAnsi="楷体" w:eastAsia="仿宋_GB2312"/>
          <w:b/>
          <w:color w:val="auto"/>
          <w:sz w:val="24"/>
          <w:highlight w:val="none"/>
        </w:rPr>
      </w:pPr>
      <w:bookmarkStart w:id="188" w:name="_Toc7860"/>
      <w:r>
        <w:rPr>
          <w:rFonts w:hint="eastAsia" w:ascii="仿宋_GB2312" w:hAnsi="楷体" w:eastAsia="仿宋_GB2312"/>
          <w:b/>
          <w:color w:val="auto"/>
          <w:sz w:val="24"/>
          <w:highlight w:val="none"/>
        </w:rPr>
        <w:t>2.8 质量保证</w:t>
      </w:r>
      <w:bookmarkEnd w:id="188"/>
    </w:p>
    <w:p w14:paraId="6D9482D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2.8.1 乙方应建立和完善履行合同的内部质量保证体系，并提供相关内部规章制度给甲方，以便甲方进行监督检查；</w:t>
      </w:r>
    </w:p>
    <w:p w14:paraId="6401891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2.8.2 乙方应保证履行合同的人员数量和素质、软件和硬件设备的配置、场地、环境和设施等满足全面履行合同的要求，并应接受甲方的监督检查。</w:t>
      </w:r>
    </w:p>
    <w:p w14:paraId="77C78838">
      <w:pPr>
        <w:spacing w:line="360" w:lineRule="auto"/>
        <w:ind w:firstLine="480" w:firstLineChars="200"/>
        <w:rPr>
          <w:rFonts w:hint="eastAsia" w:ascii="仿宋_GB2312" w:hAnsi="仿宋" w:eastAsia="仿宋_GB2312" w:cs="仿宋_GB2312"/>
          <w:color w:val="auto"/>
          <w:kern w:val="0"/>
          <w:sz w:val="24"/>
          <w:highlight w:val="none"/>
        </w:rPr>
      </w:pPr>
      <w:r>
        <w:rPr>
          <w:rFonts w:hint="eastAsia" w:ascii="仿宋_GB2312" w:hAnsi="仿宋" w:eastAsia="仿宋_GB2312"/>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auto"/>
          <w:kern w:val="0"/>
          <w:sz w:val="24"/>
          <w:highlight w:val="none"/>
        </w:rPr>
        <w:t>甲方有权放弃或终止合同。</w:t>
      </w:r>
    </w:p>
    <w:p w14:paraId="3519AC8A">
      <w:pPr>
        <w:spacing w:line="360" w:lineRule="auto"/>
        <w:ind w:firstLine="480" w:firstLineChars="200"/>
        <w:rPr>
          <w:rFonts w:hint="eastAsia"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highlight w:val="none"/>
          <w:u w:val="single"/>
        </w:rPr>
        <w:t>30%</w:t>
      </w:r>
      <w:r>
        <w:rPr>
          <w:rFonts w:hint="eastAsia" w:ascii="仿宋_GB2312" w:hAnsi="仿宋" w:eastAsia="仿宋_GB2312"/>
          <w:color w:val="auto"/>
          <w:sz w:val="24"/>
          <w:highlight w:val="none"/>
        </w:rPr>
        <w:t>（根据项目实际情况填写，一般为30%）。</w:t>
      </w:r>
    </w:p>
    <w:p w14:paraId="0E0D8B31">
      <w:pPr>
        <w:spacing w:line="360" w:lineRule="auto"/>
        <w:ind w:firstLine="482" w:firstLineChars="200"/>
        <w:rPr>
          <w:rFonts w:hint="eastAsia" w:ascii="仿宋_GB2312" w:hAnsi="楷体" w:eastAsia="仿宋_GB2312"/>
          <w:b/>
          <w:color w:val="auto"/>
          <w:sz w:val="24"/>
          <w:highlight w:val="none"/>
        </w:rPr>
      </w:pPr>
      <w:bookmarkStart w:id="189" w:name="_Toc17244"/>
      <w:bookmarkStart w:id="190" w:name="_Toc279701252"/>
      <w:bookmarkStart w:id="191" w:name="_Toc487900362"/>
      <w:bookmarkStart w:id="192" w:name="_Toc259093681"/>
      <w:r>
        <w:rPr>
          <w:rFonts w:hint="eastAsia" w:ascii="仿宋_GB2312" w:hAnsi="楷体" w:eastAsia="仿宋_GB2312"/>
          <w:b/>
          <w:color w:val="auto"/>
          <w:sz w:val="24"/>
          <w:highlight w:val="none"/>
        </w:rPr>
        <w:t>2.9 标的物的风险负担</w:t>
      </w:r>
      <w:bookmarkEnd w:id="189"/>
    </w:p>
    <w:p w14:paraId="36791282">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455D1860">
      <w:pPr>
        <w:spacing w:line="360" w:lineRule="auto"/>
        <w:ind w:firstLine="482" w:firstLineChars="200"/>
        <w:rPr>
          <w:rFonts w:hint="eastAsia" w:ascii="仿宋_GB2312" w:hAnsi="楷体" w:eastAsia="仿宋_GB2312"/>
          <w:b/>
          <w:color w:val="auto"/>
          <w:sz w:val="24"/>
          <w:highlight w:val="none"/>
        </w:rPr>
      </w:pPr>
      <w:bookmarkStart w:id="193" w:name="_Toc14055"/>
      <w:r>
        <w:rPr>
          <w:rFonts w:hint="eastAsia" w:ascii="仿宋_GB2312" w:hAnsi="楷体" w:eastAsia="仿宋_GB2312"/>
          <w:b/>
          <w:color w:val="auto"/>
          <w:sz w:val="24"/>
          <w:highlight w:val="none"/>
        </w:rPr>
        <w:t>2.10 延迟交货</w:t>
      </w:r>
      <w:bookmarkEnd w:id="190"/>
      <w:bookmarkEnd w:id="191"/>
      <w:bookmarkEnd w:id="192"/>
      <w:bookmarkEnd w:id="193"/>
      <w:r>
        <w:rPr>
          <w:rFonts w:hint="eastAsia" w:ascii="仿宋_GB2312" w:hAnsi="楷体" w:eastAsia="仿宋_GB2312"/>
          <w:b/>
          <w:color w:val="auto"/>
          <w:sz w:val="24"/>
          <w:highlight w:val="none"/>
        </w:rPr>
        <w:t>/交付</w:t>
      </w:r>
    </w:p>
    <w:p w14:paraId="56776A4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23856F4">
      <w:pPr>
        <w:spacing w:line="360" w:lineRule="auto"/>
        <w:ind w:firstLine="482" w:firstLineChars="200"/>
        <w:rPr>
          <w:rFonts w:hint="eastAsia" w:ascii="仿宋_GB2312" w:hAnsi="楷体" w:eastAsia="仿宋_GB2312"/>
          <w:b/>
          <w:color w:val="auto"/>
          <w:sz w:val="24"/>
          <w:highlight w:val="none"/>
        </w:rPr>
      </w:pPr>
      <w:bookmarkStart w:id="194" w:name="_Toc7502"/>
      <w:bookmarkStart w:id="195" w:name="_Toc259093683"/>
      <w:bookmarkStart w:id="196" w:name="_Toc279701254"/>
      <w:bookmarkStart w:id="197" w:name="_Toc487900364"/>
      <w:bookmarkStart w:id="198" w:name="_Ref467378121"/>
      <w:r>
        <w:rPr>
          <w:rFonts w:hint="eastAsia" w:ascii="仿宋_GB2312" w:hAnsi="楷体" w:eastAsia="仿宋_GB2312"/>
          <w:b/>
          <w:color w:val="auto"/>
          <w:sz w:val="24"/>
          <w:highlight w:val="none"/>
        </w:rPr>
        <w:t>2.11 合同变更</w:t>
      </w:r>
      <w:bookmarkEnd w:id="194"/>
    </w:p>
    <w:p w14:paraId="720F6D1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01C681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199" w:name="_Toc259093688"/>
      <w:bookmarkStart w:id="200" w:name="_Toc487900369"/>
      <w:bookmarkStart w:id="201" w:name="_Toc279701259"/>
    </w:p>
    <w:p w14:paraId="5750E5D9">
      <w:pPr>
        <w:spacing w:line="360" w:lineRule="auto"/>
        <w:ind w:firstLine="482" w:firstLineChars="200"/>
        <w:rPr>
          <w:rFonts w:hint="eastAsia" w:ascii="仿宋_GB2312" w:hAnsi="楷体" w:eastAsia="仿宋_GB2312"/>
          <w:b/>
          <w:color w:val="auto"/>
          <w:sz w:val="24"/>
          <w:highlight w:val="none"/>
        </w:rPr>
      </w:pPr>
      <w:bookmarkStart w:id="202" w:name="_Toc10366"/>
      <w:bookmarkStart w:id="203" w:name="_Toc15237"/>
      <w:bookmarkStart w:id="204" w:name="_Toc22955"/>
      <w:r>
        <w:rPr>
          <w:rFonts w:hint="eastAsia" w:ascii="仿宋_GB2312" w:hAnsi="楷体" w:eastAsia="仿宋_GB2312"/>
          <w:b/>
          <w:color w:val="auto"/>
          <w:sz w:val="24"/>
          <w:highlight w:val="none"/>
        </w:rPr>
        <w:t>2.12 合同转让</w:t>
      </w:r>
      <w:bookmarkEnd w:id="199"/>
      <w:bookmarkEnd w:id="200"/>
      <w:bookmarkEnd w:id="201"/>
      <w:r>
        <w:rPr>
          <w:rFonts w:hint="eastAsia" w:ascii="仿宋_GB2312" w:hAnsi="楷体" w:eastAsia="仿宋_GB2312"/>
          <w:b/>
          <w:color w:val="auto"/>
          <w:sz w:val="24"/>
          <w:highlight w:val="none"/>
        </w:rPr>
        <w:t>和分包</w:t>
      </w:r>
      <w:bookmarkEnd w:id="202"/>
      <w:bookmarkEnd w:id="203"/>
      <w:bookmarkEnd w:id="204"/>
    </w:p>
    <w:p w14:paraId="0C6F351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BCC0AC3">
      <w:pPr>
        <w:spacing w:line="360" w:lineRule="auto"/>
        <w:ind w:firstLine="482" w:firstLineChars="200"/>
        <w:rPr>
          <w:rFonts w:hint="eastAsia" w:ascii="仿宋_GB2312" w:hAnsi="楷体" w:eastAsia="仿宋_GB2312"/>
          <w:b/>
          <w:color w:val="auto"/>
          <w:sz w:val="24"/>
          <w:highlight w:val="none"/>
        </w:rPr>
      </w:pPr>
      <w:bookmarkStart w:id="205" w:name="_Toc14066"/>
      <w:bookmarkStart w:id="206" w:name="_Toc13566"/>
      <w:bookmarkStart w:id="207" w:name="_Toc16508"/>
      <w:r>
        <w:rPr>
          <w:rFonts w:hint="eastAsia" w:ascii="仿宋_GB2312" w:hAnsi="楷体" w:eastAsia="仿宋_GB2312"/>
          <w:b/>
          <w:color w:val="auto"/>
          <w:sz w:val="24"/>
          <w:highlight w:val="none"/>
        </w:rPr>
        <w:t>2.13 不可抗力</w:t>
      </w:r>
      <w:bookmarkEnd w:id="205"/>
      <w:bookmarkEnd w:id="206"/>
      <w:bookmarkEnd w:id="207"/>
    </w:p>
    <w:p w14:paraId="04ED925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1FB9628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42CE097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2.13.3 因不可抗力致使不能实现合同目的的，当事人可以解除合同；</w:t>
      </w:r>
    </w:p>
    <w:p w14:paraId="655A7EA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2.13.4 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7A013DCD">
      <w:pPr>
        <w:spacing w:line="360" w:lineRule="auto"/>
        <w:ind w:firstLine="482" w:firstLineChars="200"/>
        <w:rPr>
          <w:rFonts w:hint="eastAsia" w:ascii="仿宋_GB2312" w:hAnsi="楷体" w:eastAsia="仿宋_GB2312"/>
          <w:b/>
          <w:color w:val="auto"/>
          <w:sz w:val="24"/>
          <w:highlight w:val="none"/>
        </w:rPr>
      </w:pPr>
      <w:bookmarkStart w:id="208" w:name="_Toc487900365"/>
      <w:bookmarkStart w:id="209" w:name="_Toc259093684"/>
      <w:bookmarkStart w:id="210" w:name="_Toc6969"/>
      <w:bookmarkStart w:id="211" w:name="_Toc689"/>
      <w:bookmarkStart w:id="212" w:name="_Toc30676"/>
      <w:bookmarkStart w:id="213" w:name="_Toc279701255"/>
      <w:r>
        <w:rPr>
          <w:rFonts w:hint="eastAsia" w:ascii="仿宋_GB2312" w:hAnsi="楷体" w:eastAsia="仿宋_GB2312"/>
          <w:b/>
          <w:color w:val="auto"/>
          <w:sz w:val="24"/>
          <w:highlight w:val="none"/>
        </w:rPr>
        <w:t>2.14 税费</w:t>
      </w:r>
      <w:bookmarkEnd w:id="208"/>
      <w:bookmarkEnd w:id="209"/>
      <w:bookmarkEnd w:id="210"/>
      <w:bookmarkEnd w:id="211"/>
      <w:bookmarkEnd w:id="212"/>
      <w:bookmarkEnd w:id="213"/>
    </w:p>
    <w:p w14:paraId="5E71D37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63CDC109">
      <w:pPr>
        <w:spacing w:line="360" w:lineRule="auto"/>
        <w:ind w:firstLine="482" w:firstLineChars="200"/>
        <w:rPr>
          <w:rFonts w:hint="eastAsia" w:ascii="仿宋_GB2312" w:hAnsi="楷体" w:eastAsia="仿宋_GB2312"/>
          <w:b/>
          <w:color w:val="auto"/>
          <w:sz w:val="24"/>
          <w:highlight w:val="none"/>
        </w:rPr>
      </w:pPr>
      <w:bookmarkStart w:id="214" w:name="_Toc16959"/>
      <w:bookmarkStart w:id="215" w:name="_Toc259093687"/>
      <w:bookmarkStart w:id="216" w:name="_Toc7102"/>
      <w:bookmarkStart w:id="217" w:name="_Toc487900368"/>
      <w:bookmarkStart w:id="218" w:name="_Toc279701258"/>
      <w:bookmarkStart w:id="219" w:name="_Toc8298"/>
      <w:r>
        <w:rPr>
          <w:rFonts w:hint="eastAsia" w:ascii="仿宋_GB2312" w:hAnsi="楷体" w:eastAsia="仿宋_GB2312"/>
          <w:b/>
          <w:color w:val="auto"/>
          <w:sz w:val="24"/>
          <w:highlight w:val="none"/>
        </w:rPr>
        <w:t>2.15 乙方破产</w:t>
      </w:r>
      <w:bookmarkEnd w:id="214"/>
      <w:bookmarkEnd w:id="215"/>
      <w:bookmarkEnd w:id="216"/>
      <w:bookmarkEnd w:id="217"/>
      <w:bookmarkEnd w:id="218"/>
      <w:bookmarkEnd w:id="219"/>
    </w:p>
    <w:p w14:paraId="1D1591F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E85DE54">
      <w:pPr>
        <w:spacing w:line="360" w:lineRule="auto"/>
        <w:ind w:firstLine="482" w:firstLineChars="200"/>
        <w:rPr>
          <w:rFonts w:hint="eastAsia" w:ascii="仿宋_GB2312" w:hAnsi="楷体" w:eastAsia="仿宋_GB2312"/>
          <w:b/>
          <w:color w:val="auto"/>
          <w:sz w:val="24"/>
          <w:highlight w:val="none"/>
        </w:rPr>
      </w:pPr>
      <w:bookmarkStart w:id="220" w:name="_Toc29333"/>
      <w:bookmarkStart w:id="221" w:name="_Toc15387"/>
      <w:bookmarkStart w:id="222" w:name="_Toc6134"/>
      <w:r>
        <w:rPr>
          <w:rFonts w:hint="eastAsia" w:ascii="仿宋_GB2312" w:hAnsi="楷体" w:eastAsia="仿宋_GB2312"/>
          <w:b/>
          <w:color w:val="auto"/>
          <w:sz w:val="24"/>
          <w:highlight w:val="none"/>
        </w:rPr>
        <w:t>2.16 合同中止、终止</w:t>
      </w:r>
      <w:bookmarkEnd w:id="220"/>
      <w:bookmarkEnd w:id="221"/>
      <w:bookmarkEnd w:id="222"/>
    </w:p>
    <w:p w14:paraId="4E12DFC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2.16.1 双方当事人不得擅自中止或者终止合同；</w:t>
      </w:r>
    </w:p>
    <w:p w14:paraId="6510A3A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6866F25C">
      <w:pPr>
        <w:spacing w:line="360" w:lineRule="auto"/>
        <w:ind w:firstLine="482" w:firstLineChars="200"/>
        <w:rPr>
          <w:rFonts w:hint="eastAsia" w:ascii="仿宋_GB2312" w:hAnsi="楷体" w:eastAsia="仿宋_GB2312"/>
          <w:b/>
          <w:color w:val="auto"/>
          <w:sz w:val="24"/>
          <w:highlight w:val="none"/>
        </w:rPr>
      </w:pPr>
      <w:bookmarkStart w:id="223" w:name="_Toc6596"/>
      <w:bookmarkStart w:id="224" w:name="_Toc1125"/>
      <w:bookmarkStart w:id="225" w:name="_Toc14563"/>
      <w:r>
        <w:rPr>
          <w:rFonts w:hint="eastAsia" w:ascii="仿宋_GB2312" w:hAnsi="楷体" w:eastAsia="仿宋_GB2312"/>
          <w:b/>
          <w:color w:val="auto"/>
          <w:sz w:val="24"/>
          <w:highlight w:val="none"/>
        </w:rPr>
        <w:t>2.17 检验和验收</w:t>
      </w:r>
      <w:bookmarkEnd w:id="223"/>
      <w:bookmarkEnd w:id="224"/>
      <w:bookmarkEnd w:id="225"/>
    </w:p>
    <w:p w14:paraId="3479563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2055358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EA6C4B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bookmarkEnd w:id="195"/>
    <w:bookmarkEnd w:id="196"/>
    <w:bookmarkEnd w:id="197"/>
    <w:bookmarkEnd w:id="198"/>
    <w:p w14:paraId="2821BBC8">
      <w:pPr>
        <w:spacing w:line="360" w:lineRule="auto"/>
        <w:ind w:firstLine="482" w:firstLineChars="200"/>
        <w:rPr>
          <w:rFonts w:hint="eastAsia" w:ascii="仿宋_GB2312" w:hAnsi="楷体" w:eastAsia="仿宋_GB2312"/>
          <w:b/>
          <w:color w:val="auto"/>
          <w:sz w:val="24"/>
          <w:highlight w:val="none"/>
        </w:rPr>
      </w:pPr>
      <w:bookmarkStart w:id="226" w:name="_Toc487900371"/>
      <w:bookmarkStart w:id="227" w:name="_Toc279701261"/>
      <w:bookmarkStart w:id="228" w:name="_Toc259093690"/>
      <w:bookmarkStart w:id="229" w:name="_Toc25182"/>
      <w:bookmarkStart w:id="230" w:name="_Toc11284"/>
      <w:bookmarkStart w:id="231" w:name="_Toc19604"/>
      <w:r>
        <w:rPr>
          <w:rFonts w:hint="eastAsia" w:ascii="仿宋_GB2312" w:hAnsi="楷体" w:eastAsia="仿宋_GB2312"/>
          <w:b/>
          <w:color w:val="auto"/>
          <w:sz w:val="24"/>
          <w:highlight w:val="none"/>
        </w:rPr>
        <w:t>2.18 通知</w:t>
      </w:r>
      <w:bookmarkEnd w:id="226"/>
      <w:bookmarkEnd w:id="227"/>
      <w:bookmarkEnd w:id="228"/>
      <w:r>
        <w:rPr>
          <w:rFonts w:hint="eastAsia" w:ascii="仿宋_GB2312" w:hAnsi="楷体" w:eastAsia="仿宋_GB2312"/>
          <w:b/>
          <w:color w:val="auto"/>
          <w:sz w:val="24"/>
          <w:highlight w:val="none"/>
        </w:rPr>
        <w:t>和送达</w:t>
      </w:r>
      <w:bookmarkEnd w:id="229"/>
      <w:bookmarkEnd w:id="230"/>
      <w:bookmarkEnd w:id="231"/>
    </w:p>
    <w:p w14:paraId="369673B9">
      <w:pPr>
        <w:spacing w:line="360" w:lineRule="auto"/>
        <w:ind w:firstLine="480" w:firstLineChars="200"/>
        <w:rPr>
          <w:rFonts w:hint="eastAsia" w:ascii="仿宋_GB2312" w:hAnsi="楷体" w:eastAsia="仿宋_GB2312"/>
          <w:color w:val="auto"/>
          <w:sz w:val="24"/>
          <w:highlight w:val="none"/>
        </w:rPr>
      </w:pPr>
      <w:bookmarkStart w:id="232" w:name="_Toc6698"/>
      <w:bookmarkStart w:id="233" w:name="_Toc3135"/>
      <w:bookmarkStart w:id="234" w:name="_Toc279701262"/>
      <w:bookmarkStart w:id="235" w:name="_Toc487900372"/>
      <w:bookmarkStart w:id="236" w:name="_Toc259093691"/>
      <w:r>
        <w:rPr>
          <w:rFonts w:hint="eastAsia" w:ascii="仿宋_GB2312" w:hAnsi="楷体" w:eastAsia="仿宋_GB2312"/>
          <w:color w:val="auto"/>
          <w:sz w:val="24"/>
          <w:highlight w:val="none"/>
        </w:rPr>
        <w:t>2.18.1 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个工作日内（根据项目实际填写）书面通知对方当事人，在对方当事人收到有关变更通知之前，变更前的约定送达方式或者地址仍视为有效。</w:t>
      </w:r>
      <w:bookmarkEnd w:id="232"/>
      <w:bookmarkEnd w:id="233"/>
    </w:p>
    <w:p w14:paraId="4689D8D6">
      <w:pPr>
        <w:spacing w:line="360" w:lineRule="auto"/>
        <w:ind w:firstLine="480" w:firstLineChars="200"/>
        <w:rPr>
          <w:rFonts w:hint="eastAsia" w:ascii="仿宋_GB2312" w:hAnsi="楷体" w:eastAsia="仿宋_GB2312"/>
          <w:color w:val="auto"/>
          <w:sz w:val="24"/>
          <w:highlight w:val="none"/>
        </w:rPr>
      </w:pPr>
      <w:bookmarkStart w:id="237" w:name="_Toc23128"/>
      <w:bookmarkStart w:id="238" w:name="_Toc23294"/>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37"/>
      <w:bookmarkEnd w:id="238"/>
    </w:p>
    <w:p w14:paraId="7E534691">
      <w:pPr>
        <w:spacing w:line="360" w:lineRule="auto"/>
        <w:ind w:firstLine="482" w:firstLineChars="200"/>
        <w:rPr>
          <w:rFonts w:hint="eastAsia" w:ascii="仿宋_GB2312" w:hAnsi="楷体" w:eastAsia="仿宋_GB2312"/>
          <w:b/>
          <w:color w:val="auto"/>
          <w:sz w:val="24"/>
          <w:highlight w:val="none"/>
        </w:rPr>
      </w:pPr>
      <w:bookmarkStart w:id="239" w:name="_Toc30599"/>
      <w:bookmarkStart w:id="240" w:name="_Toc18540"/>
      <w:bookmarkStart w:id="241" w:name="_Toc4355"/>
      <w:r>
        <w:rPr>
          <w:rFonts w:hint="eastAsia" w:ascii="仿宋_GB2312" w:hAnsi="楷体" w:eastAsia="仿宋_GB2312"/>
          <w:b/>
          <w:color w:val="auto"/>
          <w:sz w:val="24"/>
          <w:highlight w:val="none"/>
        </w:rPr>
        <w:t>2.19 计量单位</w:t>
      </w:r>
      <w:bookmarkEnd w:id="234"/>
      <w:bookmarkEnd w:id="235"/>
      <w:bookmarkEnd w:id="236"/>
      <w:bookmarkEnd w:id="239"/>
      <w:bookmarkEnd w:id="240"/>
      <w:bookmarkEnd w:id="241"/>
    </w:p>
    <w:p w14:paraId="7E39FE2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2E216F79">
      <w:pPr>
        <w:spacing w:line="360" w:lineRule="auto"/>
        <w:ind w:firstLine="482" w:firstLineChars="200"/>
        <w:rPr>
          <w:rFonts w:hint="eastAsia" w:ascii="仿宋_GB2312" w:hAnsi="楷体" w:eastAsia="仿宋_GB2312"/>
          <w:b/>
          <w:color w:val="auto"/>
          <w:sz w:val="24"/>
          <w:highlight w:val="none"/>
        </w:rPr>
      </w:pPr>
      <w:bookmarkStart w:id="242" w:name="_Toc12773"/>
      <w:bookmarkStart w:id="243" w:name="_Toc487900373"/>
      <w:bookmarkStart w:id="244" w:name="_Toc259093692"/>
      <w:bookmarkStart w:id="245" w:name="_Toc10330"/>
      <w:bookmarkStart w:id="246" w:name="_Toc18567"/>
      <w:bookmarkStart w:id="247" w:name="_Toc279701263"/>
      <w:r>
        <w:rPr>
          <w:rFonts w:hint="eastAsia" w:ascii="仿宋_GB2312" w:hAnsi="楷体" w:eastAsia="仿宋_GB2312"/>
          <w:b/>
          <w:color w:val="auto"/>
          <w:sz w:val="24"/>
          <w:highlight w:val="none"/>
        </w:rPr>
        <w:t>2.20 合同使用的文字和适用的法律</w:t>
      </w:r>
      <w:bookmarkEnd w:id="242"/>
      <w:bookmarkEnd w:id="243"/>
      <w:bookmarkEnd w:id="244"/>
      <w:bookmarkEnd w:id="245"/>
      <w:bookmarkEnd w:id="246"/>
      <w:bookmarkEnd w:id="247"/>
    </w:p>
    <w:p w14:paraId="18EDC22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2.20.1 合同使用汉语书就、变更和解释；</w:t>
      </w:r>
    </w:p>
    <w:p w14:paraId="7B7FA6A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2.20.2 合同适用中华人民共和国法律。</w:t>
      </w:r>
    </w:p>
    <w:p w14:paraId="66C5AA6E">
      <w:pPr>
        <w:spacing w:line="360" w:lineRule="auto"/>
        <w:ind w:firstLine="482" w:firstLineChars="200"/>
        <w:rPr>
          <w:rFonts w:hint="eastAsia" w:ascii="仿宋_GB2312" w:hAnsi="楷体" w:eastAsia="仿宋_GB2312"/>
          <w:b/>
          <w:color w:val="auto"/>
          <w:sz w:val="24"/>
          <w:highlight w:val="none"/>
        </w:rPr>
      </w:pPr>
      <w:bookmarkStart w:id="248" w:name="_Toc259093693"/>
      <w:bookmarkStart w:id="249" w:name="_Toc279701264"/>
      <w:bookmarkStart w:id="250" w:name="_Toc12004"/>
      <w:bookmarkStart w:id="251" w:name="_Toc3148"/>
      <w:bookmarkStart w:id="252" w:name="_Toc16673"/>
      <w:bookmarkStart w:id="253" w:name="_Toc487900374"/>
      <w:r>
        <w:rPr>
          <w:rFonts w:hint="eastAsia" w:ascii="仿宋_GB2312" w:hAnsi="楷体" w:eastAsia="仿宋_GB2312"/>
          <w:b/>
          <w:color w:val="auto"/>
          <w:sz w:val="24"/>
          <w:highlight w:val="none"/>
        </w:rPr>
        <w:t>2.21 履约保证金</w:t>
      </w:r>
      <w:bookmarkEnd w:id="248"/>
      <w:bookmarkEnd w:id="249"/>
      <w:bookmarkEnd w:id="250"/>
      <w:bookmarkEnd w:id="251"/>
      <w:bookmarkEnd w:id="252"/>
    </w:p>
    <w:p w14:paraId="0C6C6280">
      <w:pPr>
        <w:spacing w:line="360" w:lineRule="auto"/>
        <w:ind w:firstLine="480" w:firstLineChars="200"/>
        <w:rPr>
          <w:rFonts w:hint="eastAsia" w:ascii="仿宋_GB2312" w:hAnsi="仿宋" w:eastAsia="仿宋_GB2312" w:cs="Arial"/>
          <w:snapToGrid w:val="0"/>
          <w:color w:val="auto"/>
          <w:kern w:val="0"/>
          <w:sz w:val="24"/>
          <w:highlight w:val="none"/>
        </w:rPr>
      </w:pPr>
      <w:r>
        <w:rPr>
          <w:rFonts w:hint="eastAsia" w:ascii="仿宋_GB2312" w:hAnsi="楷体" w:eastAsia="仿宋_GB2312"/>
          <w:color w:val="auto"/>
          <w:sz w:val="24"/>
          <w:highlight w:val="none"/>
        </w:rPr>
        <w:t>本项目不收取履约保证金</w:t>
      </w:r>
    </w:p>
    <w:p w14:paraId="64A77FB2">
      <w:pPr>
        <w:spacing w:line="360" w:lineRule="auto"/>
        <w:ind w:firstLine="482" w:firstLineChars="200"/>
        <w:rPr>
          <w:rFonts w:hint="eastAsia" w:ascii="仿宋_GB2312" w:hAnsi="仿宋" w:eastAsia="仿宋_GB2312"/>
          <w:color w:val="auto"/>
          <w:kern w:val="0"/>
          <w:sz w:val="24"/>
          <w:highlight w:val="none"/>
          <w:lang w:val="zh-CN"/>
        </w:rPr>
      </w:pPr>
      <w:r>
        <w:rPr>
          <w:rFonts w:hint="eastAsia" w:ascii="仿宋_GB2312" w:hAnsi="楷体" w:eastAsia="仿宋_GB2312"/>
          <w:b/>
          <w:color w:val="auto"/>
          <w:sz w:val="24"/>
          <w:highlight w:val="none"/>
        </w:rPr>
        <w:t>2.22 中小企业政策</w:t>
      </w:r>
    </w:p>
    <w:p w14:paraId="5C3EA5EC">
      <w:pPr>
        <w:spacing w:line="360" w:lineRule="auto"/>
        <w:ind w:firstLine="480" w:firstLineChars="200"/>
        <w:rPr>
          <w:rFonts w:hint="eastAsia"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2.22.1本合同（□是  ☑否）为中小企业“政采贷”可融资合同，关于中小企业信用融资事项见采购文件“供应商须知正文”。</w:t>
      </w:r>
    </w:p>
    <w:p w14:paraId="692F6E9B">
      <w:pPr>
        <w:spacing w:line="360" w:lineRule="auto"/>
        <w:ind w:firstLine="480" w:firstLineChars="200"/>
        <w:rPr>
          <w:rFonts w:hint="eastAsia"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2.22.2本合同（☑是  □否）为中小企业预留合同。</w:t>
      </w:r>
    </w:p>
    <w:bookmarkEnd w:id="253"/>
    <w:p w14:paraId="20ABF562">
      <w:pPr>
        <w:spacing w:line="360" w:lineRule="auto"/>
        <w:ind w:firstLine="482" w:firstLineChars="200"/>
        <w:rPr>
          <w:rFonts w:hint="eastAsia" w:ascii="仿宋_GB2312" w:hAnsi="楷体" w:eastAsia="仿宋_GB2312"/>
          <w:b/>
          <w:color w:val="auto"/>
          <w:sz w:val="24"/>
          <w:highlight w:val="none"/>
        </w:rPr>
      </w:pPr>
      <w:bookmarkStart w:id="254" w:name="_Toc14001"/>
      <w:bookmarkStart w:id="255" w:name="_Toc6885"/>
      <w:bookmarkStart w:id="256" w:name="_Toc19890"/>
      <w:r>
        <w:rPr>
          <w:rFonts w:hint="eastAsia" w:ascii="仿宋_GB2312" w:hAnsi="楷体" w:eastAsia="仿宋_GB2312"/>
          <w:b/>
          <w:color w:val="auto"/>
          <w:sz w:val="24"/>
          <w:highlight w:val="none"/>
        </w:rPr>
        <w:t>2.23 合同份数</w:t>
      </w:r>
      <w:bookmarkEnd w:id="254"/>
      <w:bookmarkEnd w:id="255"/>
      <w:bookmarkEnd w:id="256"/>
    </w:p>
    <w:p w14:paraId="0DE2E23E">
      <w:pPr>
        <w:spacing w:line="360" w:lineRule="auto"/>
        <w:ind w:firstLine="480" w:firstLineChars="200"/>
        <w:rPr>
          <w:rFonts w:hint="eastAsia" w:ascii="仿宋_GB2312" w:hAnsi="楷体" w:eastAsia="仿宋_GB2312"/>
          <w:color w:val="auto"/>
          <w:sz w:val="24"/>
          <w:highlight w:val="none"/>
        </w:rPr>
      </w:pPr>
      <w:r>
        <w:rPr>
          <w:rFonts w:hint="eastAsia" w:ascii="仿宋_GB2312" w:hAnsi="宋体" w:eastAsia="仿宋_GB2312"/>
          <w:color w:val="auto"/>
          <w:sz w:val="24"/>
          <w:highlight w:val="none"/>
        </w:rPr>
        <w:t>本合同壹式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u w:val="single"/>
          <w:lang w:eastAsia="zh-CN"/>
        </w:rPr>
        <w:t>叁</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u w:val="single"/>
          <w:lang w:eastAsia="zh-CN"/>
        </w:rPr>
        <w:t>贰</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份，乙方执</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u w:val="single"/>
          <w:lang w:eastAsia="zh-CN"/>
        </w:rPr>
        <w:t>壹</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4469FFB4">
      <w:pPr>
        <w:pStyle w:val="46"/>
        <w:ind w:firstLine="482"/>
        <w:jc w:val="center"/>
        <w:outlineLvl w:val="1"/>
        <w:rPr>
          <w:rFonts w:hint="eastAsia" w:ascii="仿宋_GB2312" w:hAnsi="楷体" w:eastAsia="仿宋_GB2312"/>
          <w:b/>
          <w:color w:val="auto"/>
          <w:sz w:val="28"/>
          <w:szCs w:val="28"/>
          <w:highlight w:val="none"/>
        </w:rPr>
      </w:pPr>
      <w:r>
        <w:rPr>
          <w:rFonts w:hint="eastAsia" w:ascii="仿宋_GB2312" w:hAnsi="楷体" w:eastAsia="仿宋_GB2312"/>
          <w:color w:val="auto"/>
          <w:highlight w:val="none"/>
        </w:rPr>
        <w:br w:type="page"/>
      </w:r>
      <w:bookmarkStart w:id="257" w:name="_Toc80205946"/>
      <w:bookmarkStart w:id="258" w:name="_Toc331685784"/>
      <w:bookmarkStart w:id="259" w:name="_Toc22669"/>
      <w:r>
        <w:rPr>
          <w:rFonts w:hint="eastAsia" w:ascii="宋体" w:hAnsi="宋体" w:eastAsia="宋体" w:cs="宋体"/>
          <w:b/>
          <w:color w:val="auto"/>
          <w:sz w:val="28"/>
          <w:szCs w:val="28"/>
          <w:highlight w:val="none"/>
        </w:rPr>
        <w:t>第三部分  合同专用条款</w:t>
      </w:r>
      <w:bookmarkEnd w:id="257"/>
      <w:bookmarkEnd w:id="258"/>
      <w:bookmarkEnd w:id="259"/>
    </w:p>
    <w:p w14:paraId="1835E1B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0AEB37C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2.3.2具有知识产权的标的物知识产权归属：</w:t>
      </w:r>
    </w:p>
    <w:p w14:paraId="737A2B1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 xml:space="preserve">           </w:t>
      </w:r>
    </w:p>
    <w:p w14:paraId="5102908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2.4.1包装和装运专用条款（如果有）：</w:t>
      </w:r>
    </w:p>
    <w:p w14:paraId="4993C7F5">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4F3E581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2.4.2装运标的物的要求和通知：</w:t>
      </w:r>
    </w:p>
    <w:p w14:paraId="70FA5A6A">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2DE917BB">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2.6</w:t>
      </w:r>
      <w:r>
        <w:rPr>
          <w:rFonts w:hint="eastAsia" w:ascii="仿宋_GB2312" w:hAnsi="楷体" w:eastAsia="仿宋_GB2312"/>
          <w:b/>
          <w:color w:val="auto"/>
          <w:sz w:val="24"/>
          <w:highlight w:val="none"/>
        </w:rPr>
        <w:t>结算方式和付款条件</w:t>
      </w:r>
    </w:p>
    <w:p w14:paraId="78A77402">
      <w:pPr>
        <w:spacing w:line="360" w:lineRule="auto"/>
        <w:ind w:firstLine="480" w:firstLineChars="200"/>
        <w:rPr>
          <w:rFonts w:hint="eastAsia" w:ascii="仿宋_GB2312" w:hAnsi="仿宋_GB2312" w:eastAsia="仿宋_GB2312" w:cs="仿宋_GB2312"/>
          <w:color w:val="auto"/>
          <w:kern w:val="0"/>
          <w:sz w:val="24"/>
          <w:highlight w:val="none"/>
          <w:lang w:val="zh-CN"/>
        </w:rPr>
      </w:pPr>
      <w:r>
        <w:rPr>
          <w:rFonts w:hint="eastAsia" w:ascii="仿宋_GB2312" w:hAnsi="仿宋_GB2312" w:eastAsia="仿宋_GB2312" w:cs="仿宋_GB2312"/>
          <w:color w:val="auto"/>
          <w:kern w:val="0"/>
          <w:sz w:val="24"/>
          <w:highlight w:val="none"/>
          <w:lang w:val="zh-CN"/>
        </w:rPr>
        <w:t>本次项目合同总价为大写人民币</w:t>
      </w:r>
      <w:r>
        <w:rPr>
          <w:rFonts w:hint="eastAsia" w:ascii="仿宋_GB2312" w:hAnsi="仿宋_GB2312" w:eastAsia="仿宋_GB2312" w:cs="仿宋_GB2312"/>
          <w:color w:val="auto"/>
          <w:kern w:val="0"/>
          <w:sz w:val="24"/>
          <w:highlight w:val="none"/>
          <w:u w:val="single"/>
          <w:lang w:val="zh-CN"/>
        </w:rPr>
        <w:t xml:space="preserve">            （</w:t>
      </w:r>
      <w:r>
        <w:rPr>
          <w:rFonts w:hint="eastAsia" w:ascii="仿宋_GB2312" w:hAnsi="仿宋_GB2312" w:eastAsia="仿宋_GB2312" w:cs="仿宋_GB2312"/>
          <w:color w:val="auto"/>
          <w:kern w:val="0"/>
          <w:sz w:val="24"/>
          <w:highlight w:val="none"/>
          <w:lang w:val="zh-CN"/>
        </w:rPr>
        <w:t>￥    元）。本项目采用以下勾选结算方式进行支付：</w:t>
      </w:r>
    </w:p>
    <w:p w14:paraId="30C836C1">
      <w:pPr>
        <w:spacing w:line="360" w:lineRule="auto"/>
        <w:ind w:firstLine="480" w:firstLineChars="200"/>
        <w:rPr>
          <w:rFonts w:hint="eastAsia" w:ascii="仿宋_GB2312" w:hAnsi="仿宋_GB2312" w:eastAsia="仿宋_GB2312" w:cs="仿宋_GB2312"/>
          <w:color w:val="auto"/>
          <w:kern w:val="0"/>
          <w:sz w:val="24"/>
          <w:highlight w:val="none"/>
          <w:lang w:val="zh-CN"/>
        </w:rPr>
      </w:pPr>
      <w:r>
        <w:rPr>
          <w:rFonts w:hint="eastAsia" w:ascii="仿宋_GB2312" w:hAnsi="仿宋_GB2312" w:eastAsia="仿宋_GB2312" w:cs="仿宋_GB2312"/>
          <w:color w:val="auto"/>
          <w:kern w:val="0"/>
          <w:sz w:val="24"/>
          <w:highlight w:val="none"/>
          <w:lang w:val="zh-CN"/>
        </w:rPr>
        <w:t>□采用一次性支付方式，付款条件为：</w:t>
      </w:r>
      <w:r>
        <w:rPr>
          <w:rFonts w:hint="eastAsia" w:ascii="仿宋_GB2312" w:hAnsi="仿宋_GB2312" w:eastAsia="仿宋_GB2312" w:cs="仿宋_GB2312"/>
          <w:color w:val="auto"/>
          <w:kern w:val="0"/>
          <w:sz w:val="24"/>
          <w:highlight w:val="none"/>
          <w:u w:val="single"/>
        </w:rPr>
        <w:t xml:space="preserve">           </w:t>
      </w:r>
    </w:p>
    <w:p w14:paraId="0FAF383B">
      <w:pPr>
        <w:spacing w:line="360" w:lineRule="auto"/>
        <w:ind w:firstLine="480" w:firstLineChars="20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zh-CN"/>
        </w:rPr>
        <w:t>☑采用分期付款方式，付款条件为</w:t>
      </w:r>
      <w:r>
        <w:rPr>
          <w:rFonts w:hint="eastAsia" w:ascii="仿宋_GB2312" w:hAnsi="仿宋_GB2312" w:eastAsia="仿宋_GB2312" w:cs="仿宋_GB2312"/>
          <w:color w:val="auto"/>
          <w:kern w:val="0"/>
          <w:sz w:val="24"/>
          <w:highlight w:val="none"/>
        </w:rPr>
        <w:t>：</w:t>
      </w:r>
    </w:p>
    <w:p w14:paraId="3DC502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none"/>
        </w:rPr>
        <w:t>完成7个就业服务站筹备</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投入</w:t>
      </w:r>
      <w:r>
        <w:rPr>
          <w:rFonts w:hint="eastAsia" w:ascii="宋体" w:hAnsi="宋体" w:eastAsia="宋体" w:cs="宋体"/>
          <w:color w:val="auto"/>
          <w:sz w:val="21"/>
          <w:szCs w:val="21"/>
          <w:highlight w:val="none"/>
          <w:u w:val="none"/>
          <w:lang w:eastAsia="zh-CN"/>
        </w:rPr>
        <w:t>试</w:t>
      </w:r>
      <w:r>
        <w:rPr>
          <w:rFonts w:hint="eastAsia" w:ascii="宋体" w:hAnsi="宋体" w:eastAsia="宋体" w:cs="宋体"/>
          <w:color w:val="auto"/>
          <w:sz w:val="21"/>
          <w:szCs w:val="21"/>
          <w:highlight w:val="none"/>
          <w:u w:val="none"/>
        </w:rPr>
        <w:t>运营并验收合格后支付合同总金额的</w:t>
      </w:r>
      <w:r>
        <w:rPr>
          <w:rFonts w:hint="eastAsia" w:ascii="宋体" w:hAnsi="宋体" w:eastAsia="宋体" w:cs="宋体"/>
          <w:color w:val="auto"/>
          <w:sz w:val="21"/>
          <w:szCs w:val="21"/>
          <w:highlight w:val="none"/>
          <w:u w:val="none"/>
          <w:lang w:val="en-US" w:eastAsia="zh-CN"/>
        </w:rPr>
        <w:t>5</w:t>
      </w:r>
      <w:r>
        <w:rPr>
          <w:rFonts w:hint="eastAsia" w:ascii="宋体" w:hAnsi="宋体" w:eastAsia="宋体" w:cs="宋体"/>
          <w:color w:val="auto"/>
          <w:sz w:val="21"/>
          <w:szCs w:val="21"/>
          <w:highlight w:val="none"/>
          <w:u w:val="none"/>
        </w:rPr>
        <w:t>0%</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剩余服务经费按运营服务期的考核结果等次和合同约定核算支付。</w:t>
      </w:r>
      <w:r>
        <w:rPr>
          <w:rFonts w:hint="eastAsia" w:ascii="宋体" w:hAnsi="宋体" w:eastAsia="宋体" w:cs="宋体"/>
          <w:color w:val="auto"/>
          <w:sz w:val="21"/>
          <w:szCs w:val="21"/>
          <w:highlight w:val="none"/>
          <w:lang w:val="en-US" w:eastAsia="zh-CN"/>
        </w:rPr>
        <w:t>考核得分达90分（含）以上的定为A等次，支付100%服务费；考核得分达85分（含）-90分（不含）的定为B等次，支付90%服务费；考核得分达80分（含）-85分（不含）的定为C等次，支付80%服务费；考核得分达75分（含）-80分（不含）的定为D等次，支付70%服务费；考核得分达60分（含）-75分（不含）的定为E等次，支付50%服务费；考核得分低于60分（不含）的定为F等次（不合格），不予支付服务费。</w:t>
      </w:r>
    </w:p>
    <w:p w14:paraId="18183F0F">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2.9</w:t>
      </w:r>
      <w:r>
        <w:rPr>
          <w:rFonts w:hint="eastAsia" w:ascii="仿宋_GB2312" w:hAnsi="楷体" w:eastAsia="仿宋_GB2312"/>
          <w:b/>
          <w:color w:val="auto"/>
          <w:sz w:val="24"/>
          <w:highlight w:val="none"/>
        </w:rPr>
        <w:t>标的物的风险负担</w:t>
      </w:r>
    </w:p>
    <w:p w14:paraId="3D500F6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w:t>
      </w:r>
    </w:p>
    <w:p w14:paraId="5FE52258">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乙方                                                                       </w:t>
      </w:r>
    </w:p>
    <w:p w14:paraId="1F9211D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日内（根据项目实际填写）以书面形式通知对方当事人，并在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日内（根据项目实际填写），将有关部门出具的证明文件送达对方当事人。</w:t>
      </w:r>
    </w:p>
    <w:p w14:paraId="3A5624E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2.13.4因不可抗力致使合同有变更必要的，双方当事人应在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日内（根据项目实际填写）以书面形式变更合同；</w:t>
      </w:r>
    </w:p>
    <w:p w14:paraId="1017B0D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日内（根据项目实际填写）发起验收，并可依法邀请相关方参加，验收应出具验收书。</w:t>
      </w:r>
    </w:p>
    <w:p w14:paraId="0F124A4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w:t>
      </w:r>
    </w:p>
    <w:p w14:paraId="74FEEB54">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326AB310">
      <w:pPr>
        <w:spacing w:line="360" w:lineRule="auto"/>
        <w:ind w:firstLine="480" w:firstLineChars="200"/>
        <w:rPr>
          <w:rFonts w:hint="eastAsia" w:ascii="仿宋_GB2312" w:hAnsi="楷体" w:eastAsia="仿宋_GB2312"/>
          <w:color w:val="auto"/>
          <w:sz w:val="24"/>
          <w:highlight w:val="none"/>
          <w:lang w:eastAsia="zh-CN"/>
        </w:rPr>
      </w:pPr>
      <w:r>
        <w:rPr>
          <w:rFonts w:hint="eastAsia" w:ascii="仿宋_GB2312" w:hAnsi="楷体" w:eastAsia="仿宋_GB2312"/>
          <w:color w:val="auto"/>
          <w:sz w:val="24"/>
          <w:highlight w:val="none"/>
        </w:rPr>
        <w:t>3.1 其他：</w:t>
      </w:r>
      <w:r>
        <w:rPr>
          <w:rFonts w:hint="eastAsia" w:ascii="仿宋_GB2312" w:hAnsi="楷体" w:eastAsia="仿宋_GB2312"/>
          <w:color w:val="auto"/>
          <w:sz w:val="24"/>
          <w:highlight w:val="none"/>
          <w:lang w:eastAsia="zh-CN"/>
        </w:rPr>
        <w:t>本项目合同总价已包含全部站点设备设施采购、安装调试费用；乙方仅享有服务期内设备设施使用权，未经甲方书面同意不可抵押、出租、处置站点内设备设施。</w:t>
      </w:r>
    </w:p>
    <w:p w14:paraId="222649BA">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项目验收：</w:t>
      </w:r>
    </w:p>
    <w:p w14:paraId="7401C4EB">
      <w:pPr>
        <w:numPr>
          <w:ilvl w:val="0"/>
          <w:numId w:val="8"/>
        </w:num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927C39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2、严格按照采购合同开展履约验收。甲方成立验收小组，按照采购合同的约定对供应商履约情况进行验收</w:t>
      </w:r>
      <w:r>
        <w:rPr>
          <w:rFonts w:hint="eastAsia" w:ascii="仿宋_GB2312" w:hAnsi="楷体" w:eastAsia="仿宋_GB2312"/>
          <w:color w:val="auto"/>
          <w:sz w:val="24"/>
          <w:highlight w:val="none"/>
          <w:lang w:eastAsia="zh-CN"/>
        </w:rPr>
        <w:t>（参照附件</w:t>
      </w:r>
      <w:r>
        <w:rPr>
          <w:rFonts w:hint="eastAsia" w:ascii="仿宋_GB2312" w:hAnsi="楷体" w:eastAsia="仿宋_GB2312"/>
          <w:color w:val="auto"/>
          <w:sz w:val="24"/>
          <w:highlight w:val="none"/>
          <w:lang w:val="en-US" w:eastAsia="zh-CN"/>
        </w:rPr>
        <w:t>2《南宁市一级就业服务站规范配备标准》、</w:t>
      </w:r>
      <w:r>
        <w:rPr>
          <w:rFonts w:hint="eastAsia" w:ascii="仿宋_GB2312" w:hAnsi="楷体" w:eastAsia="仿宋_GB2312"/>
          <w:color w:val="auto"/>
          <w:sz w:val="24"/>
          <w:highlight w:val="none"/>
          <w:lang w:eastAsia="zh-CN"/>
        </w:rPr>
        <w:t>附件</w:t>
      </w:r>
      <w:r>
        <w:rPr>
          <w:rFonts w:hint="eastAsia" w:ascii="仿宋_GB2312" w:hAnsi="楷体" w:eastAsia="仿宋_GB2312"/>
          <w:color w:val="auto"/>
          <w:sz w:val="24"/>
          <w:highlight w:val="none"/>
          <w:lang w:val="en-US" w:eastAsia="zh-CN"/>
        </w:rPr>
        <w:t>4</w:t>
      </w:r>
      <w:r>
        <w:rPr>
          <w:rFonts w:hint="eastAsia" w:ascii="仿宋_GB2312" w:hAnsi="楷体" w:eastAsia="仿宋_GB2312"/>
          <w:color w:val="auto"/>
          <w:sz w:val="24"/>
          <w:highlight w:val="none"/>
        </w:rPr>
        <w:t>《南宁市武鸣区一级就业服务站服务考核标准》），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0D55D4A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648BC9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4、验收产生的费用首次验收费用由甲方承担，如首次验收不合格，后续验收费用由乙方支付。</w:t>
      </w:r>
    </w:p>
    <w:p w14:paraId="268398D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5、验收内容及资料要求：</w:t>
      </w:r>
    </w:p>
    <w:p w14:paraId="068E05D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eastAsia="zh-CN"/>
        </w:rPr>
        <w:t>根据</w:t>
      </w:r>
      <w:r>
        <w:rPr>
          <w:rFonts w:hint="eastAsia" w:ascii="仿宋_GB2312" w:hAnsi="楷体" w:eastAsia="仿宋_GB2312"/>
          <w:color w:val="auto"/>
          <w:sz w:val="24"/>
          <w:highlight w:val="none"/>
        </w:rPr>
        <w:t>采购文件确定的技术指标或者服务要求确定验收指标和标准。未进行相应约定的，应当符合国家强制性规定、政策要求、安全标准、行业或企业有关标准等。</w:t>
      </w:r>
    </w:p>
    <w:p w14:paraId="77E9A7CF">
      <w:pPr>
        <w:tabs>
          <w:tab w:val="left" w:pos="904"/>
        </w:tabs>
        <w:snapToGrid w:val="0"/>
        <w:spacing w:line="360" w:lineRule="auto"/>
        <w:ind w:firstLine="480" w:firstLineChars="200"/>
        <w:jc w:val="left"/>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5.1验收内容</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4E0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460A8AE">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CEB965F">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A529AC1">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验收标准</w:t>
            </w:r>
          </w:p>
        </w:tc>
      </w:tr>
      <w:tr w14:paraId="3B87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CB234B1">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4F7C3A4">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9631760">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1项</w:t>
            </w:r>
          </w:p>
        </w:tc>
      </w:tr>
      <w:tr w14:paraId="71F7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B861F0B">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D0C1564">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B09B157">
            <w:pPr>
              <w:keepNext w:val="0"/>
              <w:keepLines w:val="0"/>
              <w:widowControl/>
              <w:suppressLineNumbers w:val="0"/>
              <w:spacing w:before="0" w:beforeAutospacing="0" w:after="0" w:afterAutospacing="0" w:line="360" w:lineRule="auto"/>
              <w:ind w:left="0" w:right="0" w:firstLine="200"/>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附加</w:t>
            </w:r>
            <w:r>
              <w:rPr>
                <w:rFonts w:hint="eastAsia" w:ascii="仿宋" w:hAnsi="仿宋" w:eastAsia="仿宋" w:cs="仿宋"/>
                <w:color w:val="auto"/>
                <w:kern w:val="0"/>
                <w:sz w:val="24"/>
                <w:highlight w:val="none"/>
                <w:lang w:val="en-US" w:eastAsia="zh-CN"/>
              </w:rPr>
              <w:t>2、附件4</w:t>
            </w:r>
          </w:p>
        </w:tc>
      </w:tr>
      <w:tr w14:paraId="7EFC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0AE6059">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F0E51F7">
            <w:pPr>
              <w:keepNext w:val="0"/>
              <w:keepLines w:val="0"/>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03BF9AC">
            <w:pPr>
              <w:pStyle w:val="13"/>
              <w:keepNext w:val="0"/>
              <w:keepLines w:val="0"/>
              <w:suppressLineNumbers w:val="0"/>
              <w:spacing w:before="0" w:beforeAutospacing="0" w:after="0" w:afterAutospacing="0" w:line="360" w:lineRule="auto"/>
              <w:ind w:left="0" w:right="0" w:firstLine="200"/>
              <w:jc w:val="left"/>
              <w:rPr>
                <w:rFonts w:hint="eastAsia" w:ascii="仿宋" w:hAnsi="仿宋" w:eastAsia="仿宋" w:cs="仿宋"/>
                <w:color w:val="auto"/>
                <w:highlight w:val="none"/>
              </w:rPr>
            </w:pPr>
          </w:p>
        </w:tc>
      </w:tr>
      <w:tr w14:paraId="3912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29BE1AC">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F7FD96B">
            <w:pPr>
              <w:keepNext w:val="0"/>
              <w:keepLines w:val="0"/>
              <w:suppressLineNumbers w:val="0"/>
              <w:spacing w:before="0" w:beforeAutospacing="0" w:after="0" w:afterAutospacing="0" w:line="360" w:lineRule="auto"/>
              <w:ind w:left="0" w:right="0" w:firstLine="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售后服务</w:t>
            </w:r>
          </w:p>
          <w:p w14:paraId="3C9970A4">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color w:val="auto"/>
                <w:sz w:val="24"/>
                <w:highlight w:val="none"/>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FE0C817">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color w:val="auto"/>
                <w:kern w:val="0"/>
                <w:sz w:val="24"/>
                <w:highlight w:val="none"/>
              </w:rPr>
            </w:pPr>
          </w:p>
        </w:tc>
      </w:tr>
      <w:tr w14:paraId="27A0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3CA9A67">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AD3B113">
            <w:pPr>
              <w:keepNext w:val="0"/>
              <w:keepLines w:val="0"/>
              <w:widowControl/>
              <w:suppressLineNumbers w:val="0"/>
              <w:spacing w:before="0" w:beforeAutospacing="0" w:after="0" w:afterAutospacing="0" w:line="360" w:lineRule="auto"/>
              <w:ind w:left="0" w:right="0"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097136C">
            <w:pPr>
              <w:keepNext w:val="0"/>
              <w:keepLines w:val="0"/>
              <w:widowControl/>
              <w:suppressLineNumbers w:val="0"/>
              <w:spacing w:before="0" w:beforeAutospacing="0" w:after="0" w:afterAutospacing="0" w:line="360" w:lineRule="auto"/>
              <w:ind w:left="0" w:right="0" w:firstLine="200"/>
              <w:jc w:val="left"/>
              <w:rPr>
                <w:rFonts w:hint="eastAsia" w:ascii="仿宋" w:hAnsi="仿宋" w:eastAsia="仿宋" w:cs="仿宋"/>
                <w:color w:val="auto"/>
                <w:kern w:val="0"/>
                <w:sz w:val="24"/>
                <w:highlight w:val="none"/>
              </w:rPr>
            </w:pPr>
          </w:p>
        </w:tc>
      </w:tr>
    </w:tbl>
    <w:p w14:paraId="5A629CDD">
      <w:pPr>
        <w:tabs>
          <w:tab w:val="left" w:pos="904"/>
        </w:tabs>
        <w:snapToGrid w:val="0"/>
        <w:spacing w:line="360" w:lineRule="auto"/>
        <w:ind w:firstLine="480" w:firstLineChars="200"/>
        <w:jc w:val="left"/>
        <w:rPr>
          <w:rFonts w:hint="eastAsia" w:ascii="仿宋" w:hAnsi="仿宋" w:eastAsia="仿宋" w:cs="仿宋"/>
          <w:color w:val="auto"/>
          <w:sz w:val="24"/>
          <w:highlight w:val="none"/>
        </w:rPr>
      </w:pPr>
    </w:p>
    <w:p w14:paraId="50DCAFE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5.2验收资料要求</w:t>
      </w:r>
    </w:p>
    <w:p w14:paraId="1ECB922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验收资料要求包括（不限于）以下内容：</w:t>
      </w:r>
    </w:p>
    <w:p w14:paraId="4437DFC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（1）采购文件；</w:t>
      </w:r>
    </w:p>
    <w:p w14:paraId="03F621A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（2）响应文件；</w:t>
      </w:r>
    </w:p>
    <w:p w14:paraId="42EEF6F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（3）采购合同；</w:t>
      </w:r>
    </w:p>
    <w:p w14:paraId="7031307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（4）作为项目验收依据到货核验单（需采购核验人、复核人及乙方交货人三方签字盖章）、产品拍照图片、产品说明书、产品合格证、质量保证书原件、三包凭证、产品的检测报告、原厂质保承诺函等；</w:t>
      </w:r>
    </w:p>
    <w:p w14:paraId="5D339AF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（5）其他需提供的相关材料。</w:t>
      </w:r>
    </w:p>
    <w:p w14:paraId="5A42AB1A">
      <w:pPr>
        <w:widowControl/>
        <w:ind w:firstLine="720" w:firstLineChars="300"/>
        <w:jc w:val="left"/>
        <w:rPr>
          <w:rFonts w:hint="eastAsia" w:ascii="仿宋" w:hAnsi="仿宋" w:eastAsia="仿宋"/>
          <w:bCs/>
          <w:color w:val="auto"/>
          <w:sz w:val="24"/>
          <w:highlight w:val="none"/>
        </w:rPr>
      </w:pPr>
    </w:p>
    <w:p w14:paraId="6B05761A">
      <w:pPr>
        <w:spacing w:line="360" w:lineRule="auto"/>
        <w:ind w:firstLine="480" w:firstLineChars="200"/>
        <w:rPr>
          <w:rFonts w:ascii="宋体" w:hAnsi="宋体" w:cs="仿宋_GB2312"/>
          <w:b/>
          <w:color w:val="auto"/>
          <w:sz w:val="44"/>
          <w:szCs w:val="44"/>
          <w:highlight w:val="none"/>
        </w:rPr>
      </w:pPr>
      <w:r>
        <w:rPr>
          <w:rFonts w:hint="eastAsia" w:ascii="仿宋_GB2312" w:hAnsi="楷体" w:eastAsia="仿宋_GB2312"/>
          <w:color w:val="auto"/>
          <w:sz w:val="24"/>
          <w:highlight w:val="none"/>
          <w:u w:val="single"/>
        </w:rPr>
        <w:t xml:space="preserve">   设备设施清单、造价明细， </w:t>
      </w:r>
      <w:r>
        <w:rPr>
          <w:rFonts w:hint="eastAsia" w:ascii="仿宋_GB2312" w:hAnsi="楷体" w:eastAsia="仿宋_GB2312"/>
          <w:color w:val="auto"/>
          <w:sz w:val="24"/>
          <w:highlight w:val="none"/>
          <w:u w:val="single"/>
          <w:lang w:eastAsia="zh-CN"/>
        </w:rPr>
        <w:t>运营服务台账清单</w:t>
      </w:r>
      <w:r>
        <w:rPr>
          <w:rFonts w:hint="eastAsia" w:ascii="仿宋_GB2312" w:hAnsi="楷体" w:eastAsia="仿宋_GB2312"/>
          <w:color w:val="auto"/>
          <w:sz w:val="24"/>
          <w:highlight w:val="none"/>
          <w:u w:val="single"/>
        </w:rPr>
        <w:t xml:space="preserve">                                                                   </w:t>
      </w:r>
    </w:p>
    <w:p w14:paraId="79A49EA2">
      <w:pPr>
        <w:tabs>
          <w:tab w:val="left" w:pos="3261"/>
        </w:tabs>
        <w:spacing w:line="360" w:lineRule="auto"/>
        <w:contextualSpacing/>
        <w:jc w:val="center"/>
        <w:rPr>
          <w:rFonts w:ascii="宋体" w:hAnsi="宋体" w:cs="仿宋_GB2312"/>
          <w:b/>
          <w:color w:val="auto"/>
          <w:sz w:val="44"/>
          <w:szCs w:val="44"/>
          <w:highlight w:val="none"/>
        </w:rPr>
      </w:pPr>
    </w:p>
    <w:p w14:paraId="725C0791">
      <w:pPr>
        <w:tabs>
          <w:tab w:val="left" w:pos="3261"/>
        </w:tabs>
        <w:spacing w:line="360" w:lineRule="auto"/>
        <w:contextualSpacing/>
        <w:jc w:val="center"/>
        <w:rPr>
          <w:rFonts w:ascii="宋体" w:hAnsi="宋体" w:cs="仿宋_GB2312"/>
          <w:b/>
          <w:color w:val="auto"/>
          <w:sz w:val="44"/>
          <w:szCs w:val="44"/>
          <w:highlight w:val="none"/>
        </w:rPr>
      </w:pPr>
    </w:p>
    <w:p w14:paraId="2216D444">
      <w:pPr>
        <w:tabs>
          <w:tab w:val="left" w:pos="3261"/>
        </w:tabs>
        <w:spacing w:line="360" w:lineRule="auto"/>
        <w:contextualSpacing/>
        <w:jc w:val="center"/>
        <w:rPr>
          <w:rFonts w:ascii="宋体" w:hAnsi="宋体" w:cs="仿宋_GB2312"/>
          <w:b/>
          <w:color w:val="auto"/>
          <w:sz w:val="44"/>
          <w:szCs w:val="44"/>
          <w:highlight w:val="none"/>
        </w:rPr>
      </w:pPr>
    </w:p>
    <w:p w14:paraId="46D2CE4E">
      <w:pPr>
        <w:spacing w:line="360" w:lineRule="auto"/>
        <w:jc w:val="center"/>
        <w:rPr>
          <w:rFonts w:ascii="宋体" w:hAnsi="宋体"/>
          <w:b/>
          <w:bCs/>
          <w:color w:val="auto"/>
          <w:sz w:val="44"/>
          <w:szCs w:val="44"/>
          <w:highlight w:val="none"/>
        </w:rPr>
        <w:sectPr>
          <w:pgSz w:w="11910" w:h="16840"/>
          <w:pgMar w:top="1340" w:right="1500" w:bottom="1134" w:left="1587" w:header="720" w:footer="720" w:gutter="0"/>
          <w:pgNumType w:fmt="decimal"/>
          <w:cols w:space="720" w:num="1"/>
        </w:sectPr>
      </w:pPr>
    </w:p>
    <w:p w14:paraId="30B09C18">
      <w:pPr>
        <w:tabs>
          <w:tab w:val="left" w:pos="3261"/>
        </w:tabs>
        <w:spacing w:line="360" w:lineRule="auto"/>
        <w:contextualSpacing/>
        <w:jc w:val="center"/>
        <w:rPr>
          <w:rFonts w:ascii="宋体" w:hAnsi="宋体" w:cs="仿宋_GB2312"/>
          <w:b/>
          <w:color w:val="auto"/>
          <w:sz w:val="44"/>
          <w:szCs w:val="44"/>
          <w:highlight w:val="none"/>
        </w:rPr>
      </w:pPr>
    </w:p>
    <w:p w14:paraId="2D4F8D1A">
      <w:pPr>
        <w:tabs>
          <w:tab w:val="left" w:pos="3261"/>
        </w:tabs>
        <w:spacing w:line="360" w:lineRule="auto"/>
        <w:contextualSpacing/>
        <w:jc w:val="center"/>
        <w:rPr>
          <w:rFonts w:ascii="宋体" w:hAnsi="宋体" w:cs="仿宋_GB2312"/>
          <w:b/>
          <w:color w:val="auto"/>
          <w:sz w:val="44"/>
          <w:szCs w:val="44"/>
          <w:highlight w:val="none"/>
        </w:rPr>
      </w:pPr>
    </w:p>
    <w:p w14:paraId="1ECCE692">
      <w:pPr>
        <w:tabs>
          <w:tab w:val="left" w:pos="3261"/>
        </w:tabs>
        <w:spacing w:line="360" w:lineRule="auto"/>
        <w:contextualSpacing/>
        <w:jc w:val="center"/>
        <w:rPr>
          <w:rFonts w:ascii="宋体" w:hAnsi="宋体" w:cs="仿宋_GB2312"/>
          <w:b/>
          <w:color w:val="auto"/>
          <w:sz w:val="44"/>
          <w:szCs w:val="44"/>
          <w:highlight w:val="none"/>
        </w:rPr>
      </w:pPr>
    </w:p>
    <w:p w14:paraId="06C6C28D">
      <w:pPr>
        <w:tabs>
          <w:tab w:val="left" w:pos="3261"/>
        </w:tabs>
        <w:spacing w:line="360" w:lineRule="auto"/>
        <w:contextualSpacing/>
        <w:jc w:val="center"/>
        <w:rPr>
          <w:rFonts w:ascii="宋体" w:hAnsi="宋体" w:cs="仿宋_GB2312"/>
          <w:b/>
          <w:color w:val="auto"/>
          <w:sz w:val="44"/>
          <w:szCs w:val="44"/>
          <w:highlight w:val="none"/>
        </w:rPr>
      </w:pPr>
    </w:p>
    <w:p w14:paraId="3F5FF184">
      <w:pPr>
        <w:tabs>
          <w:tab w:val="left" w:pos="3261"/>
        </w:tabs>
        <w:spacing w:line="360" w:lineRule="auto"/>
        <w:contextualSpacing/>
        <w:jc w:val="center"/>
        <w:rPr>
          <w:rFonts w:ascii="宋体" w:hAnsi="宋体" w:cs="仿宋_GB2312"/>
          <w:b/>
          <w:color w:val="auto"/>
          <w:sz w:val="44"/>
          <w:szCs w:val="44"/>
          <w:highlight w:val="none"/>
        </w:rPr>
      </w:pPr>
    </w:p>
    <w:p w14:paraId="4A478A72">
      <w:pPr>
        <w:pStyle w:val="2"/>
        <w:jc w:val="center"/>
        <w:rPr>
          <w:rFonts w:hint="eastAsia" w:ascii="宋体" w:hAnsi="宋体" w:cs="仿宋_GB2312"/>
          <w:color w:val="auto"/>
          <w:highlight w:val="none"/>
          <w:lang w:val="en-US"/>
        </w:rPr>
        <w:sectPr>
          <w:pgSz w:w="11910" w:h="16840"/>
          <w:pgMar w:top="1340" w:right="1500" w:bottom="280" w:left="1680" w:header="720" w:footer="720" w:gutter="0"/>
          <w:pgNumType w:fmt="decimal"/>
          <w:cols w:space="720" w:num="1"/>
        </w:sectPr>
      </w:pPr>
      <w:bookmarkStart w:id="260" w:name="_Toc27024"/>
      <w:r>
        <w:rPr>
          <w:rFonts w:hint="eastAsia" w:ascii="宋体" w:hAnsi="宋体" w:cs="仿宋_GB2312"/>
          <w:b w:val="0"/>
          <w:color w:val="auto"/>
          <w:highlight w:val="none"/>
        </w:rPr>
        <w:t>第七章 质疑、投诉材料格式</w:t>
      </w:r>
      <w:bookmarkEnd w:id="260"/>
    </w:p>
    <w:p w14:paraId="0F21715D">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457A42F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58F02659">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2D78525">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C45B84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377BB01">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3434657">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58F6A18">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F1E7562">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711AD37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2026年南宁市武鸣区基层就业服务网点（就业服务站）项目</w:t>
      </w:r>
      <w:r>
        <w:rPr>
          <w:rFonts w:hint="eastAsia" w:hAnsi="宋体"/>
          <w:bCs/>
          <w:color w:val="auto"/>
          <w:sz w:val="24"/>
          <w:szCs w:val="24"/>
          <w:highlight w:val="none"/>
          <w:u w:val="single"/>
        </w:rPr>
        <w:t xml:space="preserve"> </w:t>
      </w:r>
    </w:p>
    <w:p w14:paraId="5BDF117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eastAsia="zh-CN"/>
        </w:rPr>
        <w:t>NNZC2026-C3-100081-GXXZ</w:t>
      </w:r>
      <w:r>
        <w:rPr>
          <w:rFonts w:hint="eastAsia" w:hAnsi="宋体"/>
          <w:bCs/>
          <w:color w:val="auto"/>
          <w:sz w:val="24"/>
          <w:szCs w:val="24"/>
          <w:highlight w:val="none"/>
          <w:u w:val="single"/>
        </w:rPr>
        <w:t xml:space="preserve"> </w:t>
      </w:r>
    </w:p>
    <w:p w14:paraId="110F8D58">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南宁市武鸣区人力资源和社会保障局</w:t>
      </w:r>
      <w:r>
        <w:rPr>
          <w:rFonts w:hint="eastAsia" w:hAnsi="宋体"/>
          <w:bCs/>
          <w:color w:val="auto"/>
          <w:sz w:val="24"/>
          <w:szCs w:val="24"/>
          <w:highlight w:val="none"/>
          <w:u w:val="single"/>
        </w:rPr>
        <w:t xml:space="preserve">  </w:t>
      </w:r>
    </w:p>
    <w:p w14:paraId="169B05C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3144B63D">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70FC60C4">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4A2D8759">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625645F1">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1629EAA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64DA9E1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13BEC60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E0BB60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4C6B9247">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488B13E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1D7D876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EDEAB">
      <w:pPr>
        <w:pStyle w:val="17"/>
        <w:spacing w:line="360" w:lineRule="auto"/>
        <w:ind w:left="25" w:leftChars="12" w:firstLine="352" w:firstLineChars="147"/>
        <w:contextualSpacing/>
        <w:rPr>
          <w:rFonts w:hint="eastAsia" w:hAnsi="宋体"/>
          <w:color w:val="auto"/>
          <w:sz w:val="24"/>
          <w:szCs w:val="24"/>
          <w:highlight w:val="none"/>
        </w:rPr>
      </w:pPr>
    </w:p>
    <w:p w14:paraId="0FAB215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24508B8A">
      <w:pPr>
        <w:pStyle w:val="17"/>
        <w:spacing w:line="360" w:lineRule="auto"/>
        <w:ind w:left="25" w:leftChars="12" w:firstLine="352" w:firstLineChars="147"/>
        <w:contextualSpacing/>
        <w:rPr>
          <w:rFonts w:hint="eastAsia" w:hAnsi="宋体"/>
          <w:color w:val="auto"/>
          <w:sz w:val="24"/>
          <w:szCs w:val="24"/>
          <w:highlight w:val="none"/>
        </w:rPr>
      </w:pPr>
    </w:p>
    <w:p w14:paraId="1D5A8D7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1952BC2D">
      <w:pPr>
        <w:pStyle w:val="17"/>
        <w:spacing w:line="360" w:lineRule="auto"/>
        <w:contextualSpacing/>
        <w:rPr>
          <w:rFonts w:hint="eastAsia" w:hAnsi="宋体"/>
          <w:b/>
          <w:color w:val="auto"/>
          <w:sz w:val="24"/>
          <w:szCs w:val="24"/>
          <w:highlight w:val="none"/>
          <w:lang w:eastAsia="zh-CN"/>
        </w:rPr>
      </w:pPr>
    </w:p>
    <w:p w14:paraId="5D647824">
      <w:pPr>
        <w:pStyle w:val="17"/>
        <w:spacing w:line="360" w:lineRule="auto"/>
        <w:contextualSpacing/>
        <w:rPr>
          <w:rFonts w:hint="eastAsia" w:hAnsi="宋体"/>
          <w:b/>
          <w:color w:val="auto"/>
          <w:sz w:val="24"/>
          <w:szCs w:val="24"/>
          <w:highlight w:val="none"/>
          <w:lang w:eastAsia="zh-CN"/>
        </w:rPr>
      </w:pPr>
    </w:p>
    <w:p w14:paraId="0E345C8A">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365D1A2C">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47AA5344">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00E15E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6818348">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44C8F0E9">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40BAB4E3">
      <w:pPr>
        <w:pStyle w:val="17"/>
        <w:snapToGrid w:val="0"/>
        <w:rPr>
          <w:rFonts w:hint="eastAsia"/>
          <w:b/>
          <w:color w:val="auto"/>
          <w:sz w:val="24"/>
          <w:szCs w:val="24"/>
          <w:highlight w:val="none"/>
        </w:rPr>
      </w:pPr>
    </w:p>
    <w:p w14:paraId="616C9E15">
      <w:pPr>
        <w:spacing w:line="460" w:lineRule="exact"/>
        <w:jc w:val="center"/>
        <w:rPr>
          <w:rFonts w:hint="eastAsia" w:eastAsia="隶书"/>
          <w:color w:val="auto"/>
          <w:sz w:val="44"/>
          <w:highlight w:val="none"/>
        </w:rPr>
      </w:pPr>
      <w:r>
        <w:rPr>
          <w:rFonts w:eastAsia="隶书"/>
          <w:color w:val="auto"/>
          <w:sz w:val="44"/>
          <w:highlight w:val="none"/>
        </w:rPr>
        <w:br w:type="page"/>
      </w:r>
    </w:p>
    <w:p w14:paraId="070C02BA">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1DA3559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7F3162B7">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5CF52C1">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25AC936">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13B4F9D0">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9586885">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C8913AD">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6609228">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0B5F7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824B167">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9F14A4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C727D58">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6D015A0">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10A8F370">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5C50367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110E881E">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64A84FB">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1724EA2">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6B94B270">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2026年南宁市武鸣区基层就业服务网点（就业服务站）项目</w:t>
      </w:r>
      <w:r>
        <w:rPr>
          <w:rFonts w:hint="eastAsia" w:hAnsi="宋体"/>
          <w:bCs/>
          <w:color w:val="auto"/>
          <w:sz w:val="24"/>
          <w:szCs w:val="24"/>
          <w:highlight w:val="none"/>
          <w:u w:val="single"/>
        </w:rPr>
        <w:t xml:space="preserve">    </w:t>
      </w:r>
    </w:p>
    <w:p w14:paraId="3051B2BF">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NNZC2026-C3-100081-GXXZ</w:t>
      </w:r>
      <w:r>
        <w:rPr>
          <w:rFonts w:hint="eastAsia" w:hAnsi="宋体"/>
          <w:bCs/>
          <w:color w:val="auto"/>
          <w:sz w:val="24"/>
          <w:szCs w:val="24"/>
          <w:highlight w:val="none"/>
          <w:u w:val="single"/>
        </w:rPr>
        <w:t xml:space="preserve">    </w:t>
      </w:r>
    </w:p>
    <w:p w14:paraId="60306CE4">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南宁市武鸣区人力资源和社会保障局</w:t>
      </w:r>
      <w:r>
        <w:rPr>
          <w:rFonts w:hint="eastAsia" w:hAnsi="宋体"/>
          <w:bCs/>
          <w:color w:val="auto"/>
          <w:sz w:val="24"/>
          <w:szCs w:val="24"/>
          <w:highlight w:val="none"/>
          <w:u w:val="single"/>
        </w:rPr>
        <w:t xml:space="preserve">                </w:t>
      </w:r>
    </w:p>
    <w:p w14:paraId="035748FB">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bookmarkStart w:id="261" w:name="PO_3000001868_PM031_5"/>
      <w:r>
        <w:rPr>
          <w:rFonts w:hint="eastAsia" w:hAnsi="宋体"/>
          <w:bCs/>
          <w:color w:val="auto"/>
          <w:sz w:val="24"/>
          <w:szCs w:val="24"/>
          <w:highlight w:val="none"/>
          <w:u w:val="single"/>
          <w:lang w:eastAsia="zh-CN"/>
        </w:rPr>
        <w:t>广西翔正项目管理有限公司</w:t>
      </w:r>
      <w:bookmarkEnd w:id="261"/>
      <w:r>
        <w:rPr>
          <w:rFonts w:hint="eastAsia" w:hAnsi="宋体"/>
          <w:bCs/>
          <w:color w:val="auto"/>
          <w:sz w:val="24"/>
          <w:szCs w:val="24"/>
          <w:highlight w:val="none"/>
          <w:u w:val="single"/>
        </w:rPr>
        <w:t xml:space="preserve">                </w:t>
      </w:r>
    </w:p>
    <w:p w14:paraId="69E02E9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45F1639">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1763A95">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10C4A1E0">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3B8D778">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EC4EC3E">
      <w:pPr>
        <w:pStyle w:val="17"/>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0B49D279">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1CA89B3F">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72A58B76">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021B7587">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E332CE8">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2EFF17FC">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34B4510">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EC0829E">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07829DFC">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5BE645A">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D605BDB">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6CE233A">
      <w:pPr>
        <w:pStyle w:val="17"/>
        <w:spacing w:line="360" w:lineRule="auto"/>
        <w:ind w:left="25" w:leftChars="12" w:firstLine="352" w:firstLineChars="147"/>
        <w:rPr>
          <w:rFonts w:hint="eastAsia" w:hAnsi="宋体"/>
          <w:color w:val="auto"/>
          <w:sz w:val="24"/>
          <w:szCs w:val="24"/>
          <w:highlight w:val="none"/>
        </w:rPr>
      </w:pPr>
    </w:p>
    <w:p w14:paraId="253E6FA7">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EB4AAE5">
      <w:pPr>
        <w:pStyle w:val="17"/>
        <w:spacing w:line="360" w:lineRule="auto"/>
        <w:ind w:left="25" w:leftChars="12" w:firstLine="352" w:firstLineChars="147"/>
        <w:rPr>
          <w:rFonts w:hint="eastAsia" w:hAnsi="宋体"/>
          <w:color w:val="auto"/>
          <w:sz w:val="24"/>
          <w:szCs w:val="24"/>
          <w:highlight w:val="none"/>
        </w:rPr>
      </w:pPr>
    </w:p>
    <w:p w14:paraId="3BC91F31">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6933E544">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3F9D703D">
      <w:pPr>
        <w:pStyle w:val="17"/>
        <w:snapToGrid w:val="0"/>
        <w:spacing w:line="360" w:lineRule="auto"/>
        <w:rPr>
          <w:rFonts w:hint="eastAsia" w:hAnsi="宋体"/>
          <w:b/>
          <w:color w:val="auto"/>
          <w:sz w:val="24"/>
          <w:szCs w:val="24"/>
          <w:highlight w:val="none"/>
        </w:rPr>
      </w:pPr>
    </w:p>
    <w:p w14:paraId="7D405666">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03CC0547">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B25B9D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A5DAEA5">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5273DA1B">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5189F35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4486BDB2">
      <w:pPr>
        <w:pStyle w:val="17"/>
        <w:spacing w:line="360" w:lineRule="auto"/>
        <w:ind w:left="25" w:leftChars="12" w:firstLine="354" w:firstLineChars="147"/>
        <w:rPr>
          <w:rFonts w:hint="eastAsia"/>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3" w:type="first"/>
      <w:headerReference r:id="rId11" w:type="default"/>
      <w:footerReference r:id="rId12" w:type="default"/>
      <w:pgSz w:w="11910" w:h="16840"/>
      <w:pgMar w:top="1340" w:right="1500" w:bottom="113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8525D6D-7B66-4853-9D4F-8D24988ED9B4}"/>
  </w:font>
  <w:font w:name="黑体">
    <w:panose1 w:val="02010609060101010101"/>
    <w:charset w:val="86"/>
    <w:family w:val="auto"/>
    <w:pitch w:val="default"/>
    <w:sig w:usb0="800002BF" w:usb1="38CF7CFA" w:usb2="00000016" w:usb3="00000000" w:csb0="00040001" w:csb1="00000000"/>
    <w:embedRegular r:id="rId2" w:fontKey="{9072AD39-1ACB-48C1-9D25-84CC3C5DB83E}"/>
  </w:font>
  <w:font w:name="Courier New">
    <w:panose1 w:val="02070309020205020404"/>
    <w:charset w:val="01"/>
    <w:family w:val="modern"/>
    <w:pitch w:val="default"/>
    <w:sig w:usb0="E0002AFF" w:usb1="C0007843" w:usb2="00000009" w:usb3="00000000" w:csb0="400001FF" w:csb1="FFFF0000"/>
    <w:embedRegular r:id="rId3" w:fontKey="{7754C10B-4DC3-4368-8BF7-44F2BF05CB4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4" w:fontKey="{6AC51D41-7405-4646-AA02-5A982299C4DC}"/>
  </w:font>
  <w:font w:name="Cambria">
    <w:panose1 w:val="02040503050406030204"/>
    <w:charset w:val="00"/>
    <w:family w:val="roman"/>
    <w:pitch w:val="default"/>
    <w:sig w:usb0="E00002FF" w:usb1="400004FF" w:usb2="00000000" w:usb3="00000000" w:csb0="2000019F" w:csb1="00000000"/>
    <w:embedRegular r:id="rId5" w:fontKey="{8A69B51B-0E46-48E3-B726-BE8B472F2C64}"/>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6" w:fontKey="{2FAF371B-7425-40B1-A084-690D5CB9E3CD}"/>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7" w:fontKey="{026A292B-3F50-4893-BFE0-77BED69C0486}"/>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embedRegular r:id="rId8" w:fontKey="{E1BE778B-DAB7-4C54-B10B-031C5D87D012}"/>
  </w:font>
  <w:font w:name="华文新魏">
    <w:panose1 w:val="02010800040101010101"/>
    <w:charset w:val="86"/>
    <w:family w:val="auto"/>
    <w:pitch w:val="default"/>
    <w:sig w:usb0="00000001" w:usb1="080F0000" w:usb2="00000000" w:usb3="00000000" w:csb0="00040000" w:csb1="00000000"/>
    <w:embedRegular r:id="rId9" w:fontKey="{A4CB3930-48BF-4496-8E12-6B6A5FF063B7}"/>
  </w:font>
  <w:font w:name="楷体">
    <w:panose1 w:val="02010609060101010101"/>
    <w:charset w:val="86"/>
    <w:family w:val="modern"/>
    <w:pitch w:val="default"/>
    <w:sig w:usb0="800002BF" w:usb1="38CF7CFA" w:usb2="00000016" w:usb3="00000000" w:csb0="00040001" w:csb1="00000000"/>
    <w:embedRegular r:id="rId10" w:fontKey="{618587C3-612C-45BE-904D-D773D9149C7A}"/>
  </w:font>
  <w:font w:name="FangSong_GB2312">
    <w:altName w:val="仿宋"/>
    <w:panose1 w:val="02010609030101010101"/>
    <w:charset w:val="86"/>
    <w:family w:val="auto"/>
    <w:pitch w:val="default"/>
    <w:sig w:usb0="00000000" w:usb1="00000000" w:usb2="00000000" w:usb3="00000000" w:csb0="00040000" w:csb1="00000000"/>
    <w:embedRegular r:id="rId11" w:fontKey="{D8160DD5-49BA-4F05-B821-3F2415A861CB}"/>
  </w:font>
  <w:font w:name="KaiTi_GB2312">
    <w:altName w:val="楷体"/>
    <w:panose1 w:val="02010609030101010101"/>
    <w:charset w:val="86"/>
    <w:family w:val="auto"/>
    <w:pitch w:val="default"/>
    <w:sig w:usb0="00000000" w:usb1="00000000" w:usb2="00000000" w:usb3="00000000" w:csb0="00040000" w:csb1="00000000"/>
    <w:embedRegular r:id="rId12" w:fontKey="{032A7AA2-37BE-4891-BCB2-65F3D8AEB038}"/>
  </w:font>
  <w:font w:name="Arial Unicode MS">
    <w:panose1 w:val="020B0604020202020204"/>
    <w:charset w:val="86"/>
    <w:family w:val="roman"/>
    <w:pitch w:val="default"/>
    <w:sig w:usb0="FFFFFFFF" w:usb1="E9FFFFFF" w:usb2="0000003F" w:usb3="00000000" w:csb0="603F01FF" w:csb1="FFFF0000"/>
    <w:embedRegular r:id="rId13" w:fontKey="{9285630B-6081-4480-9F3F-0D68587D9C93}"/>
  </w:font>
  <w:font w:name="Helvetica">
    <w:altName w:val="Arial"/>
    <w:panose1 w:val="020B0604020202020204"/>
    <w:charset w:val="00"/>
    <w:family w:val="swiss"/>
    <w:pitch w:val="default"/>
    <w:sig w:usb0="00000000" w:usb1="00000000" w:usb2="00000000" w:usb3="00000000" w:csb0="00040001" w:csb1="00000000"/>
    <w:embedRegular r:id="rId14" w:fontKey="{99A5D8F7-10D4-408B-81B7-B17F4A4E8DC9}"/>
  </w:font>
  <w:font w:name="隶书">
    <w:panose1 w:val="02010509060101010101"/>
    <w:charset w:val="86"/>
    <w:family w:val="modern"/>
    <w:pitch w:val="default"/>
    <w:sig w:usb0="00000001" w:usb1="080E0000" w:usb2="00000000" w:usb3="00000000" w:csb0="00040000" w:csb1="00000000"/>
    <w:embedRegular r:id="rId15" w:fontKey="{2B9B03D8-C20D-424A-9E5B-DACDAB1FBE4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CBBC7">
    <w:pPr>
      <w:pStyle w:val="21"/>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3987">
    <w:pPr>
      <w:pStyle w:val="21"/>
      <w:framePr w:wrap="around" w:vAnchor="text" w:hAnchor="margin" w:xAlign="center" w:y="1"/>
      <w:rPr>
        <w:rStyle w:val="34"/>
        <w:sz w:val="21"/>
      </w:rPr>
    </w:pPr>
    <w:r>
      <w:rPr>
        <w:sz w:val="21"/>
      </w:rPr>
      <w:fldChar w:fldCharType="begin"/>
    </w:r>
    <w:r>
      <w:rPr>
        <w:rStyle w:val="34"/>
        <w:sz w:val="21"/>
      </w:rPr>
      <w:instrText xml:space="preserve">PAGE  </w:instrText>
    </w:r>
    <w:r>
      <w:rPr>
        <w:sz w:val="21"/>
      </w:rPr>
      <w:fldChar w:fldCharType="separate"/>
    </w:r>
    <w:r>
      <w:rPr>
        <w:rStyle w:val="34"/>
        <w:sz w:val="21"/>
      </w:rPr>
      <w:t>0</w:t>
    </w:r>
    <w:r>
      <w:rPr>
        <w:sz w:val="21"/>
      </w:rPr>
      <w:fldChar w:fldCharType="end"/>
    </w:r>
  </w:p>
  <w:p w14:paraId="25163D1B">
    <w:pPr>
      <w:pStyle w:val="21"/>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EE904">
    <w:pPr>
      <w:pStyle w:val="21"/>
      <w:tabs>
        <w:tab w:val="center" w:pos="4439"/>
        <w:tab w:val="clear" w:pos="4153"/>
      </w:tabs>
      <w:jc w:val="both"/>
    </w:pPr>
  </w:p>
  <w:p w14:paraId="01EB1724">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74266">
    <w:pPr>
      <w:pStyle w:val="21"/>
      <w:tabs>
        <w:tab w:val="center" w:pos="443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03DCA">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003DCA">
                    <w:pPr>
                      <w:pStyle w:val="21"/>
                    </w:pPr>
                    <w:r>
                      <w:fldChar w:fldCharType="begin"/>
                    </w:r>
                    <w:r>
                      <w:instrText xml:space="preserve"> PAGE  \* MERGEFORMAT </w:instrText>
                    </w:r>
                    <w:r>
                      <w:fldChar w:fldCharType="separate"/>
                    </w:r>
                    <w:r>
                      <w:t>3</w:t>
                    </w:r>
                    <w:r>
                      <w:fldChar w:fldCharType="end"/>
                    </w:r>
                  </w:p>
                </w:txbxContent>
              </v:textbox>
            </v:shape>
          </w:pict>
        </mc:Fallback>
      </mc:AlternateContent>
    </w:r>
  </w:p>
  <w:p w14:paraId="6CE9F0CC">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9CA42">
    <w:pPr>
      <w:pStyle w:val="2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43785">
                          <w:pPr>
                            <w:pStyle w:val="2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D543785">
                    <w:pPr>
                      <w:pStyle w:val="21"/>
                    </w:pPr>
                    <w:r>
                      <w:fldChar w:fldCharType="begin"/>
                    </w:r>
                    <w:r>
                      <w:instrText xml:space="preserve"> PAGE  \* MERGEFORMAT </w:instrText>
                    </w:r>
                    <w:r>
                      <w:fldChar w:fldCharType="separate"/>
                    </w:r>
                    <w:r>
                      <w:t>37</w:t>
                    </w:r>
                    <w:r>
                      <w:fldChar w:fldCharType="end"/>
                    </w:r>
                  </w:p>
                </w:txbxContent>
              </v:textbox>
            </v:shape>
          </w:pict>
        </mc:Fallback>
      </mc:AlternateContent>
    </w:r>
  </w:p>
  <w:p w14:paraId="39021057">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36B35">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7EDD9F2">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47EDD9F2">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0CEC1">
    <w:pPr>
      <w:pStyle w:val="2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0AE52">
                          <w:pPr>
                            <w:pStyle w:val="21"/>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80AE52">
                    <w:pPr>
                      <w:pStyle w:val="21"/>
                    </w:pPr>
                    <w:r>
                      <w:fldChar w:fldCharType="begin"/>
                    </w:r>
                    <w:r>
                      <w:instrText xml:space="preserve"> PAGE  \* MERGEFORMAT </w:instrText>
                    </w:r>
                    <w:r>
                      <w:fldChar w:fldCharType="separate"/>
                    </w:r>
                    <w:r>
                      <w:t>109</w:t>
                    </w:r>
                    <w:r>
                      <w:fldChar w:fldCharType="end"/>
                    </w:r>
                  </w:p>
                </w:txbxContent>
              </v:textbox>
            </v:shape>
          </w:pict>
        </mc:Fallback>
      </mc:AlternateContent>
    </w:r>
  </w:p>
  <w:p w14:paraId="72B8F0ED">
    <w:pPr>
      <w:pStyle w:val="2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89487">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0E032C">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409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UXAYXzAEAAJwDAAAOAAAAAAAAAAEAIAAAAB4BAABkcnMvZTJv&#10;RG9jLnhtbFBLBQYAAAAABgAGAFkBAABcBQAAAAA=&#10;">
              <v:fill on="f" focussize="0,0"/>
              <v:stroke on="f"/>
              <v:imagedata o:title=""/>
              <o:lock v:ext="edit" aspectratio="f"/>
              <v:textbox inset="0mm,0mm,0mm,0mm" style="mso-fit-shape-to-text:t;">
                <w:txbxContent>
                  <w:p w14:paraId="3F0E032C">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C4F9D">
    <w:pPr>
      <w:pStyle w:val="22"/>
      <w:tabs>
        <w:tab w:val="center" w:pos="0"/>
        <w:tab w:val="clear" w:pos="4153"/>
      </w:tabs>
    </w:pPr>
    <w:r>
      <w:rPr>
        <w:rFonts w:hint="eastAsia"/>
        <w:lang w:eastAsia="zh-CN"/>
      </w:rPr>
      <w:t>南宁市政府采购竞争性磋</w:t>
    </w:r>
    <w:r>
      <w:rPr>
        <w:rFonts w:hint="eastAsia"/>
        <w:color w:val="auto"/>
        <w:lang w:eastAsia="zh-CN"/>
      </w:rPr>
      <w:t>商采购文件（项目编号：NNZC2026-C3-100081-GXXZ）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8A923">
    <w:pPr>
      <w:pStyle w:val="22"/>
      <w:tabs>
        <w:tab w:val="center" w:pos="0"/>
        <w:tab w:val="clear" w:pos="4153"/>
      </w:tabs>
      <w:rPr>
        <w:highlight w:val="none"/>
      </w:rPr>
    </w:pPr>
    <w:r>
      <w:rPr>
        <w:vanish/>
        <w:highlight w:val="none"/>
      </w:rPr>
      <w:t>&lt;</w:t>
    </w:r>
    <w:r>
      <w:rPr>
        <w:rFonts w:hint="eastAsia"/>
        <w:highlight w:val="none"/>
        <w:lang w:eastAsia="zh-CN"/>
      </w:rPr>
      <w:t>南宁市政府采购竞争性磋商采购文件（</w:t>
    </w:r>
    <w:r>
      <w:rPr>
        <w:rFonts w:hint="eastAsia"/>
        <w:highlight w:val="none"/>
      </w:rPr>
      <w:t>项目编号：</w:t>
    </w:r>
    <w:r>
      <w:rPr>
        <w:rFonts w:hint="eastAsia" w:ascii="宋体" w:hAnsi="宋体"/>
        <w:szCs w:val="21"/>
        <w:highlight w:val="none"/>
        <w:lang w:eastAsia="zh-CN"/>
      </w:rPr>
      <w:t>NNZC2026-C3-100081-GXXZ</w:t>
    </w:r>
    <w:r>
      <w:rPr>
        <w:rFonts w:hint="eastAsia"/>
        <w:highlight w:val="none"/>
        <w:lang w:eastAsia="zh-CN"/>
      </w:rPr>
      <w:t>）</w:t>
    </w:r>
    <w:r>
      <w:rPr>
        <w:vanish/>
        <w:highlight w:val="none"/>
      </w:rPr>
      <w:t>&gt;</w:t>
    </w:r>
  </w:p>
  <w:p w14:paraId="3A0CC603">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C2634">
    <w:pPr>
      <w:pStyle w:val="22"/>
    </w:pPr>
    <w:r>
      <w:rPr>
        <w:rFonts w:hint="eastAsia"/>
      </w:rPr>
      <w:t>南宁市政府采购竞争性磋商采购文件（项目编号：</w:t>
    </w:r>
    <w:r>
      <w:rPr>
        <w:rFonts w:hint="eastAsia"/>
        <w:lang w:eastAsia="zh-CN"/>
      </w:rPr>
      <w:t>NNZC2026-C3-100081-GXXZ</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5D131"/>
    <w:multiLevelType w:val="singleLevel"/>
    <w:tmpl w:val="9055D131"/>
    <w:lvl w:ilvl="0" w:tentative="0">
      <w:start w:val="1"/>
      <w:numFmt w:val="chineseCounting"/>
      <w:suff w:val="nothing"/>
      <w:lvlText w:val="（%1）"/>
      <w:lvlJc w:val="left"/>
      <w:pPr>
        <w:ind w:left="-422"/>
      </w:pPr>
      <w:rPr>
        <w:rFonts w:hint="eastAsia"/>
      </w:rPr>
    </w:lvl>
  </w:abstractNum>
  <w:abstractNum w:abstractNumId="1">
    <w:nsid w:val="B4D9CC4D"/>
    <w:multiLevelType w:val="singleLevel"/>
    <w:tmpl w:val="B4D9CC4D"/>
    <w:lvl w:ilvl="0" w:tentative="0">
      <w:start w:val="4"/>
      <w:numFmt w:val="chineseCounting"/>
      <w:suff w:val="nothing"/>
      <w:lvlText w:val="%1、"/>
      <w:lvlJc w:val="left"/>
      <w:rPr>
        <w:rFonts w:hint="eastAsia"/>
      </w:rPr>
    </w:lvl>
  </w:abstractNum>
  <w:abstractNum w:abstractNumId="2">
    <w:nsid w:val="B7892F02"/>
    <w:multiLevelType w:val="singleLevel"/>
    <w:tmpl w:val="B7892F02"/>
    <w:lvl w:ilvl="0" w:tentative="0">
      <w:start w:val="1"/>
      <w:numFmt w:val="decimal"/>
      <w:suff w:val="nothing"/>
      <w:lvlText w:val="%1、"/>
      <w:lvlJc w:val="left"/>
    </w:lvl>
  </w:abstractNum>
  <w:abstractNum w:abstractNumId="3">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D"/>
    <w:multiLevelType w:val="multilevel"/>
    <w:tmpl w:val="0000000D"/>
    <w:lvl w:ilvl="0" w:tentative="0">
      <w:start w:val="6"/>
      <w:numFmt w:val="decimal"/>
      <w:lvlText w:val="%1"/>
      <w:lvlJc w:val="left"/>
      <w:pPr>
        <w:tabs>
          <w:tab w:val="left" w:pos="432"/>
        </w:tabs>
        <w:ind w:left="432" w:hanging="432"/>
      </w:pPr>
      <w:rPr>
        <w:rFonts w:hint="default" w:ascii="Times New Roman" w:hAnsi="Times New Roman"/>
        <w:b/>
        <w:i w:val="0"/>
        <w:sz w:val="30"/>
      </w:rPr>
    </w:lvl>
    <w:lvl w:ilvl="1" w:tentative="0">
      <w:start w:val="1"/>
      <w:numFmt w:val="decimal"/>
      <w:lvlText w:val="%1.%2"/>
      <w:lvlJc w:val="left"/>
      <w:pPr>
        <w:tabs>
          <w:tab w:val="left" w:pos="576"/>
        </w:tabs>
        <w:ind w:left="576" w:hanging="576"/>
      </w:pPr>
      <w:rPr>
        <w:rFonts w:hint="default" w:ascii="Times New Roman" w:hAnsi="Times New Roman"/>
        <w:b/>
        <w:i w:val="0"/>
        <w:sz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default" w:ascii="Times New Roman" w:hAnsi="Times New Roman"/>
        <w:sz w:val="28"/>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6">
    <w:nsid w:val="374AF829"/>
    <w:multiLevelType w:val="singleLevel"/>
    <w:tmpl w:val="374AF829"/>
    <w:lvl w:ilvl="0" w:tentative="0">
      <w:start w:val="7"/>
      <w:numFmt w:val="decimal"/>
      <w:lvlText w:val="%1."/>
      <w:lvlJc w:val="left"/>
      <w:pPr>
        <w:tabs>
          <w:tab w:val="left" w:pos="312"/>
        </w:tabs>
      </w:pPr>
    </w:lvl>
  </w:abstractNum>
  <w:abstractNum w:abstractNumId="7">
    <w:nsid w:val="508D7A92"/>
    <w:multiLevelType w:val="singleLevel"/>
    <w:tmpl w:val="508D7A92"/>
    <w:lvl w:ilvl="0" w:tentative="0">
      <w:start w:val="1"/>
      <w:numFmt w:val="decimal"/>
      <w:suff w:val="nothing"/>
      <w:lvlText w:val="（%1）"/>
      <w:lvlJc w:val="left"/>
    </w:lvl>
  </w:abstractNum>
  <w:num w:numId="1">
    <w:abstractNumId w:val="4"/>
  </w:num>
  <w:num w:numId="2">
    <w:abstractNumId w:val="6"/>
  </w:num>
  <w:num w:numId="3">
    <w:abstractNumId w:val="0"/>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MTNkYTdjYmU5YTQ1ZDQ5ZTBhMDZjOTZlOWJhOWIifQ=="/>
  </w:docVars>
  <w:rsids>
    <w:rsidRoot w:val="00D830CB"/>
    <w:rsid w:val="00000672"/>
    <w:rsid w:val="00001013"/>
    <w:rsid w:val="00001799"/>
    <w:rsid w:val="00001AF2"/>
    <w:rsid w:val="00001ECA"/>
    <w:rsid w:val="00002D29"/>
    <w:rsid w:val="00003374"/>
    <w:rsid w:val="00003B93"/>
    <w:rsid w:val="0000474D"/>
    <w:rsid w:val="00005FDF"/>
    <w:rsid w:val="000070B3"/>
    <w:rsid w:val="000076B8"/>
    <w:rsid w:val="0001047A"/>
    <w:rsid w:val="000109DC"/>
    <w:rsid w:val="00010D39"/>
    <w:rsid w:val="0001172C"/>
    <w:rsid w:val="00011A4D"/>
    <w:rsid w:val="00011A5F"/>
    <w:rsid w:val="00011BC9"/>
    <w:rsid w:val="000120C8"/>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3759"/>
    <w:rsid w:val="000238BF"/>
    <w:rsid w:val="00024463"/>
    <w:rsid w:val="00025461"/>
    <w:rsid w:val="00025636"/>
    <w:rsid w:val="00025E36"/>
    <w:rsid w:val="00025EE8"/>
    <w:rsid w:val="00026855"/>
    <w:rsid w:val="00026886"/>
    <w:rsid w:val="0002785D"/>
    <w:rsid w:val="000329E0"/>
    <w:rsid w:val="000352E9"/>
    <w:rsid w:val="00035494"/>
    <w:rsid w:val="00036125"/>
    <w:rsid w:val="00036A07"/>
    <w:rsid w:val="0003780B"/>
    <w:rsid w:val="00040571"/>
    <w:rsid w:val="00040973"/>
    <w:rsid w:val="0004156E"/>
    <w:rsid w:val="00041713"/>
    <w:rsid w:val="000424D2"/>
    <w:rsid w:val="0004440C"/>
    <w:rsid w:val="00045299"/>
    <w:rsid w:val="00046B5E"/>
    <w:rsid w:val="000470CB"/>
    <w:rsid w:val="000509D9"/>
    <w:rsid w:val="00051294"/>
    <w:rsid w:val="00051ACB"/>
    <w:rsid w:val="000533E7"/>
    <w:rsid w:val="00055D41"/>
    <w:rsid w:val="00056DEA"/>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C2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6DA4"/>
    <w:rsid w:val="00097183"/>
    <w:rsid w:val="000972CB"/>
    <w:rsid w:val="00097608"/>
    <w:rsid w:val="000A13F3"/>
    <w:rsid w:val="000A1DDB"/>
    <w:rsid w:val="000A23B1"/>
    <w:rsid w:val="000A2B0E"/>
    <w:rsid w:val="000A398F"/>
    <w:rsid w:val="000A3BB7"/>
    <w:rsid w:val="000A448C"/>
    <w:rsid w:val="000A509C"/>
    <w:rsid w:val="000A54A7"/>
    <w:rsid w:val="000A6007"/>
    <w:rsid w:val="000A65A6"/>
    <w:rsid w:val="000A70E3"/>
    <w:rsid w:val="000A7275"/>
    <w:rsid w:val="000A7A12"/>
    <w:rsid w:val="000A7A72"/>
    <w:rsid w:val="000A7D77"/>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582E"/>
    <w:rsid w:val="000D6B91"/>
    <w:rsid w:val="000D712C"/>
    <w:rsid w:val="000D73DD"/>
    <w:rsid w:val="000E12B2"/>
    <w:rsid w:val="000E1C51"/>
    <w:rsid w:val="000E28AB"/>
    <w:rsid w:val="000E2E3E"/>
    <w:rsid w:val="000E3583"/>
    <w:rsid w:val="000E3AF0"/>
    <w:rsid w:val="000E4E04"/>
    <w:rsid w:val="000E5C16"/>
    <w:rsid w:val="000E693B"/>
    <w:rsid w:val="000E6EC9"/>
    <w:rsid w:val="000E70B4"/>
    <w:rsid w:val="000E7B62"/>
    <w:rsid w:val="000F0E1E"/>
    <w:rsid w:val="000F1A1B"/>
    <w:rsid w:val="000F2A95"/>
    <w:rsid w:val="000F3281"/>
    <w:rsid w:val="000F32FD"/>
    <w:rsid w:val="000F3733"/>
    <w:rsid w:val="000F467B"/>
    <w:rsid w:val="000F55AD"/>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153F"/>
    <w:rsid w:val="00112768"/>
    <w:rsid w:val="00113678"/>
    <w:rsid w:val="00113C3E"/>
    <w:rsid w:val="00115E11"/>
    <w:rsid w:val="00115EEE"/>
    <w:rsid w:val="00115F56"/>
    <w:rsid w:val="00116CA9"/>
    <w:rsid w:val="00116F38"/>
    <w:rsid w:val="001170A4"/>
    <w:rsid w:val="0011741C"/>
    <w:rsid w:val="00117AE7"/>
    <w:rsid w:val="00117CBD"/>
    <w:rsid w:val="0012006A"/>
    <w:rsid w:val="00121979"/>
    <w:rsid w:val="00121F9A"/>
    <w:rsid w:val="00122064"/>
    <w:rsid w:val="0012266A"/>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4D0F"/>
    <w:rsid w:val="00156359"/>
    <w:rsid w:val="001568F3"/>
    <w:rsid w:val="00156DD6"/>
    <w:rsid w:val="0016086E"/>
    <w:rsid w:val="00160D0C"/>
    <w:rsid w:val="00161172"/>
    <w:rsid w:val="00161998"/>
    <w:rsid w:val="00161E65"/>
    <w:rsid w:val="00162597"/>
    <w:rsid w:val="001629AF"/>
    <w:rsid w:val="001629FD"/>
    <w:rsid w:val="00162B1F"/>
    <w:rsid w:val="001641AA"/>
    <w:rsid w:val="0016428A"/>
    <w:rsid w:val="001647C9"/>
    <w:rsid w:val="00165627"/>
    <w:rsid w:val="00165929"/>
    <w:rsid w:val="00165998"/>
    <w:rsid w:val="001661A1"/>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287"/>
    <w:rsid w:val="00182862"/>
    <w:rsid w:val="00184F57"/>
    <w:rsid w:val="00185544"/>
    <w:rsid w:val="00185617"/>
    <w:rsid w:val="00186823"/>
    <w:rsid w:val="00186FE1"/>
    <w:rsid w:val="00187A14"/>
    <w:rsid w:val="00187E62"/>
    <w:rsid w:val="0019171E"/>
    <w:rsid w:val="00192368"/>
    <w:rsid w:val="001923A0"/>
    <w:rsid w:val="001928B1"/>
    <w:rsid w:val="00193537"/>
    <w:rsid w:val="00193846"/>
    <w:rsid w:val="00195424"/>
    <w:rsid w:val="001955FF"/>
    <w:rsid w:val="00196D6E"/>
    <w:rsid w:val="00196FBF"/>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0551"/>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4DE3"/>
    <w:rsid w:val="001D56FC"/>
    <w:rsid w:val="001D58A1"/>
    <w:rsid w:val="001D58C2"/>
    <w:rsid w:val="001D5A8A"/>
    <w:rsid w:val="001D61CA"/>
    <w:rsid w:val="001D6E87"/>
    <w:rsid w:val="001D735E"/>
    <w:rsid w:val="001D73C8"/>
    <w:rsid w:val="001D7BC6"/>
    <w:rsid w:val="001E129E"/>
    <w:rsid w:val="001E175C"/>
    <w:rsid w:val="001E1B0E"/>
    <w:rsid w:val="001E34FE"/>
    <w:rsid w:val="001E3B63"/>
    <w:rsid w:val="001E522E"/>
    <w:rsid w:val="001E5A94"/>
    <w:rsid w:val="001E5F6F"/>
    <w:rsid w:val="001E67FF"/>
    <w:rsid w:val="001F0373"/>
    <w:rsid w:val="001F2A2E"/>
    <w:rsid w:val="001F3356"/>
    <w:rsid w:val="001F3C63"/>
    <w:rsid w:val="001F4460"/>
    <w:rsid w:val="001F711A"/>
    <w:rsid w:val="001F75B0"/>
    <w:rsid w:val="00200CE5"/>
    <w:rsid w:val="00200F7C"/>
    <w:rsid w:val="002014DB"/>
    <w:rsid w:val="0020150B"/>
    <w:rsid w:val="00201E12"/>
    <w:rsid w:val="00201E88"/>
    <w:rsid w:val="00202C8E"/>
    <w:rsid w:val="002033B5"/>
    <w:rsid w:val="0020382C"/>
    <w:rsid w:val="0020437A"/>
    <w:rsid w:val="0020454C"/>
    <w:rsid w:val="00204740"/>
    <w:rsid w:val="00204BD3"/>
    <w:rsid w:val="00205129"/>
    <w:rsid w:val="0020521F"/>
    <w:rsid w:val="0020532C"/>
    <w:rsid w:val="002114C7"/>
    <w:rsid w:val="0021302C"/>
    <w:rsid w:val="00213B1C"/>
    <w:rsid w:val="00214202"/>
    <w:rsid w:val="002148E3"/>
    <w:rsid w:val="0021552D"/>
    <w:rsid w:val="002156AE"/>
    <w:rsid w:val="00215E99"/>
    <w:rsid w:val="0022054D"/>
    <w:rsid w:val="002226D4"/>
    <w:rsid w:val="00223DDB"/>
    <w:rsid w:val="00223FA4"/>
    <w:rsid w:val="00223FB0"/>
    <w:rsid w:val="00224067"/>
    <w:rsid w:val="0022421C"/>
    <w:rsid w:val="00224E83"/>
    <w:rsid w:val="00225664"/>
    <w:rsid w:val="0022663D"/>
    <w:rsid w:val="00227F2D"/>
    <w:rsid w:val="00230179"/>
    <w:rsid w:val="00231851"/>
    <w:rsid w:val="002319FB"/>
    <w:rsid w:val="00231B89"/>
    <w:rsid w:val="00231DA3"/>
    <w:rsid w:val="00231F11"/>
    <w:rsid w:val="00231F5E"/>
    <w:rsid w:val="00232EBD"/>
    <w:rsid w:val="002346B4"/>
    <w:rsid w:val="00234F6E"/>
    <w:rsid w:val="002355BE"/>
    <w:rsid w:val="002358EA"/>
    <w:rsid w:val="00236578"/>
    <w:rsid w:val="00236DE9"/>
    <w:rsid w:val="00237342"/>
    <w:rsid w:val="00237D5A"/>
    <w:rsid w:val="00240757"/>
    <w:rsid w:val="002415AE"/>
    <w:rsid w:val="00241D3C"/>
    <w:rsid w:val="00242109"/>
    <w:rsid w:val="00243189"/>
    <w:rsid w:val="00243516"/>
    <w:rsid w:val="002439AB"/>
    <w:rsid w:val="00243C19"/>
    <w:rsid w:val="00244AE8"/>
    <w:rsid w:val="00244DC9"/>
    <w:rsid w:val="00245587"/>
    <w:rsid w:val="00245F2B"/>
    <w:rsid w:val="00247F3A"/>
    <w:rsid w:val="00250122"/>
    <w:rsid w:val="00250755"/>
    <w:rsid w:val="00251043"/>
    <w:rsid w:val="00251C4A"/>
    <w:rsid w:val="0025271C"/>
    <w:rsid w:val="002529E4"/>
    <w:rsid w:val="00252ED4"/>
    <w:rsid w:val="002533CD"/>
    <w:rsid w:val="002535EA"/>
    <w:rsid w:val="00254EAB"/>
    <w:rsid w:val="002557AF"/>
    <w:rsid w:val="0025589C"/>
    <w:rsid w:val="00255B62"/>
    <w:rsid w:val="002566B1"/>
    <w:rsid w:val="002575E3"/>
    <w:rsid w:val="00257A74"/>
    <w:rsid w:val="002603C1"/>
    <w:rsid w:val="002609A1"/>
    <w:rsid w:val="002612B1"/>
    <w:rsid w:val="00263BA2"/>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4CE0"/>
    <w:rsid w:val="00285221"/>
    <w:rsid w:val="00286FB5"/>
    <w:rsid w:val="00287763"/>
    <w:rsid w:val="00287FCB"/>
    <w:rsid w:val="00290606"/>
    <w:rsid w:val="002909B2"/>
    <w:rsid w:val="00291D6D"/>
    <w:rsid w:val="00291FF1"/>
    <w:rsid w:val="00292AA2"/>
    <w:rsid w:val="00293361"/>
    <w:rsid w:val="00294380"/>
    <w:rsid w:val="002952B1"/>
    <w:rsid w:val="00295D11"/>
    <w:rsid w:val="00295F28"/>
    <w:rsid w:val="00296FB6"/>
    <w:rsid w:val="002A0001"/>
    <w:rsid w:val="002A09ED"/>
    <w:rsid w:val="002A0BD9"/>
    <w:rsid w:val="002A0C3A"/>
    <w:rsid w:val="002A1130"/>
    <w:rsid w:val="002A1385"/>
    <w:rsid w:val="002A1880"/>
    <w:rsid w:val="002A23B7"/>
    <w:rsid w:val="002A29B8"/>
    <w:rsid w:val="002A3A57"/>
    <w:rsid w:val="002A4B4F"/>
    <w:rsid w:val="002A57A8"/>
    <w:rsid w:val="002A5C39"/>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297B"/>
    <w:rsid w:val="002C3A9F"/>
    <w:rsid w:val="002C4393"/>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38CD"/>
    <w:rsid w:val="002E47E4"/>
    <w:rsid w:val="002E4BF9"/>
    <w:rsid w:val="002E4D61"/>
    <w:rsid w:val="002E5FED"/>
    <w:rsid w:val="002E62CF"/>
    <w:rsid w:val="002E68A7"/>
    <w:rsid w:val="002E6E6C"/>
    <w:rsid w:val="002F0522"/>
    <w:rsid w:val="002F0B85"/>
    <w:rsid w:val="002F16DD"/>
    <w:rsid w:val="002F199D"/>
    <w:rsid w:val="002F213C"/>
    <w:rsid w:val="002F2453"/>
    <w:rsid w:val="002F2A88"/>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42A"/>
    <w:rsid w:val="00301ADC"/>
    <w:rsid w:val="00302DC6"/>
    <w:rsid w:val="00302EFC"/>
    <w:rsid w:val="00303243"/>
    <w:rsid w:val="00303BCC"/>
    <w:rsid w:val="00303F2B"/>
    <w:rsid w:val="00303F8D"/>
    <w:rsid w:val="0030572D"/>
    <w:rsid w:val="0030586A"/>
    <w:rsid w:val="0030622D"/>
    <w:rsid w:val="00306811"/>
    <w:rsid w:val="00306F32"/>
    <w:rsid w:val="003074B1"/>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543"/>
    <w:rsid w:val="00317BA7"/>
    <w:rsid w:val="00320BE2"/>
    <w:rsid w:val="00321886"/>
    <w:rsid w:val="00323694"/>
    <w:rsid w:val="00323BE7"/>
    <w:rsid w:val="00324C3A"/>
    <w:rsid w:val="00324D63"/>
    <w:rsid w:val="003255AF"/>
    <w:rsid w:val="003256EB"/>
    <w:rsid w:val="003259DB"/>
    <w:rsid w:val="003314D9"/>
    <w:rsid w:val="00331653"/>
    <w:rsid w:val="00331A48"/>
    <w:rsid w:val="00331AED"/>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D22"/>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5052"/>
    <w:rsid w:val="003667B0"/>
    <w:rsid w:val="003667DD"/>
    <w:rsid w:val="00366B48"/>
    <w:rsid w:val="00367764"/>
    <w:rsid w:val="00370316"/>
    <w:rsid w:val="00370DC7"/>
    <w:rsid w:val="00371CBD"/>
    <w:rsid w:val="00371F20"/>
    <w:rsid w:val="003721E3"/>
    <w:rsid w:val="00372B98"/>
    <w:rsid w:val="003737B7"/>
    <w:rsid w:val="003737F6"/>
    <w:rsid w:val="003740CC"/>
    <w:rsid w:val="003745F4"/>
    <w:rsid w:val="0037493B"/>
    <w:rsid w:val="00374E79"/>
    <w:rsid w:val="0037529A"/>
    <w:rsid w:val="00375388"/>
    <w:rsid w:val="00375FB9"/>
    <w:rsid w:val="00376170"/>
    <w:rsid w:val="00376851"/>
    <w:rsid w:val="00376FA2"/>
    <w:rsid w:val="00377A3B"/>
    <w:rsid w:val="00377E3C"/>
    <w:rsid w:val="00380BBE"/>
    <w:rsid w:val="00381D70"/>
    <w:rsid w:val="0038235E"/>
    <w:rsid w:val="003826D7"/>
    <w:rsid w:val="003829D0"/>
    <w:rsid w:val="0038326A"/>
    <w:rsid w:val="0038444F"/>
    <w:rsid w:val="003861F0"/>
    <w:rsid w:val="00387051"/>
    <w:rsid w:val="003878C1"/>
    <w:rsid w:val="00387ECF"/>
    <w:rsid w:val="003901D8"/>
    <w:rsid w:val="0039021B"/>
    <w:rsid w:val="00390429"/>
    <w:rsid w:val="003906A0"/>
    <w:rsid w:val="0039366C"/>
    <w:rsid w:val="00393EC8"/>
    <w:rsid w:val="00394EAE"/>
    <w:rsid w:val="003950F5"/>
    <w:rsid w:val="0039538F"/>
    <w:rsid w:val="00395E42"/>
    <w:rsid w:val="00396409"/>
    <w:rsid w:val="00396A2D"/>
    <w:rsid w:val="00396FC3"/>
    <w:rsid w:val="003A1A94"/>
    <w:rsid w:val="003A204E"/>
    <w:rsid w:val="003A2D25"/>
    <w:rsid w:val="003A35C5"/>
    <w:rsid w:val="003A51C3"/>
    <w:rsid w:val="003A5728"/>
    <w:rsid w:val="003A60E7"/>
    <w:rsid w:val="003A7092"/>
    <w:rsid w:val="003A72A1"/>
    <w:rsid w:val="003A7611"/>
    <w:rsid w:val="003A7D1F"/>
    <w:rsid w:val="003B0B6A"/>
    <w:rsid w:val="003B22F7"/>
    <w:rsid w:val="003B29CF"/>
    <w:rsid w:val="003B3A90"/>
    <w:rsid w:val="003B4E69"/>
    <w:rsid w:val="003B534F"/>
    <w:rsid w:val="003B5E4F"/>
    <w:rsid w:val="003B7A79"/>
    <w:rsid w:val="003C0FE1"/>
    <w:rsid w:val="003C151A"/>
    <w:rsid w:val="003C350C"/>
    <w:rsid w:val="003C3903"/>
    <w:rsid w:val="003C3BA0"/>
    <w:rsid w:val="003C4580"/>
    <w:rsid w:val="003C5C5E"/>
    <w:rsid w:val="003C6746"/>
    <w:rsid w:val="003C7259"/>
    <w:rsid w:val="003C7555"/>
    <w:rsid w:val="003C7898"/>
    <w:rsid w:val="003D0FF5"/>
    <w:rsid w:val="003D11A3"/>
    <w:rsid w:val="003D1537"/>
    <w:rsid w:val="003D183C"/>
    <w:rsid w:val="003D2D1B"/>
    <w:rsid w:val="003D48C7"/>
    <w:rsid w:val="003D4C27"/>
    <w:rsid w:val="003D700B"/>
    <w:rsid w:val="003D7109"/>
    <w:rsid w:val="003D7CE8"/>
    <w:rsid w:val="003E0514"/>
    <w:rsid w:val="003E1032"/>
    <w:rsid w:val="003E1904"/>
    <w:rsid w:val="003E1FD3"/>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4E44"/>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A81"/>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397"/>
    <w:rsid w:val="004604D5"/>
    <w:rsid w:val="00460697"/>
    <w:rsid w:val="0046117B"/>
    <w:rsid w:val="00464AB7"/>
    <w:rsid w:val="00465DE5"/>
    <w:rsid w:val="00467EF8"/>
    <w:rsid w:val="00472429"/>
    <w:rsid w:val="004725E5"/>
    <w:rsid w:val="004725F7"/>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94B"/>
    <w:rsid w:val="00491FA1"/>
    <w:rsid w:val="00492A25"/>
    <w:rsid w:val="004933FB"/>
    <w:rsid w:val="004938A3"/>
    <w:rsid w:val="00493C4C"/>
    <w:rsid w:val="0049558B"/>
    <w:rsid w:val="00496350"/>
    <w:rsid w:val="0049797C"/>
    <w:rsid w:val="004A00E1"/>
    <w:rsid w:val="004A0943"/>
    <w:rsid w:val="004A1405"/>
    <w:rsid w:val="004A1FC6"/>
    <w:rsid w:val="004A2E5F"/>
    <w:rsid w:val="004A38C2"/>
    <w:rsid w:val="004A3C03"/>
    <w:rsid w:val="004A3DB7"/>
    <w:rsid w:val="004A4848"/>
    <w:rsid w:val="004A5088"/>
    <w:rsid w:val="004A5255"/>
    <w:rsid w:val="004A6CB0"/>
    <w:rsid w:val="004A70FF"/>
    <w:rsid w:val="004A7EDE"/>
    <w:rsid w:val="004B0D93"/>
    <w:rsid w:val="004B0F96"/>
    <w:rsid w:val="004B1FA4"/>
    <w:rsid w:val="004B29AC"/>
    <w:rsid w:val="004B35DF"/>
    <w:rsid w:val="004B3627"/>
    <w:rsid w:val="004B4922"/>
    <w:rsid w:val="004B57DF"/>
    <w:rsid w:val="004B5976"/>
    <w:rsid w:val="004B7137"/>
    <w:rsid w:val="004B722E"/>
    <w:rsid w:val="004B72E8"/>
    <w:rsid w:val="004B7D33"/>
    <w:rsid w:val="004C01A5"/>
    <w:rsid w:val="004C0412"/>
    <w:rsid w:val="004C0DBA"/>
    <w:rsid w:val="004C1142"/>
    <w:rsid w:val="004C1BE8"/>
    <w:rsid w:val="004C2138"/>
    <w:rsid w:val="004C3940"/>
    <w:rsid w:val="004C3B15"/>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2BB1"/>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0DA"/>
    <w:rsid w:val="004F7160"/>
    <w:rsid w:val="00500258"/>
    <w:rsid w:val="00500B2D"/>
    <w:rsid w:val="00501A99"/>
    <w:rsid w:val="00503180"/>
    <w:rsid w:val="00503726"/>
    <w:rsid w:val="005038A4"/>
    <w:rsid w:val="005044D0"/>
    <w:rsid w:val="00505450"/>
    <w:rsid w:val="00507C97"/>
    <w:rsid w:val="005100B7"/>
    <w:rsid w:val="005113C9"/>
    <w:rsid w:val="00511F30"/>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30A"/>
    <w:rsid w:val="00531761"/>
    <w:rsid w:val="0053248F"/>
    <w:rsid w:val="0053332A"/>
    <w:rsid w:val="0053358A"/>
    <w:rsid w:val="00534668"/>
    <w:rsid w:val="00534DDD"/>
    <w:rsid w:val="00535291"/>
    <w:rsid w:val="00535A94"/>
    <w:rsid w:val="00537874"/>
    <w:rsid w:val="0053795F"/>
    <w:rsid w:val="00537D3D"/>
    <w:rsid w:val="00540511"/>
    <w:rsid w:val="00540540"/>
    <w:rsid w:val="00540578"/>
    <w:rsid w:val="00540808"/>
    <w:rsid w:val="0054080E"/>
    <w:rsid w:val="00540EA1"/>
    <w:rsid w:val="0054358E"/>
    <w:rsid w:val="00543AF4"/>
    <w:rsid w:val="00544191"/>
    <w:rsid w:val="0054440C"/>
    <w:rsid w:val="005448EC"/>
    <w:rsid w:val="00544C0A"/>
    <w:rsid w:val="00544F39"/>
    <w:rsid w:val="00546F90"/>
    <w:rsid w:val="00547BF7"/>
    <w:rsid w:val="00547EFB"/>
    <w:rsid w:val="005522F2"/>
    <w:rsid w:val="0055319E"/>
    <w:rsid w:val="005531DF"/>
    <w:rsid w:val="00553874"/>
    <w:rsid w:val="00554577"/>
    <w:rsid w:val="00554AD8"/>
    <w:rsid w:val="00554F78"/>
    <w:rsid w:val="00555DA1"/>
    <w:rsid w:val="00556323"/>
    <w:rsid w:val="00556BF7"/>
    <w:rsid w:val="00557F60"/>
    <w:rsid w:val="00561730"/>
    <w:rsid w:val="00561B97"/>
    <w:rsid w:val="00562149"/>
    <w:rsid w:val="005639E4"/>
    <w:rsid w:val="00567B5D"/>
    <w:rsid w:val="005706D5"/>
    <w:rsid w:val="00570757"/>
    <w:rsid w:val="00573733"/>
    <w:rsid w:val="00573F8B"/>
    <w:rsid w:val="005742FD"/>
    <w:rsid w:val="00574554"/>
    <w:rsid w:val="00574E06"/>
    <w:rsid w:val="005751BB"/>
    <w:rsid w:val="00575963"/>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196A"/>
    <w:rsid w:val="005931AC"/>
    <w:rsid w:val="005940D4"/>
    <w:rsid w:val="00594A7B"/>
    <w:rsid w:val="0059580E"/>
    <w:rsid w:val="00595D90"/>
    <w:rsid w:val="00595E69"/>
    <w:rsid w:val="00596A6F"/>
    <w:rsid w:val="00596FCE"/>
    <w:rsid w:val="005A11BC"/>
    <w:rsid w:val="005A1525"/>
    <w:rsid w:val="005A1E17"/>
    <w:rsid w:val="005A252B"/>
    <w:rsid w:val="005A2A8F"/>
    <w:rsid w:val="005A3204"/>
    <w:rsid w:val="005A3341"/>
    <w:rsid w:val="005A3C3D"/>
    <w:rsid w:val="005A46EC"/>
    <w:rsid w:val="005A5EAE"/>
    <w:rsid w:val="005A6407"/>
    <w:rsid w:val="005A718F"/>
    <w:rsid w:val="005A726C"/>
    <w:rsid w:val="005B07EC"/>
    <w:rsid w:val="005B2B11"/>
    <w:rsid w:val="005B32A4"/>
    <w:rsid w:val="005B3371"/>
    <w:rsid w:val="005B338D"/>
    <w:rsid w:val="005B34AA"/>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0F"/>
    <w:rsid w:val="005D784B"/>
    <w:rsid w:val="005E03E4"/>
    <w:rsid w:val="005E0454"/>
    <w:rsid w:val="005E05F6"/>
    <w:rsid w:val="005E1978"/>
    <w:rsid w:val="005E2442"/>
    <w:rsid w:val="005E3111"/>
    <w:rsid w:val="005E3F85"/>
    <w:rsid w:val="005E4A5F"/>
    <w:rsid w:val="005E57B0"/>
    <w:rsid w:val="005E598A"/>
    <w:rsid w:val="005E5B01"/>
    <w:rsid w:val="005E6D3B"/>
    <w:rsid w:val="005F009E"/>
    <w:rsid w:val="005F0DF1"/>
    <w:rsid w:val="005F1516"/>
    <w:rsid w:val="005F229E"/>
    <w:rsid w:val="005F2564"/>
    <w:rsid w:val="005F3822"/>
    <w:rsid w:val="005F4635"/>
    <w:rsid w:val="005F4900"/>
    <w:rsid w:val="005F4A6A"/>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065"/>
    <w:rsid w:val="00617EEE"/>
    <w:rsid w:val="00620A1F"/>
    <w:rsid w:val="006214DE"/>
    <w:rsid w:val="0062169D"/>
    <w:rsid w:val="0062181E"/>
    <w:rsid w:val="0062211B"/>
    <w:rsid w:val="00622BB7"/>
    <w:rsid w:val="00622C1E"/>
    <w:rsid w:val="00623389"/>
    <w:rsid w:val="00623DAA"/>
    <w:rsid w:val="00623FAF"/>
    <w:rsid w:val="006265C4"/>
    <w:rsid w:val="0062678A"/>
    <w:rsid w:val="00626803"/>
    <w:rsid w:val="006270AF"/>
    <w:rsid w:val="0063006E"/>
    <w:rsid w:val="00634367"/>
    <w:rsid w:val="00637090"/>
    <w:rsid w:val="00640082"/>
    <w:rsid w:val="00640291"/>
    <w:rsid w:val="00640EFE"/>
    <w:rsid w:val="00641D6D"/>
    <w:rsid w:val="00641FAC"/>
    <w:rsid w:val="00643664"/>
    <w:rsid w:val="00643CAA"/>
    <w:rsid w:val="00644E1B"/>
    <w:rsid w:val="00644F16"/>
    <w:rsid w:val="006455EB"/>
    <w:rsid w:val="006456C2"/>
    <w:rsid w:val="00645A65"/>
    <w:rsid w:val="00645BAD"/>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185F"/>
    <w:rsid w:val="006A21DD"/>
    <w:rsid w:val="006A26C6"/>
    <w:rsid w:val="006A3302"/>
    <w:rsid w:val="006A3B28"/>
    <w:rsid w:val="006A3C6B"/>
    <w:rsid w:val="006A4FEE"/>
    <w:rsid w:val="006A501C"/>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63CD"/>
    <w:rsid w:val="006C7100"/>
    <w:rsid w:val="006C71A2"/>
    <w:rsid w:val="006C73EC"/>
    <w:rsid w:val="006D0C1D"/>
    <w:rsid w:val="006D2E9D"/>
    <w:rsid w:val="006D4A4E"/>
    <w:rsid w:val="006D4C42"/>
    <w:rsid w:val="006D5389"/>
    <w:rsid w:val="006D55F3"/>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758"/>
    <w:rsid w:val="006E396A"/>
    <w:rsid w:val="006E3D63"/>
    <w:rsid w:val="006E58BF"/>
    <w:rsid w:val="006E5DD8"/>
    <w:rsid w:val="006E5EA1"/>
    <w:rsid w:val="006E6DEE"/>
    <w:rsid w:val="006E7C5D"/>
    <w:rsid w:val="006E7D4B"/>
    <w:rsid w:val="006F0760"/>
    <w:rsid w:val="006F11E2"/>
    <w:rsid w:val="006F2574"/>
    <w:rsid w:val="006F3221"/>
    <w:rsid w:val="006F3231"/>
    <w:rsid w:val="006F3DE3"/>
    <w:rsid w:val="006F431E"/>
    <w:rsid w:val="006F4787"/>
    <w:rsid w:val="006F5655"/>
    <w:rsid w:val="006F5C43"/>
    <w:rsid w:val="006F61D8"/>
    <w:rsid w:val="006F62B7"/>
    <w:rsid w:val="006F6343"/>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74C"/>
    <w:rsid w:val="00730C2A"/>
    <w:rsid w:val="00731434"/>
    <w:rsid w:val="00731E59"/>
    <w:rsid w:val="007323E0"/>
    <w:rsid w:val="00732911"/>
    <w:rsid w:val="00733721"/>
    <w:rsid w:val="00733DE2"/>
    <w:rsid w:val="007352EA"/>
    <w:rsid w:val="007358E7"/>
    <w:rsid w:val="0073625F"/>
    <w:rsid w:val="0073792F"/>
    <w:rsid w:val="00740B58"/>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0D4"/>
    <w:rsid w:val="00747295"/>
    <w:rsid w:val="00747829"/>
    <w:rsid w:val="00747DE2"/>
    <w:rsid w:val="0075029D"/>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D6D"/>
    <w:rsid w:val="00771EDF"/>
    <w:rsid w:val="007722C6"/>
    <w:rsid w:val="00772986"/>
    <w:rsid w:val="00772A90"/>
    <w:rsid w:val="00772F8D"/>
    <w:rsid w:val="0077408D"/>
    <w:rsid w:val="00774270"/>
    <w:rsid w:val="007743F6"/>
    <w:rsid w:val="00775679"/>
    <w:rsid w:val="0077574F"/>
    <w:rsid w:val="00775823"/>
    <w:rsid w:val="007777CC"/>
    <w:rsid w:val="00777B32"/>
    <w:rsid w:val="00780456"/>
    <w:rsid w:val="0078051E"/>
    <w:rsid w:val="00781089"/>
    <w:rsid w:val="007838F3"/>
    <w:rsid w:val="007856FE"/>
    <w:rsid w:val="00785F46"/>
    <w:rsid w:val="00786370"/>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1E5"/>
    <w:rsid w:val="007A490A"/>
    <w:rsid w:val="007A7B95"/>
    <w:rsid w:val="007B0297"/>
    <w:rsid w:val="007B02FA"/>
    <w:rsid w:val="007B0F53"/>
    <w:rsid w:val="007B21AE"/>
    <w:rsid w:val="007B2570"/>
    <w:rsid w:val="007B3113"/>
    <w:rsid w:val="007B3304"/>
    <w:rsid w:val="007B35E4"/>
    <w:rsid w:val="007B7490"/>
    <w:rsid w:val="007C0525"/>
    <w:rsid w:val="007C13F7"/>
    <w:rsid w:val="007C1F1C"/>
    <w:rsid w:val="007C218D"/>
    <w:rsid w:val="007C2D28"/>
    <w:rsid w:val="007C3E22"/>
    <w:rsid w:val="007C5B90"/>
    <w:rsid w:val="007C6218"/>
    <w:rsid w:val="007C6484"/>
    <w:rsid w:val="007C67C6"/>
    <w:rsid w:val="007C6ECF"/>
    <w:rsid w:val="007C78BE"/>
    <w:rsid w:val="007C7E59"/>
    <w:rsid w:val="007D0476"/>
    <w:rsid w:val="007D0B91"/>
    <w:rsid w:val="007D1386"/>
    <w:rsid w:val="007D1452"/>
    <w:rsid w:val="007D294A"/>
    <w:rsid w:val="007D3DCB"/>
    <w:rsid w:val="007D460C"/>
    <w:rsid w:val="007D4996"/>
    <w:rsid w:val="007D4AD3"/>
    <w:rsid w:val="007D5D19"/>
    <w:rsid w:val="007D5FDC"/>
    <w:rsid w:val="007D6176"/>
    <w:rsid w:val="007D6D68"/>
    <w:rsid w:val="007E1D43"/>
    <w:rsid w:val="007E32DA"/>
    <w:rsid w:val="007E4998"/>
    <w:rsid w:val="007E4A9C"/>
    <w:rsid w:val="007E6914"/>
    <w:rsid w:val="007E6FE1"/>
    <w:rsid w:val="007E7F78"/>
    <w:rsid w:val="007F0179"/>
    <w:rsid w:val="007F0B74"/>
    <w:rsid w:val="007F2C13"/>
    <w:rsid w:val="007F2CEC"/>
    <w:rsid w:val="007F3435"/>
    <w:rsid w:val="007F55DE"/>
    <w:rsid w:val="007F762D"/>
    <w:rsid w:val="007F78F0"/>
    <w:rsid w:val="007F78FF"/>
    <w:rsid w:val="008001C5"/>
    <w:rsid w:val="00800F6C"/>
    <w:rsid w:val="00801065"/>
    <w:rsid w:val="00802C0B"/>
    <w:rsid w:val="00803EDD"/>
    <w:rsid w:val="008051FC"/>
    <w:rsid w:val="008055A9"/>
    <w:rsid w:val="008056C4"/>
    <w:rsid w:val="008057FD"/>
    <w:rsid w:val="00805D8B"/>
    <w:rsid w:val="00810BB6"/>
    <w:rsid w:val="00810E8E"/>
    <w:rsid w:val="00812C44"/>
    <w:rsid w:val="0081310A"/>
    <w:rsid w:val="008135E1"/>
    <w:rsid w:val="00813779"/>
    <w:rsid w:val="00813E26"/>
    <w:rsid w:val="0081481D"/>
    <w:rsid w:val="00814BE8"/>
    <w:rsid w:val="00814F6E"/>
    <w:rsid w:val="00815363"/>
    <w:rsid w:val="00815B84"/>
    <w:rsid w:val="00816BE9"/>
    <w:rsid w:val="0082027C"/>
    <w:rsid w:val="0082074D"/>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3F0"/>
    <w:rsid w:val="00836417"/>
    <w:rsid w:val="00836A3E"/>
    <w:rsid w:val="00837526"/>
    <w:rsid w:val="00837F20"/>
    <w:rsid w:val="00840398"/>
    <w:rsid w:val="008407A7"/>
    <w:rsid w:val="0084322B"/>
    <w:rsid w:val="00843F81"/>
    <w:rsid w:val="00844087"/>
    <w:rsid w:val="00844526"/>
    <w:rsid w:val="008448F1"/>
    <w:rsid w:val="0084519E"/>
    <w:rsid w:val="00845CAE"/>
    <w:rsid w:val="00846370"/>
    <w:rsid w:val="00847310"/>
    <w:rsid w:val="008477E7"/>
    <w:rsid w:val="00847C2B"/>
    <w:rsid w:val="00850272"/>
    <w:rsid w:val="008506B9"/>
    <w:rsid w:val="00851822"/>
    <w:rsid w:val="008531E4"/>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77BF0"/>
    <w:rsid w:val="00880106"/>
    <w:rsid w:val="00880F95"/>
    <w:rsid w:val="00882B44"/>
    <w:rsid w:val="008838AD"/>
    <w:rsid w:val="008864B3"/>
    <w:rsid w:val="008865E5"/>
    <w:rsid w:val="008871B0"/>
    <w:rsid w:val="00890B57"/>
    <w:rsid w:val="008916BA"/>
    <w:rsid w:val="0089188D"/>
    <w:rsid w:val="0089217C"/>
    <w:rsid w:val="00892790"/>
    <w:rsid w:val="00892A2D"/>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108"/>
    <w:rsid w:val="008A469C"/>
    <w:rsid w:val="008A51D1"/>
    <w:rsid w:val="008A5DCE"/>
    <w:rsid w:val="008A75D3"/>
    <w:rsid w:val="008B05DD"/>
    <w:rsid w:val="008B07B8"/>
    <w:rsid w:val="008B17E8"/>
    <w:rsid w:val="008B2E7C"/>
    <w:rsid w:val="008B321A"/>
    <w:rsid w:val="008B399A"/>
    <w:rsid w:val="008B45F0"/>
    <w:rsid w:val="008B4A70"/>
    <w:rsid w:val="008B502F"/>
    <w:rsid w:val="008B6BE3"/>
    <w:rsid w:val="008B6DFC"/>
    <w:rsid w:val="008B7227"/>
    <w:rsid w:val="008C02FB"/>
    <w:rsid w:val="008C04E0"/>
    <w:rsid w:val="008C191C"/>
    <w:rsid w:val="008C1DA4"/>
    <w:rsid w:val="008C29B0"/>
    <w:rsid w:val="008C2CD5"/>
    <w:rsid w:val="008C32F1"/>
    <w:rsid w:val="008C3618"/>
    <w:rsid w:val="008C39E7"/>
    <w:rsid w:val="008C43AD"/>
    <w:rsid w:val="008C6118"/>
    <w:rsid w:val="008C6341"/>
    <w:rsid w:val="008C731F"/>
    <w:rsid w:val="008C74D9"/>
    <w:rsid w:val="008D03C2"/>
    <w:rsid w:val="008D12FB"/>
    <w:rsid w:val="008D1393"/>
    <w:rsid w:val="008D3B2D"/>
    <w:rsid w:val="008D58D9"/>
    <w:rsid w:val="008D5AD4"/>
    <w:rsid w:val="008D5F0A"/>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30D3"/>
    <w:rsid w:val="00904BE4"/>
    <w:rsid w:val="0090504A"/>
    <w:rsid w:val="009051F5"/>
    <w:rsid w:val="00905221"/>
    <w:rsid w:val="00905894"/>
    <w:rsid w:val="00905A7C"/>
    <w:rsid w:val="00905D7E"/>
    <w:rsid w:val="00907037"/>
    <w:rsid w:val="0091101C"/>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012"/>
    <w:rsid w:val="0093422D"/>
    <w:rsid w:val="0093483B"/>
    <w:rsid w:val="00934CF9"/>
    <w:rsid w:val="00934DD7"/>
    <w:rsid w:val="009369A9"/>
    <w:rsid w:val="00936CF7"/>
    <w:rsid w:val="00937783"/>
    <w:rsid w:val="00937EAD"/>
    <w:rsid w:val="00937F28"/>
    <w:rsid w:val="00940FE1"/>
    <w:rsid w:val="00942306"/>
    <w:rsid w:val="00942384"/>
    <w:rsid w:val="009424B8"/>
    <w:rsid w:val="00942EC0"/>
    <w:rsid w:val="00944668"/>
    <w:rsid w:val="00944DC6"/>
    <w:rsid w:val="009458B0"/>
    <w:rsid w:val="00945B52"/>
    <w:rsid w:val="00945B7A"/>
    <w:rsid w:val="00945F05"/>
    <w:rsid w:val="00946348"/>
    <w:rsid w:val="00947797"/>
    <w:rsid w:val="009478A2"/>
    <w:rsid w:val="00950F99"/>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3C0D"/>
    <w:rsid w:val="0097471B"/>
    <w:rsid w:val="0097560A"/>
    <w:rsid w:val="00975E1E"/>
    <w:rsid w:val="00975E70"/>
    <w:rsid w:val="009761DE"/>
    <w:rsid w:val="009766FA"/>
    <w:rsid w:val="0097728A"/>
    <w:rsid w:val="00977CD6"/>
    <w:rsid w:val="0098048B"/>
    <w:rsid w:val="00980DF9"/>
    <w:rsid w:val="00981150"/>
    <w:rsid w:val="0098243D"/>
    <w:rsid w:val="00982D26"/>
    <w:rsid w:val="00983B6E"/>
    <w:rsid w:val="00983FE5"/>
    <w:rsid w:val="009849E9"/>
    <w:rsid w:val="009859E4"/>
    <w:rsid w:val="00987812"/>
    <w:rsid w:val="00990225"/>
    <w:rsid w:val="00992A13"/>
    <w:rsid w:val="00993FF2"/>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4999"/>
    <w:rsid w:val="009A57D0"/>
    <w:rsid w:val="009A6559"/>
    <w:rsid w:val="009A68FC"/>
    <w:rsid w:val="009A6CE4"/>
    <w:rsid w:val="009A7514"/>
    <w:rsid w:val="009A7E7A"/>
    <w:rsid w:val="009B08C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4F71"/>
    <w:rsid w:val="009C5AFE"/>
    <w:rsid w:val="009C6606"/>
    <w:rsid w:val="009C6CE5"/>
    <w:rsid w:val="009C6D50"/>
    <w:rsid w:val="009C7547"/>
    <w:rsid w:val="009D05EC"/>
    <w:rsid w:val="009D18D4"/>
    <w:rsid w:val="009D20A8"/>
    <w:rsid w:val="009D2F60"/>
    <w:rsid w:val="009D2FDA"/>
    <w:rsid w:val="009D3A2E"/>
    <w:rsid w:val="009D5ADE"/>
    <w:rsid w:val="009D5BAC"/>
    <w:rsid w:val="009D5C56"/>
    <w:rsid w:val="009D6265"/>
    <w:rsid w:val="009D64BD"/>
    <w:rsid w:val="009D6CB1"/>
    <w:rsid w:val="009E0286"/>
    <w:rsid w:val="009E153F"/>
    <w:rsid w:val="009E24CA"/>
    <w:rsid w:val="009E322A"/>
    <w:rsid w:val="009E393E"/>
    <w:rsid w:val="009E444E"/>
    <w:rsid w:val="009E4968"/>
    <w:rsid w:val="009E663C"/>
    <w:rsid w:val="009E684A"/>
    <w:rsid w:val="009E6BB1"/>
    <w:rsid w:val="009E6E14"/>
    <w:rsid w:val="009E73D7"/>
    <w:rsid w:val="009E7655"/>
    <w:rsid w:val="009E794A"/>
    <w:rsid w:val="009E7C14"/>
    <w:rsid w:val="009F0494"/>
    <w:rsid w:val="009F0CD9"/>
    <w:rsid w:val="009F1A79"/>
    <w:rsid w:val="009F1F57"/>
    <w:rsid w:val="009F2DDD"/>
    <w:rsid w:val="009F3447"/>
    <w:rsid w:val="009F3802"/>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1E0C"/>
    <w:rsid w:val="00A12579"/>
    <w:rsid w:val="00A133D8"/>
    <w:rsid w:val="00A13812"/>
    <w:rsid w:val="00A15655"/>
    <w:rsid w:val="00A160B0"/>
    <w:rsid w:val="00A1740C"/>
    <w:rsid w:val="00A175A8"/>
    <w:rsid w:val="00A20069"/>
    <w:rsid w:val="00A2244D"/>
    <w:rsid w:val="00A2253D"/>
    <w:rsid w:val="00A2267F"/>
    <w:rsid w:val="00A22CDB"/>
    <w:rsid w:val="00A247B8"/>
    <w:rsid w:val="00A2495A"/>
    <w:rsid w:val="00A24C7A"/>
    <w:rsid w:val="00A24D8F"/>
    <w:rsid w:val="00A25B8B"/>
    <w:rsid w:val="00A25C5D"/>
    <w:rsid w:val="00A26047"/>
    <w:rsid w:val="00A2689F"/>
    <w:rsid w:val="00A26ECA"/>
    <w:rsid w:val="00A27461"/>
    <w:rsid w:val="00A27D67"/>
    <w:rsid w:val="00A30ABC"/>
    <w:rsid w:val="00A32F43"/>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5E3"/>
    <w:rsid w:val="00A43896"/>
    <w:rsid w:val="00A43A26"/>
    <w:rsid w:val="00A4450C"/>
    <w:rsid w:val="00A447A0"/>
    <w:rsid w:val="00A459F5"/>
    <w:rsid w:val="00A45FC0"/>
    <w:rsid w:val="00A46B74"/>
    <w:rsid w:val="00A47ECC"/>
    <w:rsid w:val="00A50171"/>
    <w:rsid w:val="00A504FA"/>
    <w:rsid w:val="00A5102E"/>
    <w:rsid w:val="00A5132E"/>
    <w:rsid w:val="00A51375"/>
    <w:rsid w:val="00A51533"/>
    <w:rsid w:val="00A51DFE"/>
    <w:rsid w:val="00A52B14"/>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1E91"/>
    <w:rsid w:val="00A8311C"/>
    <w:rsid w:val="00A835D0"/>
    <w:rsid w:val="00A84C5F"/>
    <w:rsid w:val="00A85930"/>
    <w:rsid w:val="00A863F7"/>
    <w:rsid w:val="00A86604"/>
    <w:rsid w:val="00A87519"/>
    <w:rsid w:val="00A9246D"/>
    <w:rsid w:val="00A92A8A"/>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2A8"/>
    <w:rsid w:val="00AE1539"/>
    <w:rsid w:val="00AE2023"/>
    <w:rsid w:val="00AE2622"/>
    <w:rsid w:val="00AE28A7"/>
    <w:rsid w:val="00AE2A98"/>
    <w:rsid w:val="00AE2CF2"/>
    <w:rsid w:val="00AE3012"/>
    <w:rsid w:val="00AE33A6"/>
    <w:rsid w:val="00AE3729"/>
    <w:rsid w:val="00AE4138"/>
    <w:rsid w:val="00AE45BD"/>
    <w:rsid w:val="00AE4CCE"/>
    <w:rsid w:val="00AE5C6A"/>
    <w:rsid w:val="00AE6317"/>
    <w:rsid w:val="00AE6B62"/>
    <w:rsid w:val="00AE7280"/>
    <w:rsid w:val="00AE7F3B"/>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E2F"/>
    <w:rsid w:val="00B05F9F"/>
    <w:rsid w:val="00B06368"/>
    <w:rsid w:val="00B068DA"/>
    <w:rsid w:val="00B06A00"/>
    <w:rsid w:val="00B06FC6"/>
    <w:rsid w:val="00B074C9"/>
    <w:rsid w:val="00B07D9D"/>
    <w:rsid w:val="00B11AE5"/>
    <w:rsid w:val="00B12E5A"/>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86F"/>
    <w:rsid w:val="00B25EE6"/>
    <w:rsid w:val="00B26141"/>
    <w:rsid w:val="00B3115A"/>
    <w:rsid w:val="00B31825"/>
    <w:rsid w:val="00B31A5C"/>
    <w:rsid w:val="00B32CE8"/>
    <w:rsid w:val="00B33B06"/>
    <w:rsid w:val="00B33C19"/>
    <w:rsid w:val="00B35A15"/>
    <w:rsid w:val="00B35B45"/>
    <w:rsid w:val="00B365C5"/>
    <w:rsid w:val="00B36A99"/>
    <w:rsid w:val="00B42264"/>
    <w:rsid w:val="00B42570"/>
    <w:rsid w:val="00B434B2"/>
    <w:rsid w:val="00B43D45"/>
    <w:rsid w:val="00B468F2"/>
    <w:rsid w:val="00B469DE"/>
    <w:rsid w:val="00B47286"/>
    <w:rsid w:val="00B50234"/>
    <w:rsid w:val="00B50E5D"/>
    <w:rsid w:val="00B51BF4"/>
    <w:rsid w:val="00B52C68"/>
    <w:rsid w:val="00B5372B"/>
    <w:rsid w:val="00B542FE"/>
    <w:rsid w:val="00B55A1B"/>
    <w:rsid w:val="00B561DB"/>
    <w:rsid w:val="00B56DF9"/>
    <w:rsid w:val="00B600BD"/>
    <w:rsid w:val="00B608F7"/>
    <w:rsid w:val="00B61274"/>
    <w:rsid w:val="00B61DCE"/>
    <w:rsid w:val="00B62188"/>
    <w:rsid w:val="00B62904"/>
    <w:rsid w:val="00B62B86"/>
    <w:rsid w:val="00B62F79"/>
    <w:rsid w:val="00B62F82"/>
    <w:rsid w:val="00B6306A"/>
    <w:rsid w:val="00B635E3"/>
    <w:rsid w:val="00B653D7"/>
    <w:rsid w:val="00B662FF"/>
    <w:rsid w:val="00B66679"/>
    <w:rsid w:val="00B67D77"/>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2FE"/>
    <w:rsid w:val="00B858A1"/>
    <w:rsid w:val="00B85FEC"/>
    <w:rsid w:val="00B864A3"/>
    <w:rsid w:val="00B86C2A"/>
    <w:rsid w:val="00B878BE"/>
    <w:rsid w:val="00B902A5"/>
    <w:rsid w:val="00B90420"/>
    <w:rsid w:val="00B90848"/>
    <w:rsid w:val="00B91146"/>
    <w:rsid w:val="00B913E4"/>
    <w:rsid w:val="00B9144E"/>
    <w:rsid w:val="00B91DB9"/>
    <w:rsid w:val="00B91FF3"/>
    <w:rsid w:val="00B93EFE"/>
    <w:rsid w:val="00B944B9"/>
    <w:rsid w:val="00B94956"/>
    <w:rsid w:val="00B94C7F"/>
    <w:rsid w:val="00B94E93"/>
    <w:rsid w:val="00B956B5"/>
    <w:rsid w:val="00B96DF2"/>
    <w:rsid w:val="00B96E18"/>
    <w:rsid w:val="00B96F5A"/>
    <w:rsid w:val="00B97C8D"/>
    <w:rsid w:val="00BA0B39"/>
    <w:rsid w:val="00BA0CB2"/>
    <w:rsid w:val="00BA0E26"/>
    <w:rsid w:val="00BA138B"/>
    <w:rsid w:val="00BA305B"/>
    <w:rsid w:val="00BA31BF"/>
    <w:rsid w:val="00BA3FC7"/>
    <w:rsid w:val="00BA478B"/>
    <w:rsid w:val="00BA5224"/>
    <w:rsid w:val="00BA575E"/>
    <w:rsid w:val="00BA674A"/>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3F0B"/>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41E4"/>
    <w:rsid w:val="00BE50FD"/>
    <w:rsid w:val="00BE51CA"/>
    <w:rsid w:val="00BE537F"/>
    <w:rsid w:val="00BE5D77"/>
    <w:rsid w:val="00BE6D47"/>
    <w:rsid w:val="00BE7032"/>
    <w:rsid w:val="00BE7330"/>
    <w:rsid w:val="00BE7CE7"/>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6E26"/>
    <w:rsid w:val="00C1711B"/>
    <w:rsid w:val="00C17AE2"/>
    <w:rsid w:val="00C17E00"/>
    <w:rsid w:val="00C20140"/>
    <w:rsid w:val="00C20F27"/>
    <w:rsid w:val="00C215CF"/>
    <w:rsid w:val="00C219A3"/>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893"/>
    <w:rsid w:val="00C30D6F"/>
    <w:rsid w:val="00C31063"/>
    <w:rsid w:val="00C31B7E"/>
    <w:rsid w:val="00C322D1"/>
    <w:rsid w:val="00C3242A"/>
    <w:rsid w:val="00C33201"/>
    <w:rsid w:val="00C33A39"/>
    <w:rsid w:val="00C33B57"/>
    <w:rsid w:val="00C34619"/>
    <w:rsid w:val="00C358F4"/>
    <w:rsid w:val="00C35D01"/>
    <w:rsid w:val="00C360B3"/>
    <w:rsid w:val="00C37027"/>
    <w:rsid w:val="00C37B19"/>
    <w:rsid w:val="00C413CB"/>
    <w:rsid w:val="00C42752"/>
    <w:rsid w:val="00C42973"/>
    <w:rsid w:val="00C44C69"/>
    <w:rsid w:val="00C4712A"/>
    <w:rsid w:val="00C47728"/>
    <w:rsid w:val="00C5034F"/>
    <w:rsid w:val="00C50830"/>
    <w:rsid w:val="00C5099D"/>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3C2F"/>
    <w:rsid w:val="00C74035"/>
    <w:rsid w:val="00C748EA"/>
    <w:rsid w:val="00C75851"/>
    <w:rsid w:val="00C77818"/>
    <w:rsid w:val="00C8063F"/>
    <w:rsid w:val="00C81282"/>
    <w:rsid w:val="00C815A6"/>
    <w:rsid w:val="00C827B4"/>
    <w:rsid w:val="00C83214"/>
    <w:rsid w:val="00C8329F"/>
    <w:rsid w:val="00C84F8A"/>
    <w:rsid w:val="00C85BA4"/>
    <w:rsid w:val="00C8618F"/>
    <w:rsid w:val="00C8625D"/>
    <w:rsid w:val="00C86931"/>
    <w:rsid w:val="00C90372"/>
    <w:rsid w:val="00C9041F"/>
    <w:rsid w:val="00C9166B"/>
    <w:rsid w:val="00C91A45"/>
    <w:rsid w:val="00C91FB4"/>
    <w:rsid w:val="00C92150"/>
    <w:rsid w:val="00C92328"/>
    <w:rsid w:val="00C92D42"/>
    <w:rsid w:val="00C938C2"/>
    <w:rsid w:val="00C93E9D"/>
    <w:rsid w:val="00C93F8A"/>
    <w:rsid w:val="00C94EA1"/>
    <w:rsid w:val="00C9511B"/>
    <w:rsid w:val="00C95745"/>
    <w:rsid w:val="00C95902"/>
    <w:rsid w:val="00C962E3"/>
    <w:rsid w:val="00C96D86"/>
    <w:rsid w:val="00C978E2"/>
    <w:rsid w:val="00C97980"/>
    <w:rsid w:val="00C97997"/>
    <w:rsid w:val="00CA10A2"/>
    <w:rsid w:val="00CA1D83"/>
    <w:rsid w:val="00CA25C0"/>
    <w:rsid w:val="00CA2718"/>
    <w:rsid w:val="00CA3451"/>
    <w:rsid w:val="00CA35C6"/>
    <w:rsid w:val="00CA4948"/>
    <w:rsid w:val="00CA52F9"/>
    <w:rsid w:val="00CA5368"/>
    <w:rsid w:val="00CA568B"/>
    <w:rsid w:val="00CA573A"/>
    <w:rsid w:val="00CA5C58"/>
    <w:rsid w:val="00CB19D7"/>
    <w:rsid w:val="00CB19FE"/>
    <w:rsid w:val="00CB1C3F"/>
    <w:rsid w:val="00CB2364"/>
    <w:rsid w:val="00CB304C"/>
    <w:rsid w:val="00CB3821"/>
    <w:rsid w:val="00CB3933"/>
    <w:rsid w:val="00CB53E8"/>
    <w:rsid w:val="00CB594A"/>
    <w:rsid w:val="00CB5CB2"/>
    <w:rsid w:val="00CB6979"/>
    <w:rsid w:val="00CB7DDE"/>
    <w:rsid w:val="00CC0A3D"/>
    <w:rsid w:val="00CC1585"/>
    <w:rsid w:val="00CC35C1"/>
    <w:rsid w:val="00CC3C53"/>
    <w:rsid w:val="00CC3D24"/>
    <w:rsid w:val="00CC3F91"/>
    <w:rsid w:val="00CC4ACD"/>
    <w:rsid w:val="00CC4B0A"/>
    <w:rsid w:val="00CC544A"/>
    <w:rsid w:val="00CC57EA"/>
    <w:rsid w:val="00CC5954"/>
    <w:rsid w:val="00CC629B"/>
    <w:rsid w:val="00CC6C4E"/>
    <w:rsid w:val="00CD009D"/>
    <w:rsid w:val="00CD05A2"/>
    <w:rsid w:val="00CD177B"/>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2C4D"/>
    <w:rsid w:val="00CE3529"/>
    <w:rsid w:val="00CE35C8"/>
    <w:rsid w:val="00CE3962"/>
    <w:rsid w:val="00CE4589"/>
    <w:rsid w:val="00CE4D1A"/>
    <w:rsid w:val="00CE4E8A"/>
    <w:rsid w:val="00CE5105"/>
    <w:rsid w:val="00CE56BD"/>
    <w:rsid w:val="00CE5EC0"/>
    <w:rsid w:val="00CE6A0B"/>
    <w:rsid w:val="00CE6F9F"/>
    <w:rsid w:val="00CE781A"/>
    <w:rsid w:val="00CE7B08"/>
    <w:rsid w:val="00CE7D52"/>
    <w:rsid w:val="00CF015D"/>
    <w:rsid w:val="00CF16F4"/>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4A3D"/>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EBF"/>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0DB"/>
    <w:rsid w:val="00D745E7"/>
    <w:rsid w:val="00D74BF4"/>
    <w:rsid w:val="00D774ED"/>
    <w:rsid w:val="00D777C3"/>
    <w:rsid w:val="00D7797C"/>
    <w:rsid w:val="00D77C44"/>
    <w:rsid w:val="00D77F88"/>
    <w:rsid w:val="00D80309"/>
    <w:rsid w:val="00D811B0"/>
    <w:rsid w:val="00D81AFA"/>
    <w:rsid w:val="00D81EAA"/>
    <w:rsid w:val="00D81FE2"/>
    <w:rsid w:val="00D8259F"/>
    <w:rsid w:val="00D825F2"/>
    <w:rsid w:val="00D8285C"/>
    <w:rsid w:val="00D828B1"/>
    <w:rsid w:val="00D82A55"/>
    <w:rsid w:val="00D830CB"/>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721"/>
    <w:rsid w:val="00DA1A3A"/>
    <w:rsid w:val="00DA2351"/>
    <w:rsid w:val="00DA249E"/>
    <w:rsid w:val="00DA2D3D"/>
    <w:rsid w:val="00DA367C"/>
    <w:rsid w:val="00DA3D98"/>
    <w:rsid w:val="00DA4C30"/>
    <w:rsid w:val="00DA5741"/>
    <w:rsid w:val="00DA5FDC"/>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15"/>
    <w:rsid w:val="00DD3044"/>
    <w:rsid w:val="00DD3985"/>
    <w:rsid w:val="00DD61E8"/>
    <w:rsid w:val="00DD62C0"/>
    <w:rsid w:val="00DD64DE"/>
    <w:rsid w:val="00DD6A15"/>
    <w:rsid w:val="00DD7859"/>
    <w:rsid w:val="00DD7B41"/>
    <w:rsid w:val="00DE0784"/>
    <w:rsid w:val="00DE0A1D"/>
    <w:rsid w:val="00DE15B2"/>
    <w:rsid w:val="00DE1A9A"/>
    <w:rsid w:val="00DE2098"/>
    <w:rsid w:val="00DE3D2C"/>
    <w:rsid w:val="00DE4FC5"/>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18F"/>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05F07"/>
    <w:rsid w:val="00E10343"/>
    <w:rsid w:val="00E1037F"/>
    <w:rsid w:val="00E10913"/>
    <w:rsid w:val="00E10B87"/>
    <w:rsid w:val="00E121CE"/>
    <w:rsid w:val="00E1478B"/>
    <w:rsid w:val="00E14FAC"/>
    <w:rsid w:val="00E15007"/>
    <w:rsid w:val="00E16277"/>
    <w:rsid w:val="00E16B18"/>
    <w:rsid w:val="00E16EC7"/>
    <w:rsid w:val="00E219CE"/>
    <w:rsid w:val="00E24071"/>
    <w:rsid w:val="00E249A8"/>
    <w:rsid w:val="00E24EBC"/>
    <w:rsid w:val="00E2522C"/>
    <w:rsid w:val="00E2552F"/>
    <w:rsid w:val="00E2599B"/>
    <w:rsid w:val="00E2710C"/>
    <w:rsid w:val="00E27428"/>
    <w:rsid w:val="00E305B4"/>
    <w:rsid w:val="00E30FAC"/>
    <w:rsid w:val="00E31AFA"/>
    <w:rsid w:val="00E31CB7"/>
    <w:rsid w:val="00E324EE"/>
    <w:rsid w:val="00E32990"/>
    <w:rsid w:val="00E34DB1"/>
    <w:rsid w:val="00E35931"/>
    <w:rsid w:val="00E359FF"/>
    <w:rsid w:val="00E35D1D"/>
    <w:rsid w:val="00E36BD1"/>
    <w:rsid w:val="00E37095"/>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8E8"/>
    <w:rsid w:val="00E54E50"/>
    <w:rsid w:val="00E55288"/>
    <w:rsid w:val="00E57577"/>
    <w:rsid w:val="00E62043"/>
    <w:rsid w:val="00E626B9"/>
    <w:rsid w:val="00E627C9"/>
    <w:rsid w:val="00E630F3"/>
    <w:rsid w:val="00E6332F"/>
    <w:rsid w:val="00E637C9"/>
    <w:rsid w:val="00E6402D"/>
    <w:rsid w:val="00E6550F"/>
    <w:rsid w:val="00E6680A"/>
    <w:rsid w:val="00E66F0D"/>
    <w:rsid w:val="00E70615"/>
    <w:rsid w:val="00E7161E"/>
    <w:rsid w:val="00E7207B"/>
    <w:rsid w:val="00E7347A"/>
    <w:rsid w:val="00E75A47"/>
    <w:rsid w:val="00E75BB6"/>
    <w:rsid w:val="00E75D8C"/>
    <w:rsid w:val="00E76123"/>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28C3"/>
    <w:rsid w:val="00E93685"/>
    <w:rsid w:val="00E93B65"/>
    <w:rsid w:val="00E93C8C"/>
    <w:rsid w:val="00E943BE"/>
    <w:rsid w:val="00E945AE"/>
    <w:rsid w:val="00E95111"/>
    <w:rsid w:val="00E95FDF"/>
    <w:rsid w:val="00E96764"/>
    <w:rsid w:val="00EA14C8"/>
    <w:rsid w:val="00EA1981"/>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3B18"/>
    <w:rsid w:val="00EB559F"/>
    <w:rsid w:val="00EB566C"/>
    <w:rsid w:val="00EB5F3D"/>
    <w:rsid w:val="00EB6292"/>
    <w:rsid w:val="00EC07BA"/>
    <w:rsid w:val="00EC1CEB"/>
    <w:rsid w:val="00EC1DC0"/>
    <w:rsid w:val="00EC1DC2"/>
    <w:rsid w:val="00EC21EC"/>
    <w:rsid w:val="00EC24B8"/>
    <w:rsid w:val="00EC268C"/>
    <w:rsid w:val="00EC26EA"/>
    <w:rsid w:val="00EC3635"/>
    <w:rsid w:val="00EC3753"/>
    <w:rsid w:val="00EC4746"/>
    <w:rsid w:val="00EC4E71"/>
    <w:rsid w:val="00EC59AF"/>
    <w:rsid w:val="00EC5F1C"/>
    <w:rsid w:val="00ED0365"/>
    <w:rsid w:val="00ED05FB"/>
    <w:rsid w:val="00ED0865"/>
    <w:rsid w:val="00ED1C60"/>
    <w:rsid w:val="00ED2EB9"/>
    <w:rsid w:val="00ED32D5"/>
    <w:rsid w:val="00ED3722"/>
    <w:rsid w:val="00ED3A31"/>
    <w:rsid w:val="00ED4469"/>
    <w:rsid w:val="00ED5424"/>
    <w:rsid w:val="00ED5F23"/>
    <w:rsid w:val="00ED6DC0"/>
    <w:rsid w:val="00ED7A7A"/>
    <w:rsid w:val="00EE0327"/>
    <w:rsid w:val="00EE038C"/>
    <w:rsid w:val="00EE04D6"/>
    <w:rsid w:val="00EE28C5"/>
    <w:rsid w:val="00EE2F09"/>
    <w:rsid w:val="00EE47C5"/>
    <w:rsid w:val="00EE490C"/>
    <w:rsid w:val="00EE4E57"/>
    <w:rsid w:val="00EE5738"/>
    <w:rsid w:val="00EE58BD"/>
    <w:rsid w:val="00EE5E59"/>
    <w:rsid w:val="00EE63BF"/>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1F3"/>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61"/>
    <w:rsid w:val="00F40CCA"/>
    <w:rsid w:val="00F42D97"/>
    <w:rsid w:val="00F436B2"/>
    <w:rsid w:val="00F43813"/>
    <w:rsid w:val="00F43FEE"/>
    <w:rsid w:val="00F45677"/>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724"/>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5FB6"/>
    <w:rsid w:val="00F9658C"/>
    <w:rsid w:val="00F97A7F"/>
    <w:rsid w:val="00FA0889"/>
    <w:rsid w:val="00FA08F3"/>
    <w:rsid w:val="00FA16E7"/>
    <w:rsid w:val="00FA31C7"/>
    <w:rsid w:val="00FA472D"/>
    <w:rsid w:val="00FA6D0A"/>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A15"/>
    <w:rsid w:val="00FD2D13"/>
    <w:rsid w:val="00FD31EB"/>
    <w:rsid w:val="00FD374D"/>
    <w:rsid w:val="00FD6071"/>
    <w:rsid w:val="00FD633B"/>
    <w:rsid w:val="00FD74AF"/>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48E"/>
    <w:rsid w:val="00FF2562"/>
    <w:rsid w:val="00FF3A41"/>
    <w:rsid w:val="00FF3E5B"/>
    <w:rsid w:val="00FF57E4"/>
    <w:rsid w:val="00FF78E5"/>
    <w:rsid w:val="014217DA"/>
    <w:rsid w:val="016622FC"/>
    <w:rsid w:val="01AF3D99"/>
    <w:rsid w:val="01AF70E0"/>
    <w:rsid w:val="01B527CC"/>
    <w:rsid w:val="02511F9D"/>
    <w:rsid w:val="0257247D"/>
    <w:rsid w:val="025A6FE1"/>
    <w:rsid w:val="03045BE4"/>
    <w:rsid w:val="03520A26"/>
    <w:rsid w:val="03A314B8"/>
    <w:rsid w:val="03A43768"/>
    <w:rsid w:val="03D82B98"/>
    <w:rsid w:val="03EF1B25"/>
    <w:rsid w:val="03F83E8B"/>
    <w:rsid w:val="042A1B2E"/>
    <w:rsid w:val="0433224A"/>
    <w:rsid w:val="044F0626"/>
    <w:rsid w:val="04705D22"/>
    <w:rsid w:val="04760A76"/>
    <w:rsid w:val="04CA2EB8"/>
    <w:rsid w:val="04CA439E"/>
    <w:rsid w:val="05145BD8"/>
    <w:rsid w:val="051F4905"/>
    <w:rsid w:val="05B7650A"/>
    <w:rsid w:val="05C56868"/>
    <w:rsid w:val="05C755FC"/>
    <w:rsid w:val="06B238FA"/>
    <w:rsid w:val="07830DF3"/>
    <w:rsid w:val="07944DAE"/>
    <w:rsid w:val="07996868"/>
    <w:rsid w:val="07B72767"/>
    <w:rsid w:val="08077E72"/>
    <w:rsid w:val="08882DD0"/>
    <w:rsid w:val="094840A2"/>
    <w:rsid w:val="095178CB"/>
    <w:rsid w:val="09CC2AAC"/>
    <w:rsid w:val="09D26E76"/>
    <w:rsid w:val="0A5D0B41"/>
    <w:rsid w:val="0A652D3E"/>
    <w:rsid w:val="0A951569"/>
    <w:rsid w:val="0ACD6C66"/>
    <w:rsid w:val="0AF50259"/>
    <w:rsid w:val="0B0D3FDC"/>
    <w:rsid w:val="0B326F2A"/>
    <w:rsid w:val="0B327B89"/>
    <w:rsid w:val="0B853418"/>
    <w:rsid w:val="0B9D6DBB"/>
    <w:rsid w:val="0C1E2888"/>
    <w:rsid w:val="0C5845FF"/>
    <w:rsid w:val="0C634F38"/>
    <w:rsid w:val="0C92213C"/>
    <w:rsid w:val="0CF0356D"/>
    <w:rsid w:val="0D15073F"/>
    <w:rsid w:val="0D6A309F"/>
    <w:rsid w:val="0D84032B"/>
    <w:rsid w:val="0DA815B3"/>
    <w:rsid w:val="0E2A0014"/>
    <w:rsid w:val="0EB74F3E"/>
    <w:rsid w:val="0EBB3D81"/>
    <w:rsid w:val="0F107F6D"/>
    <w:rsid w:val="0F2A74C4"/>
    <w:rsid w:val="0F5F3F7D"/>
    <w:rsid w:val="0FBA55CD"/>
    <w:rsid w:val="0FBC1392"/>
    <w:rsid w:val="10A27F31"/>
    <w:rsid w:val="10D80401"/>
    <w:rsid w:val="111D5E14"/>
    <w:rsid w:val="117532E4"/>
    <w:rsid w:val="11927058"/>
    <w:rsid w:val="12321539"/>
    <w:rsid w:val="12C55766"/>
    <w:rsid w:val="13231091"/>
    <w:rsid w:val="134F4EAF"/>
    <w:rsid w:val="13685340"/>
    <w:rsid w:val="13906D71"/>
    <w:rsid w:val="13AF4F03"/>
    <w:rsid w:val="143011B3"/>
    <w:rsid w:val="14736E66"/>
    <w:rsid w:val="147F458F"/>
    <w:rsid w:val="14C3577E"/>
    <w:rsid w:val="14D958EC"/>
    <w:rsid w:val="1534169A"/>
    <w:rsid w:val="15C03E03"/>
    <w:rsid w:val="162A25EB"/>
    <w:rsid w:val="16314110"/>
    <w:rsid w:val="167504A0"/>
    <w:rsid w:val="168E1562"/>
    <w:rsid w:val="16D90804"/>
    <w:rsid w:val="16FD2A55"/>
    <w:rsid w:val="17061B0C"/>
    <w:rsid w:val="17067C1A"/>
    <w:rsid w:val="17366761"/>
    <w:rsid w:val="177C01F0"/>
    <w:rsid w:val="179E7B4D"/>
    <w:rsid w:val="17B33C4A"/>
    <w:rsid w:val="17CE6630"/>
    <w:rsid w:val="188E3A9B"/>
    <w:rsid w:val="18D45D9A"/>
    <w:rsid w:val="18DA0A8E"/>
    <w:rsid w:val="191915B7"/>
    <w:rsid w:val="193107E3"/>
    <w:rsid w:val="193F3AEF"/>
    <w:rsid w:val="19462959"/>
    <w:rsid w:val="19690451"/>
    <w:rsid w:val="19842055"/>
    <w:rsid w:val="19932971"/>
    <w:rsid w:val="19C64FE1"/>
    <w:rsid w:val="19CE3CC7"/>
    <w:rsid w:val="1AFF0AFE"/>
    <w:rsid w:val="1B4F19F8"/>
    <w:rsid w:val="1C1D13BE"/>
    <w:rsid w:val="1C226F03"/>
    <w:rsid w:val="1C4032FE"/>
    <w:rsid w:val="1C5D464E"/>
    <w:rsid w:val="1CC35D16"/>
    <w:rsid w:val="1CF759BF"/>
    <w:rsid w:val="1DB0339B"/>
    <w:rsid w:val="1EA55AAE"/>
    <w:rsid w:val="1ECC44FA"/>
    <w:rsid w:val="1F063325"/>
    <w:rsid w:val="1F134CFA"/>
    <w:rsid w:val="1FBC5DF5"/>
    <w:rsid w:val="1FF90588"/>
    <w:rsid w:val="202C32AD"/>
    <w:rsid w:val="2030736F"/>
    <w:rsid w:val="20C2739D"/>
    <w:rsid w:val="20C3623F"/>
    <w:rsid w:val="21781212"/>
    <w:rsid w:val="21B83F86"/>
    <w:rsid w:val="221178A8"/>
    <w:rsid w:val="221213CF"/>
    <w:rsid w:val="22327A92"/>
    <w:rsid w:val="22367B2B"/>
    <w:rsid w:val="224C047F"/>
    <w:rsid w:val="225361F3"/>
    <w:rsid w:val="22C7361F"/>
    <w:rsid w:val="22EE1E65"/>
    <w:rsid w:val="231D53A2"/>
    <w:rsid w:val="234D1794"/>
    <w:rsid w:val="236D5383"/>
    <w:rsid w:val="23A961B4"/>
    <w:rsid w:val="23B7504C"/>
    <w:rsid w:val="244903E2"/>
    <w:rsid w:val="24571307"/>
    <w:rsid w:val="24741985"/>
    <w:rsid w:val="24AC012B"/>
    <w:rsid w:val="24E546CD"/>
    <w:rsid w:val="25110A2A"/>
    <w:rsid w:val="25180974"/>
    <w:rsid w:val="25271BF1"/>
    <w:rsid w:val="256C0944"/>
    <w:rsid w:val="26446DE3"/>
    <w:rsid w:val="2661634B"/>
    <w:rsid w:val="26836AF2"/>
    <w:rsid w:val="269669E7"/>
    <w:rsid w:val="26BE7476"/>
    <w:rsid w:val="26D7699F"/>
    <w:rsid w:val="26F251F5"/>
    <w:rsid w:val="274E7C63"/>
    <w:rsid w:val="27F751B9"/>
    <w:rsid w:val="280766F8"/>
    <w:rsid w:val="289D2DED"/>
    <w:rsid w:val="28D95868"/>
    <w:rsid w:val="29ED3048"/>
    <w:rsid w:val="2A9F1721"/>
    <w:rsid w:val="2ACD6F90"/>
    <w:rsid w:val="2B0F6376"/>
    <w:rsid w:val="2B214017"/>
    <w:rsid w:val="2B560448"/>
    <w:rsid w:val="2B774624"/>
    <w:rsid w:val="2BD85185"/>
    <w:rsid w:val="2C15603D"/>
    <w:rsid w:val="2C3D6F12"/>
    <w:rsid w:val="2C4D184B"/>
    <w:rsid w:val="2C7A72BE"/>
    <w:rsid w:val="2C956D4E"/>
    <w:rsid w:val="2C9A7D75"/>
    <w:rsid w:val="2CAC5771"/>
    <w:rsid w:val="2CC17412"/>
    <w:rsid w:val="2D216834"/>
    <w:rsid w:val="2D8F3594"/>
    <w:rsid w:val="2DB24284"/>
    <w:rsid w:val="2E3B3926"/>
    <w:rsid w:val="2E6910F6"/>
    <w:rsid w:val="2E7A26A0"/>
    <w:rsid w:val="2E9976CE"/>
    <w:rsid w:val="2E9F2CA1"/>
    <w:rsid w:val="2EC801E1"/>
    <w:rsid w:val="2EE713B8"/>
    <w:rsid w:val="2EFC1307"/>
    <w:rsid w:val="2F401D3C"/>
    <w:rsid w:val="2F5B24E1"/>
    <w:rsid w:val="2F670897"/>
    <w:rsid w:val="2F750D73"/>
    <w:rsid w:val="2F751E32"/>
    <w:rsid w:val="2F972DDE"/>
    <w:rsid w:val="2FA95C88"/>
    <w:rsid w:val="2FB936F7"/>
    <w:rsid w:val="30141AF3"/>
    <w:rsid w:val="302156B1"/>
    <w:rsid w:val="3041370F"/>
    <w:rsid w:val="304F7225"/>
    <w:rsid w:val="307F5D4C"/>
    <w:rsid w:val="30986E0D"/>
    <w:rsid w:val="30B17ECF"/>
    <w:rsid w:val="30B9399C"/>
    <w:rsid w:val="312B50A3"/>
    <w:rsid w:val="31444F1F"/>
    <w:rsid w:val="316C4F1C"/>
    <w:rsid w:val="319D215B"/>
    <w:rsid w:val="31E84401"/>
    <w:rsid w:val="320C0799"/>
    <w:rsid w:val="3223710B"/>
    <w:rsid w:val="3238172D"/>
    <w:rsid w:val="323E39E4"/>
    <w:rsid w:val="32453A27"/>
    <w:rsid w:val="3263064A"/>
    <w:rsid w:val="328C29A2"/>
    <w:rsid w:val="32A43132"/>
    <w:rsid w:val="32AC0C06"/>
    <w:rsid w:val="32B53CA7"/>
    <w:rsid w:val="33064502"/>
    <w:rsid w:val="33344EF5"/>
    <w:rsid w:val="333D5A4A"/>
    <w:rsid w:val="33462B51"/>
    <w:rsid w:val="33791F7A"/>
    <w:rsid w:val="33D8510B"/>
    <w:rsid w:val="340719AB"/>
    <w:rsid w:val="34A642E1"/>
    <w:rsid w:val="34A93799"/>
    <w:rsid w:val="34D41770"/>
    <w:rsid w:val="34EF0FC6"/>
    <w:rsid w:val="3537750C"/>
    <w:rsid w:val="3537798C"/>
    <w:rsid w:val="35507AD8"/>
    <w:rsid w:val="35C13FC9"/>
    <w:rsid w:val="35C975CB"/>
    <w:rsid w:val="35D35979"/>
    <w:rsid w:val="35EA010B"/>
    <w:rsid w:val="35EB37C3"/>
    <w:rsid w:val="364257B6"/>
    <w:rsid w:val="36963DEF"/>
    <w:rsid w:val="36A3058F"/>
    <w:rsid w:val="36C42FDD"/>
    <w:rsid w:val="373E244B"/>
    <w:rsid w:val="37410393"/>
    <w:rsid w:val="37DA15DE"/>
    <w:rsid w:val="37EA5922"/>
    <w:rsid w:val="38043A90"/>
    <w:rsid w:val="38276B93"/>
    <w:rsid w:val="38AC3431"/>
    <w:rsid w:val="38B44A00"/>
    <w:rsid w:val="38FC1258"/>
    <w:rsid w:val="392F2E16"/>
    <w:rsid w:val="393D4EB4"/>
    <w:rsid w:val="397B3B3A"/>
    <w:rsid w:val="399565E0"/>
    <w:rsid w:val="39E00529"/>
    <w:rsid w:val="3A0B64A7"/>
    <w:rsid w:val="3A16095F"/>
    <w:rsid w:val="3A574DDA"/>
    <w:rsid w:val="3AD3075A"/>
    <w:rsid w:val="3AF63B49"/>
    <w:rsid w:val="3AF74C02"/>
    <w:rsid w:val="3B0B1FFB"/>
    <w:rsid w:val="3B4F45B3"/>
    <w:rsid w:val="3B586207"/>
    <w:rsid w:val="3BF04732"/>
    <w:rsid w:val="3C0059A5"/>
    <w:rsid w:val="3C134E78"/>
    <w:rsid w:val="3C29300F"/>
    <w:rsid w:val="3CBE7BFC"/>
    <w:rsid w:val="3D7B6929"/>
    <w:rsid w:val="3D8C26D5"/>
    <w:rsid w:val="3DEC7285"/>
    <w:rsid w:val="3DF6345D"/>
    <w:rsid w:val="3DFF04CC"/>
    <w:rsid w:val="3E2B5515"/>
    <w:rsid w:val="3E4D4F28"/>
    <w:rsid w:val="3E5E1696"/>
    <w:rsid w:val="3EE13701"/>
    <w:rsid w:val="3EF134BD"/>
    <w:rsid w:val="3EF43DA9"/>
    <w:rsid w:val="3F116D9E"/>
    <w:rsid w:val="3F1A47FA"/>
    <w:rsid w:val="3F1A4BB3"/>
    <w:rsid w:val="3F402B4A"/>
    <w:rsid w:val="3F5E7474"/>
    <w:rsid w:val="3F9B58A3"/>
    <w:rsid w:val="3FBF4E2E"/>
    <w:rsid w:val="3FDC2527"/>
    <w:rsid w:val="3FE94F8F"/>
    <w:rsid w:val="3FF916F0"/>
    <w:rsid w:val="40192BA6"/>
    <w:rsid w:val="40253FB6"/>
    <w:rsid w:val="40287E86"/>
    <w:rsid w:val="40420FE3"/>
    <w:rsid w:val="404C3770"/>
    <w:rsid w:val="406D3E12"/>
    <w:rsid w:val="41012622"/>
    <w:rsid w:val="41126768"/>
    <w:rsid w:val="41766EA9"/>
    <w:rsid w:val="41EC4E19"/>
    <w:rsid w:val="42447095"/>
    <w:rsid w:val="42550A18"/>
    <w:rsid w:val="429D496A"/>
    <w:rsid w:val="42A324B9"/>
    <w:rsid w:val="42BA2C13"/>
    <w:rsid w:val="42BF39C1"/>
    <w:rsid w:val="42F473A1"/>
    <w:rsid w:val="435117C9"/>
    <w:rsid w:val="435F7582"/>
    <w:rsid w:val="440A1978"/>
    <w:rsid w:val="441E62C0"/>
    <w:rsid w:val="4422469E"/>
    <w:rsid w:val="45054431"/>
    <w:rsid w:val="451E7F28"/>
    <w:rsid w:val="452F0AB0"/>
    <w:rsid w:val="45325D14"/>
    <w:rsid w:val="45811C7C"/>
    <w:rsid w:val="45906116"/>
    <w:rsid w:val="463F7FFF"/>
    <w:rsid w:val="465B470D"/>
    <w:rsid w:val="4661564E"/>
    <w:rsid w:val="468B3EFB"/>
    <w:rsid w:val="470A6193"/>
    <w:rsid w:val="472B40E0"/>
    <w:rsid w:val="47385210"/>
    <w:rsid w:val="474A246F"/>
    <w:rsid w:val="47612B67"/>
    <w:rsid w:val="47AF6ABF"/>
    <w:rsid w:val="47DC4F5C"/>
    <w:rsid w:val="483D2FCF"/>
    <w:rsid w:val="48A077F0"/>
    <w:rsid w:val="48B40671"/>
    <w:rsid w:val="48C8648D"/>
    <w:rsid w:val="48F72B1B"/>
    <w:rsid w:val="49161744"/>
    <w:rsid w:val="49543DC1"/>
    <w:rsid w:val="499B5738"/>
    <w:rsid w:val="499F244D"/>
    <w:rsid w:val="49A85EBB"/>
    <w:rsid w:val="4A8B0324"/>
    <w:rsid w:val="4A973F3F"/>
    <w:rsid w:val="4AAA0912"/>
    <w:rsid w:val="4ABA40F8"/>
    <w:rsid w:val="4AC736CE"/>
    <w:rsid w:val="4AF96BC7"/>
    <w:rsid w:val="4B5A416B"/>
    <w:rsid w:val="4B862A85"/>
    <w:rsid w:val="4C35011F"/>
    <w:rsid w:val="4CAF3BD9"/>
    <w:rsid w:val="4CD26B56"/>
    <w:rsid w:val="4CD614D6"/>
    <w:rsid w:val="4CEF36E2"/>
    <w:rsid w:val="4CEF4DC5"/>
    <w:rsid w:val="4CF259CA"/>
    <w:rsid w:val="4D0478AD"/>
    <w:rsid w:val="4D2910C1"/>
    <w:rsid w:val="4DD36FF3"/>
    <w:rsid w:val="4E257655"/>
    <w:rsid w:val="4E3B6F73"/>
    <w:rsid w:val="4E8E7871"/>
    <w:rsid w:val="4F3003F0"/>
    <w:rsid w:val="4F372380"/>
    <w:rsid w:val="4F372FFB"/>
    <w:rsid w:val="4F7A20A8"/>
    <w:rsid w:val="4FC17EB3"/>
    <w:rsid w:val="4FE34534"/>
    <w:rsid w:val="5025116D"/>
    <w:rsid w:val="5027618B"/>
    <w:rsid w:val="506B19F1"/>
    <w:rsid w:val="508A199E"/>
    <w:rsid w:val="512E2ED1"/>
    <w:rsid w:val="5151508A"/>
    <w:rsid w:val="51AB479B"/>
    <w:rsid w:val="51B46990"/>
    <w:rsid w:val="51B64EEE"/>
    <w:rsid w:val="51BD002A"/>
    <w:rsid w:val="51C7780B"/>
    <w:rsid w:val="52395ECD"/>
    <w:rsid w:val="523D116B"/>
    <w:rsid w:val="524E3378"/>
    <w:rsid w:val="5268443A"/>
    <w:rsid w:val="52AE45C6"/>
    <w:rsid w:val="52C10D75"/>
    <w:rsid w:val="53C27FF8"/>
    <w:rsid w:val="53F64F75"/>
    <w:rsid w:val="54850D7B"/>
    <w:rsid w:val="549E1A80"/>
    <w:rsid w:val="54B0031A"/>
    <w:rsid w:val="54C658F4"/>
    <w:rsid w:val="54FB1595"/>
    <w:rsid w:val="54FC792F"/>
    <w:rsid w:val="550C4BD7"/>
    <w:rsid w:val="554C1D56"/>
    <w:rsid w:val="55572986"/>
    <w:rsid w:val="55645D32"/>
    <w:rsid w:val="559D62AC"/>
    <w:rsid w:val="55C062DD"/>
    <w:rsid w:val="560B3A5A"/>
    <w:rsid w:val="565340FA"/>
    <w:rsid w:val="567B1F8D"/>
    <w:rsid w:val="5723343E"/>
    <w:rsid w:val="573D7EAB"/>
    <w:rsid w:val="57BC20FF"/>
    <w:rsid w:val="582F1556"/>
    <w:rsid w:val="58B74D83"/>
    <w:rsid w:val="596B2B64"/>
    <w:rsid w:val="5976568E"/>
    <w:rsid w:val="59E259AD"/>
    <w:rsid w:val="5A0A1560"/>
    <w:rsid w:val="5A29624A"/>
    <w:rsid w:val="5A2F2CC8"/>
    <w:rsid w:val="5A464050"/>
    <w:rsid w:val="5AF16BAF"/>
    <w:rsid w:val="5AF357FA"/>
    <w:rsid w:val="5B1614E0"/>
    <w:rsid w:val="5B264176"/>
    <w:rsid w:val="5BA26962"/>
    <w:rsid w:val="5C10702D"/>
    <w:rsid w:val="5C152601"/>
    <w:rsid w:val="5C2A2760"/>
    <w:rsid w:val="5C361105"/>
    <w:rsid w:val="5C591F03"/>
    <w:rsid w:val="5C8A1B2F"/>
    <w:rsid w:val="5C9B2BD7"/>
    <w:rsid w:val="5CD61CD1"/>
    <w:rsid w:val="5D8A5BAC"/>
    <w:rsid w:val="5D914004"/>
    <w:rsid w:val="5DA0236E"/>
    <w:rsid w:val="5DC81B10"/>
    <w:rsid w:val="5DDE7CA6"/>
    <w:rsid w:val="5E697ADA"/>
    <w:rsid w:val="5E8478EE"/>
    <w:rsid w:val="5EA04F5B"/>
    <w:rsid w:val="5EB541D6"/>
    <w:rsid w:val="5F1A2CBE"/>
    <w:rsid w:val="5F277E42"/>
    <w:rsid w:val="5F561B72"/>
    <w:rsid w:val="5F5A1D8A"/>
    <w:rsid w:val="5FB45C89"/>
    <w:rsid w:val="5FEA1C70"/>
    <w:rsid w:val="5FF27A39"/>
    <w:rsid w:val="606007BB"/>
    <w:rsid w:val="60661EE0"/>
    <w:rsid w:val="60791F08"/>
    <w:rsid w:val="60811186"/>
    <w:rsid w:val="609A52AA"/>
    <w:rsid w:val="609E5A0A"/>
    <w:rsid w:val="60AC7F66"/>
    <w:rsid w:val="60EA02FE"/>
    <w:rsid w:val="60F203B9"/>
    <w:rsid w:val="610640C9"/>
    <w:rsid w:val="611B7B30"/>
    <w:rsid w:val="61BF10D9"/>
    <w:rsid w:val="61C471B3"/>
    <w:rsid w:val="61DA3D4C"/>
    <w:rsid w:val="61F35C92"/>
    <w:rsid w:val="62724E61"/>
    <w:rsid w:val="62961841"/>
    <w:rsid w:val="62AC22DC"/>
    <w:rsid w:val="62F6718C"/>
    <w:rsid w:val="62FB6C04"/>
    <w:rsid w:val="637833E8"/>
    <w:rsid w:val="63CC374A"/>
    <w:rsid w:val="63CE3F17"/>
    <w:rsid w:val="63E6385D"/>
    <w:rsid w:val="63FE3D43"/>
    <w:rsid w:val="6410048D"/>
    <w:rsid w:val="6468132B"/>
    <w:rsid w:val="64837769"/>
    <w:rsid w:val="64B82FFF"/>
    <w:rsid w:val="64E45EF7"/>
    <w:rsid w:val="650F7FD2"/>
    <w:rsid w:val="653B6421"/>
    <w:rsid w:val="65904F5A"/>
    <w:rsid w:val="65A12201"/>
    <w:rsid w:val="65B46E8B"/>
    <w:rsid w:val="65D61F4D"/>
    <w:rsid w:val="65E971E8"/>
    <w:rsid w:val="66611983"/>
    <w:rsid w:val="668268B9"/>
    <w:rsid w:val="6691014E"/>
    <w:rsid w:val="6694184A"/>
    <w:rsid w:val="66C87CCE"/>
    <w:rsid w:val="66EC77AB"/>
    <w:rsid w:val="677435B2"/>
    <w:rsid w:val="67EF75F1"/>
    <w:rsid w:val="686F6420"/>
    <w:rsid w:val="687B7B01"/>
    <w:rsid w:val="68BA0ECD"/>
    <w:rsid w:val="6902505D"/>
    <w:rsid w:val="69124F16"/>
    <w:rsid w:val="69301727"/>
    <w:rsid w:val="694A5205"/>
    <w:rsid w:val="69B31FE7"/>
    <w:rsid w:val="69CD5C14"/>
    <w:rsid w:val="69CF0D33"/>
    <w:rsid w:val="69D72DBD"/>
    <w:rsid w:val="6A1A1243"/>
    <w:rsid w:val="6B0B1692"/>
    <w:rsid w:val="6B6E1DD1"/>
    <w:rsid w:val="6B980FF3"/>
    <w:rsid w:val="6B98549C"/>
    <w:rsid w:val="6B9946B3"/>
    <w:rsid w:val="6BDD2E56"/>
    <w:rsid w:val="6C662189"/>
    <w:rsid w:val="6C7007C7"/>
    <w:rsid w:val="6CE64481"/>
    <w:rsid w:val="6D18386D"/>
    <w:rsid w:val="6D24486A"/>
    <w:rsid w:val="6D7A5CD6"/>
    <w:rsid w:val="6DB85E1E"/>
    <w:rsid w:val="6DE76850"/>
    <w:rsid w:val="6E3522FC"/>
    <w:rsid w:val="6E5A2F1A"/>
    <w:rsid w:val="6E743233"/>
    <w:rsid w:val="6EC702DA"/>
    <w:rsid w:val="6ED75804"/>
    <w:rsid w:val="6EF870FB"/>
    <w:rsid w:val="6F0D15F9"/>
    <w:rsid w:val="6F4B0F13"/>
    <w:rsid w:val="6F6C5AFF"/>
    <w:rsid w:val="6FB20BD4"/>
    <w:rsid w:val="6FB650F7"/>
    <w:rsid w:val="6FBA59BE"/>
    <w:rsid w:val="6FE517A6"/>
    <w:rsid w:val="6FEA0792"/>
    <w:rsid w:val="701F5AB8"/>
    <w:rsid w:val="70296B3E"/>
    <w:rsid w:val="70611204"/>
    <w:rsid w:val="70B0195D"/>
    <w:rsid w:val="71E57394"/>
    <w:rsid w:val="727F03E4"/>
    <w:rsid w:val="72A5206A"/>
    <w:rsid w:val="72FF0747"/>
    <w:rsid w:val="73445350"/>
    <w:rsid w:val="738929F6"/>
    <w:rsid w:val="73C37269"/>
    <w:rsid w:val="73C93AD9"/>
    <w:rsid w:val="73D37457"/>
    <w:rsid w:val="74945351"/>
    <w:rsid w:val="74B453E8"/>
    <w:rsid w:val="74DA0D6F"/>
    <w:rsid w:val="74FA2C30"/>
    <w:rsid w:val="754D5C4B"/>
    <w:rsid w:val="75A167F5"/>
    <w:rsid w:val="76240093"/>
    <w:rsid w:val="76261918"/>
    <w:rsid w:val="76581EEA"/>
    <w:rsid w:val="76C240A7"/>
    <w:rsid w:val="775246B7"/>
    <w:rsid w:val="781C6FEE"/>
    <w:rsid w:val="781E69D1"/>
    <w:rsid w:val="78232A2D"/>
    <w:rsid w:val="78436C2C"/>
    <w:rsid w:val="78B70373"/>
    <w:rsid w:val="7909554E"/>
    <w:rsid w:val="7A263B6B"/>
    <w:rsid w:val="7AC2652D"/>
    <w:rsid w:val="7AF37FE2"/>
    <w:rsid w:val="7AF46346"/>
    <w:rsid w:val="7B0C59FB"/>
    <w:rsid w:val="7B0F5EBF"/>
    <w:rsid w:val="7B130FB9"/>
    <w:rsid w:val="7B4155FE"/>
    <w:rsid w:val="7B643141"/>
    <w:rsid w:val="7B65506B"/>
    <w:rsid w:val="7B6E6CA9"/>
    <w:rsid w:val="7B70216E"/>
    <w:rsid w:val="7BF64EDE"/>
    <w:rsid w:val="7C39334C"/>
    <w:rsid w:val="7C400C1E"/>
    <w:rsid w:val="7D3E5C51"/>
    <w:rsid w:val="7DD11708"/>
    <w:rsid w:val="7EBD579E"/>
    <w:rsid w:val="7EC167BD"/>
    <w:rsid w:val="7F071CB1"/>
    <w:rsid w:val="7F182BC0"/>
    <w:rsid w:val="7F254364"/>
    <w:rsid w:val="7F272D9E"/>
    <w:rsid w:val="7F2C21C7"/>
    <w:rsid w:val="7F3821A5"/>
    <w:rsid w:val="7F3A5BF8"/>
    <w:rsid w:val="7F7338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iPriority="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9"/>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60"/>
    <w:unhideWhenUsed/>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numPr>
        <w:ilvl w:val="5"/>
        <w:numId w:val="1"/>
      </w:numPr>
      <w:spacing w:before="240" w:beforeLines="0" w:beforeAutospacing="0" w:after="64" w:afterLines="0" w:afterAutospacing="0" w:line="317" w:lineRule="auto"/>
      <w:outlineLvl w:val="5"/>
    </w:pPr>
    <w:rPr>
      <w:rFonts w:ascii="Arial" w:hAnsi="Arial" w:eastAsia="黑体"/>
      <w:b/>
      <w:sz w:val="24"/>
    </w:rPr>
  </w:style>
  <w:style w:type="paragraph" w:styleId="9">
    <w:name w:val="heading 8"/>
    <w:basedOn w:val="1"/>
    <w:next w:val="1"/>
    <w:link w:val="61"/>
    <w:unhideWhenUsed/>
    <w:qFormat/>
    <w:uiPriority w:val="0"/>
    <w:pPr>
      <w:keepNext/>
      <w:keepLines/>
      <w:spacing w:before="240" w:after="64" w:line="320" w:lineRule="auto"/>
      <w:outlineLvl w:val="7"/>
    </w:pPr>
    <w:rPr>
      <w:rFonts w:ascii="等线 Light" w:hAnsi="等线 Light" w:eastAsia="等线 Light"/>
      <w:sz w:val="24"/>
    </w:rPr>
  </w:style>
  <w:style w:type="character" w:default="1" w:styleId="32">
    <w:name w:val="Default Paragraph Font"/>
    <w:semiHidden/>
    <w:qFormat/>
    <w:uiPriority w:val="0"/>
  </w:style>
  <w:style w:type="table" w:default="1" w:styleId="3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7">
    <w:name w:val="Normal Indent"/>
    <w:basedOn w:val="1"/>
    <w:next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62"/>
    <w:qFormat/>
    <w:uiPriority w:val="0"/>
    <w:pPr>
      <w:jc w:val="left"/>
    </w:pPr>
  </w:style>
  <w:style w:type="paragraph" w:styleId="12">
    <w:name w:val="Body Text 3"/>
    <w:basedOn w:val="1"/>
    <w:link w:val="63"/>
    <w:qFormat/>
    <w:uiPriority w:val="0"/>
    <w:pPr>
      <w:spacing w:after="120"/>
    </w:pPr>
    <w:rPr>
      <w:sz w:val="16"/>
      <w:szCs w:val="16"/>
    </w:rPr>
  </w:style>
  <w:style w:type="paragraph" w:styleId="13">
    <w:name w:val="Body Text"/>
    <w:basedOn w:val="1"/>
    <w:link w:val="64"/>
    <w:qFormat/>
    <w:uiPriority w:val="0"/>
    <w:pPr>
      <w:spacing w:after="120"/>
    </w:pPr>
  </w:style>
  <w:style w:type="paragraph" w:styleId="14">
    <w:name w:val="Body Text Indent"/>
    <w:basedOn w:val="1"/>
    <w:link w:val="65"/>
    <w:qFormat/>
    <w:uiPriority w:val="0"/>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
    <w:link w:val="66"/>
    <w:qFormat/>
    <w:uiPriority w:val="0"/>
    <w:rPr>
      <w:rFonts w:ascii="宋体" w:hAnsi="Courier New"/>
      <w:kern w:val="0"/>
      <w:sz w:val="20"/>
      <w:szCs w:val="21"/>
    </w:rPr>
  </w:style>
  <w:style w:type="paragraph" w:styleId="18">
    <w:name w:val="Date"/>
    <w:basedOn w:val="1"/>
    <w:next w:val="1"/>
    <w:link w:val="67"/>
    <w:qFormat/>
    <w:uiPriority w:val="0"/>
    <w:pPr>
      <w:ind w:left="100" w:leftChars="2500"/>
    </w:pPr>
  </w:style>
  <w:style w:type="paragraph" w:styleId="19">
    <w:name w:val="Body Text Indent 2"/>
    <w:basedOn w:val="1"/>
    <w:qFormat/>
    <w:uiPriority w:val="0"/>
    <w:pPr>
      <w:adjustRightInd w:val="0"/>
      <w:snapToGrid w:val="0"/>
      <w:spacing w:line="360" w:lineRule="auto"/>
      <w:ind w:firstLine="668" w:firstLineChars="199"/>
    </w:pPr>
    <w:rPr>
      <w:rFonts w:ascii="仿宋_GB2312" w:eastAsia="仿宋_GB2312"/>
      <w:spacing w:val="6"/>
      <w:sz w:val="30"/>
      <w:szCs w:val="30"/>
    </w:rPr>
  </w:style>
  <w:style w:type="paragraph" w:styleId="20">
    <w:name w:val="Balloon Text"/>
    <w:basedOn w:val="1"/>
    <w:link w:val="68"/>
    <w:qFormat/>
    <w:uiPriority w:val="0"/>
    <w:rPr>
      <w:sz w:val="18"/>
      <w:szCs w:val="18"/>
    </w:rPr>
  </w:style>
  <w:style w:type="paragraph" w:styleId="21">
    <w:name w:val="footer"/>
    <w:basedOn w:val="1"/>
    <w:next w:val="1"/>
    <w:link w:val="69"/>
    <w:qFormat/>
    <w:uiPriority w:val="0"/>
    <w:pPr>
      <w:tabs>
        <w:tab w:val="center" w:pos="4153"/>
        <w:tab w:val="right" w:pos="8306"/>
      </w:tabs>
      <w:snapToGrid w:val="0"/>
      <w:jc w:val="left"/>
    </w:pPr>
    <w:rPr>
      <w:kern w:val="0"/>
      <w:sz w:val="18"/>
      <w:szCs w:val="18"/>
    </w:rPr>
  </w:style>
  <w:style w:type="paragraph" w:styleId="22">
    <w:name w:val="header"/>
    <w:basedOn w:val="1"/>
    <w:link w:val="70"/>
    <w:qFormat/>
    <w:uiPriority w:val="0"/>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qFormat/>
    <w:uiPriority w:val="0"/>
  </w:style>
  <w:style w:type="paragraph" w:styleId="24">
    <w:name w:val="List"/>
    <w:basedOn w:val="1"/>
    <w:qFormat/>
    <w:uiPriority w:val="0"/>
    <w:pPr>
      <w:ind w:left="200" w:hanging="200" w:hangingChars="200"/>
      <w:contextualSpacing/>
    </w:pPr>
  </w:style>
  <w:style w:type="paragraph" w:styleId="25">
    <w:name w:val="toc 2"/>
    <w:basedOn w:val="1"/>
    <w:next w:val="1"/>
    <w:qFormat/>
    <w:uiPriority w:val="0"/>
    <w:pPr>
      <w:tabs>
        <w:tab w:val="right" w:leader="dot" w:pos="8296"/>
      </w:tabs>
      <w:ind w:left="420" w:leftChars="200"/>
    </w:pPr>
  </w:style>
  <w:style w:type="paragraph" w:styleId="26">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7">
    <w:name w:val="Title"/>
    <w:basedOn w:val="1"/>
    <w:next w:val="1"/>
    <w:qFormat/>
    <w:uiPriority w:val="0"/>
    <w:pPr>
      <w:spacing w:before="240" w:after="60"/>
      <w:jc w:val="center"/>
      <w:outlineLvl w:val="0"/>
    </w:pPr>
    <w:rPr>
      <w:rFonts w:ascii="Cambria" w:hAnsi="Cambria"/>
      <w:b/>
      <w:bCs/>
      <w:sz w:val="32"/>
      <w:szCs w:val="32"/>
    </w:rPr>
  </w:style>
  <w:style w:type="paragraph" w:styleId="28">
    <w:name w:val="annotation subject"/>
    <w:basedOn w:val="11"/>
    <w:next w:val="11"/>
    <w:link w:val="71"/>
    <w:qFormat/>
    <w:uiPriority w:val="0"/>
    <w:rPr>
      <w:b/>
      <w:bCs/>
    </w:rPr>
  </w:style>
  <w:style w:type="paragraph" w:styleId="29">
    <w:name w:val="Body Text First Indent 2"/>
    <w:basedOn w:val="14"/>
    <w:qFormat/>
    <w:uiPriority w:val="0"/>
    <w:pPr>
      <w:ind w:firstLine="420" w:firstLineChars="200"/>
    </w:pPr>
  </w:style>
  <w:style w:type="table" w:styleId="31">
    <w:name w:val="Table Grid"/>
    <w:basedOn w:val="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endnote reference"/>
    <w:qFormat/>
    <w:uiPriority w:val="0"/>
    <w:rPr>
      <w:vertAlign w:val="superscript"/>
    </w:rPr>
  </w:style>
  <w:style w:type="character" w:styleId="34">
    <w:name w:val="page number"/>
    <w:qFormat/>
    <w:uiPriority w:val="0"/>
  </w:style>
  <w:style w:type="character" w:styleId="35">
    <w:name w:val="FollowedHyperlink"/>
    <w:qFormat/>
    <w:uiPriority w:val="0"/>
    <w:rPr>
      <w:color w:val="800080"/>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paragraph" w:customStyle="1" w:styleId="38">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39">
    <w:name w:val="List Paragraph"/>
    <w:basedOn w:val="1"/>
    <w:unhideWhenUsed/>
    <w:qFormat/>
    <w:uiPriority w:val="99"/>
    <w:pPr>
      <w:ind w:firstLine="420" w:firstLineChars="200"/>
    </w:pPr>
  </w:style>
  <w:style w:type="paragraph" w:customStyle="1" w:styleId="40">
    <w:name w:val="默认段落字体 Para Char Char Char Char Char Char Char Char Char1 Char Char Char Char"/>
    <w:basedOn w:val="1"/>
    <w:qFormat/>
    <w:uiPriority w:val="99"/>
    <w:rPr>
      <w:rFonts w:ascii="Tahoma" w:hAnsi="Tahoma"/>
      <w:sz w:val="24"/>
      <w:szCs w:val="20"/>
    </w:rPr>
  </w:style>
  <w:style w:type="paragraph" w:customStyle="1" w:styleId="41">
    <w:name w:val="Table Paragraph"/>
    <w:basedOn w:val="1"/>
    <w:qFormat/>
    <w:uiPriority w:val="1"/>
    <w:pPr>
      <w:jc w:val="left"/>
    </w:pPr>
    <w:rPr>
      <w:rFonts w:ascii="Calibri" w:hAnsi="Calibri"/>
      <w:kern w:val="0"/>
      <w:sz w:val="22"/>
      <w:szCs w:val="22"/>
      <w:lang w:eastAsia="en-US"/>
    </w:rPr>
  </w:style>
  <w:style w:type="paragraph" w:customStyle="1" w:styleId="42">
    <w:name w:val="Char Char Char Char"/>
    <w:basedOn w:val="1"/>
    <w:qFormat/>
    <w:uiPriority w:val="99"/>
    <w:pPr>
      <w:widowControl/>
      <w:spacing w:after="160" w:line="240" w:lineRule="exact"/>
      <w:jc w:val="left"/>
    </w:pPr>
  </w:style>
  <w:style w:type="paragraph" w:customStyle="1" w:styleId="43">
    <w:name w:val="_Style 42"/>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44">
    <w:name w:val="正文2"/>
    <w:basedOn w:val="1"/>
    <w:link w:val="88"/>
    <w:qFormat/>
    <w:uiPriority w:val="0"/>
    <w:pPr>
      <w:adjustRightInd w:val="0"/>
      <w:spacing w:before="156" w:line="360" w:lineRule="auto"/>
      <w:ind w:firstLine="510" w:firstLineChars="200"/>
    </w:pPr>
    <w:rPr>
      <w:kern w:val="0"/>
      <w:sz w:val="24"/>
      <w:szCs w:val="20"/>
    </w:rPr>
  </w:style>
  <w:style w:type="paragraph" w:customStyle="1" w:styleId="4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46">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47">
    <w:name w:val="_Style 94"/>
    <w:basedOn w:val="1"/>
    <w:unhideWhenUsed/>
    <w:qFormat/>
    <w:uiPriority w:val="99"/>
  </w:style>
  <w:style w:type="paragraph" w:customStyle="1" w:styleId="48">
    <w:name w:val="_Style 95"/>
    <w:basedOn w:val="1"/>
    <w:unhideWhenUsed/>
    <w:qFormat/>
    <w:uiPriority w:val="99"/>
  </w:style>
  <w:style w:type="paragraph" w:customStyle="1" w:styleId="49">
    <w:name w:val="msonormal"/>
    <w:basedOn w:val="1"/>
    <w:qFormat/>
    <w:uiPriority w:val="99"/>
    <w:rPr>
      <w:rFonts w:ascii="Calibri" w:hAnsi="Calibri"/>
      <w:kern w:val="0"/>
      <w:sz w:val="24"/>
    </w:rPr>
  </w:style>
  <w:style w:type="paragraph" w:customStyle="1" w:styleId="50">
    <w:name w:val="Char Char Char"/>
    <w:basedOn w:val="1"/>
    <w:qFormat/>
    <w:uiPriority w:val="0"/>
    <w:rPr>
      <w:rFonts w:ascii="Tahoma" w:hAnsi="Tahoma" w:eastAsia="宋体" w:cs="Times New Roman"/>
      <w:sz w:val="24"/>
      <w:szCs w:val="20"/>
    </w:rPr>
  </w:style>
  <w:style w:type="paragraph" w:customStyle="1" w:styleId="51">
    <w:name w:val="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52">
    <w:name w:val="PlainText"/>
    <w:basedOn w:val="1"/>
    <w:qFormat/>
    <w:uiPriority w:val="0"/>
    <w:pPr>
      <w:jc w:val="both"/>
      <w:textAlignment w:val="baseline"/>
    </w:pPr>
    <w:rPr>
      <w:rFonts w:ascii="宋体" w:hAnsi="Courier New"/>
      <w:kern w:val="0"/>
      <w:sz w:val="20"/>
      <w:szCs w:val="21"/>
      <w:lang w:val="en-US" w:eastAsia="zh-CN" w:bidi="ar-SA"/>
    </w:rPr>
  </w:style>
  <w:style w:type="paragraph" w:customStyle="1" w:styleId="53">
    <w:name w:val="Default"/>
    <w:basedOn w:val="54"/>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54">
    <w:name w:val="纯文本1"/>
    <w:basedOn w:val="1"/>
    <w:qFormat/>
    <w:uiPriority w:val="0"/>
    <w:rPr>
      <w:rFonts w:ascii="宋体" w:hAnsi="Courier New"/>
      <w:szCs w:val="20"/>
    </w:rPr>
  </w:style>
  <w:style w:type="paragraph" w:customStyle="1" w:styleId="55">
    <w:name w:val="列表段落"/>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cs="Times New Roman"/>
      <w:kern w:val="2"/>
      <w:sz w:val="21"/>
      <w:szCs w:val="21"/>
      <w:lang w:val="en-US" w:eastAsia="zh-CN" w:bidi="ar"/>
    </w:rPr>
  </w:style>
  <w:style w:type="paragraph" w:customStyle="1" w:styleId="56">
    <w:name w:val="Table Text"/>
    <w:basedOn w:val="1"/>
    <w:semiHidden/>
    <w:qFormat/>
    <w:uiPriority w:val="0"/>
    <w:rPr>
      <w:rFonts w:ascii="宋体" w:hAnsi="宋体" w:eastAsia="宋体" w:cs="宋体"/>
      <w:szCs w:val="21"/>
      <w:lang w:eastAsia="en-US"/>
    </w:rPr>
  </w:style>
  <w:style w:type="character" w:customStyle="1" w:styleId="57">
    <w:name w:val="标题 1 字符2"/>
    <w:link w:val="2"/>
    <w:qFormat/>
    <w:uiPriority w:val="9"/>
    <w:rPr>
      <w:b/>
      <w:bCs/>
      <w:kern w:val="44"/>
      <w:sz w:val="44"/>
      <w:szCs w:val="44"/>
    </w:rPr>
  </w:style>
  <w:style w:type="character" w:customStyle="1" w:styleId="58">
    <w:name w:val="标题 2 字符1"/>
    <w:link w:val="3"/>
    <w:qFormat/>
    <w:uiPriority w:val="9"/>
    <w:rPr>
      <w:rFonts w:ascii="Cambria" w:hAnsi="Cambria" w:eastAsia="宋体" w:cs="Times New Roman"/>
      <w:b/>
      <w:bCs/>
      <w:kern w:val="2"/>
      <w:sz w:val="32"/>
      <w:szCs w:val="32"/>
    </w:rPr>
  </w:style>
  <w:style w:type="character" w:customStyle="1" w:styleId="59">
    <w:name w:val="标题 3 字符1"/>
    <w:link w:val="4"/>
    <w:qFormat/>
    <w:uiPriority w:val="9"/>
    <w:rPr>
      <w:b/>
      <w:bCs/>
      <w:kern w:val="2"/>
      <w:sz w:val="32"/>
      <w:szCs w:val="32"/>
    </w:rPr>
  </w:style>
  <w:style w:type="character" w:customStyle="1" w:styleId="60">
    <w:name w:val="标题 5 字符1"/>
    <w:link w:val="6"/>
    <w:qFormat/>
    <w:uiPriority w:val="9"/>
    <w:rPr>
      <w:rFonts w:ascii="Times New Roman" w:hAnsi="Times New Roman"/>
      <w:b/>
      <w:bCs/>
      <w:kern w:val="2"/>
      <w:sz w:val="28"/>
      <w:szCs w:val="28"/>
    </w:rPr>
  </w:style>
  <w:style w:type="character" w:customStyle="1" w:styleId="61">
    <w:name w:val="标题 8 字符1"/>
    <w:link w:val="9"/>
    <w:qFormat/>
    <w:uiPriority w:val="9"/>
    <w:rPr>
      <w:rFonts w:ascii="等线 Light" w:hAnsi="等线 Light" w:eastAsia="等线 Light" w:cs="Times New Roman"/>
      <w:kern w:val="2"/>
      <w:sz w:val="24"/>
      <w:szCs w:val="24"/>
    </w:rPr>
  </w:style>
  <w:style w:type="character" w:customStyle="1" w:styleId="62">
    <w:name w:val="批注文字 字符3"/>
    <w:link w:val="11"/>
    <w:qFormat/>
    <w:uiPriority w:val="0"/>
    <w:rPr>
      <w:rFonts w:ascii="Times New Roman" w:hAnsi="Times New Roman"/>
      <w:kern w:val="2"/>
      <w:sz w:val="21"/>
      <w:szCs w:val="24"/>
    </w:rPr>
  </w:style>
  <w:style w:type="character" w:customStyle="1" w:styleId="63">
    <w:name w:val="正文文本 3 字符1"/>
    <w:link w:val="12"/>
    <w:qFormat/>
    <w:uiPriority w:val="99"/>
    <w:rPr>
      <w:kern w:val="2"/>
      <w:sz w:val="16"/>
      <w:szCs w:val="16"/>
    </w:rPr>
  </w:style>
  <w:style w:type="character" w:customStyle="1" w:styleId="64">
    <w:name w:val="正文文本 字符2"/>
    <w:link w:val="13"/>
    <w:qFormat/>
    <w:uiPriority w:val="0"/>
    <w:rPr>
      <w:rFonts w:ascii="Times New Roman" w:hAnsi="Times New Roman"/>
      <w:kern w:val="2"/>
      <w:sz w:val="21"/>
      <w:szCs w:val="24"/>
    </w:rPr>
  </w:style>
  <w:style w:type="character" w:customStyle="1" w:styleId="65">
    <w:name w:val="正文文本缩进 字符1"/>
    <w:link w:val="14"/>
    <w:qFormat/>
    <w:uiPriority w:val="0"/>
    <w:rPr>
      <w:rFonts w:ascii="仿宋_GB2312" w:hAnsi="Times New Roman" w:eastAsia="仿宋_GB2312" w:cs="Times New Roman"/>
      <w:sz w:val="32"/>
      <w:szCs w:val="20"/>
    </w:rPr>
  </w:style>
  <w:style w:type="character" w:customStyle="1" w:styleId="66">
    <w:name w:val="纯文本 字符4"/>
    <w:link w:val="17"/>
    <w:qFormat/>
    <w:uiPriority w:val="0"/>
    <w:rPr>
      <w:rFonts w:ascii="宋体" w:hAnsi="Courier New" w:eastAsia="宋体" w:cs="Courier New"/>
      <w:szCs w:val="21"/>
    </w:rPr>
  </w:style>
  <w:style w:type="character" w:customStyle="1" w:styleId="67">
    <w:name w:val="日期 字符1"/>
    <w:link w:val="18"/>
    <w:qFormat/>
    <w:uiPriority w:val="99"/>
    <w:rPr>
      <w:rFonts w:ascii="Times New Roman" w:hAnsi="Times New Roman"/>
      <w:kern w:val="2"/>
      <w:sz w:val="21"/>
      <w:szCs w:val="24"/>
    </w:rPr>
  </w:style>
  <w:style w:type="character" w:customStyle="1" w:styleId="68">
    <w:name w:val="批注框文本 字符"/>
    <w:link w:val="20"/>
    <w:semiHidden/>
    <w:qFormat/>
    <w:uiPriority w:val="99"/>
    <w:rPr>
      <w:kern w:val="2"/>
      <w:sz w:val="18"/>
      <w:szCs w:val="18"/>
    </w:rPr>
  </w:style>
  <w:style w:type="character" w:customStyle="1" w:styleId="69">
    <w:name w:val="页脚 字符1"/>
    <w:link w:val="21"/>
    <w:qFormat/>
    <w:uiPriority w:val="99"/>
    <w:rPr>
      <w:sz w:val="18"/>
      <w:szCs w:val="18"/>
    </w:rPr>
  </w:style>
  <w:style w:type="character" w:customStyle="1" w:styleId="70">
    <w:name w:val="页眉 字符1"/>
    <w:link w:val="22"/>
    <w:qFormat/>
    <w:uiPriority w:val="99"/>
    <w:rPr>
      <w:sz w:val="18"/>
      <w:szCs w:val="18"/>
    </w:rPr>
  </w:style>
  <w:style w:type="character" w:customStyle="1" w:styleId="71">
    <w:name w:val="批注主题 字符1"/>
    <w:link w:val="28"/>
    <w:qFormat/>
    <w:uiPriority w:val="99"/>
    <w:rPr>
      <w:rFonts w:ascii="Times New Roman" w:hAnsi="Times New Roman"/>
      <w:b/>
      <w:bCs/>
      <w:kern w:val="2"/>
      <w:sz w:val="21"/>
      <w:szCs w:val="24"/>
    </w:rPr>
  </w:style>
  <w:style w:type="character" w:customStyle="1" w:styleId="72">
    <w:name w:val="纯文本 字符2"/>
    <w:qFormat/>
    <w:uiPriority w:val="0"/>
    <w:rPr>
      <w:rFonts w:ascii="宋体" w:hAnsi="Courier New" w:eastAsia="宋体" w:cs="Courier New"/>
      <w:szCs w:val="21"/>
    </w:rPr>
  </w:style>
  <w:style w:type="character" w:customStyle="1" w:styleId="73">
    <w:name w:val="apple-style-span"/>
    <w:qFormat/>
    <w:uiPriority w:val="0"/>
  </w:style>
  <w:style w:type="character" w:customStyle="1" w:styleId="74">
    <w:name w:val="标题 2 Char"/>
    <w:qFormat/>
    <w:uiPriority w:val="9"/>
    <w:rPr>
      <w:rFonts w:ascii="Cambria" w:hAnsi="Cambria" w:eastAsia="宋体" w:cs="Times New Roman"/>
      <w:b/>
      <w:bCs/>
      <w:kern w:val="2"/>
      <w:sz w:val="32"/>
      <w:szCs w:val="32"/>
    </w:rPr>
  </w:style>
  <w:style w:type="character" w:customStyle="1" w:styleId="75">
    <w:name w:val="纯文本 字符"/>
    <w:qFormat/>
    <w:uiPriority w:val="0"/>
    <w:rPr>
      <w:rFonts w:ascii="宋体" w:hAnsi="Courier New" w:eastAsia="宋体" w:cs="Courier New"/>
      <w:szCs w:val="21"/>
    </w:rPr>
  </w:style>
  <w:style w:type="character" w:customStyle="1" w:styleId="76">
    <w:name w:val="纯文本 字符1"/>
    <w:qFormat/>
    <w:uiPriority w:val="0"/>
    <w:rPr>
      <w:rFonts w:ascii="宋体" w:hAnsi="Courier New"/>
    </w:rPr>
  </w:style>
  <w:style w:type="character" w:customStyle="1" w:styleId="77">
    <w:name w:val="标题 8 Char"/>
    <w:qFormat/>
    <w:uiPriority w:val="0"/>
    <w:rPr>
      <w:rFonts w:ascii="Arial" w:hAnsi="Arial" w:eastAsia="黑体"/>
      <w:kern w:val="2"/>
      <w:sz w:val="24"/>
      <w:szCs w:val="24"/>
    </w:rPr>
  </w:style>
  <w:style w:type="character" w:customStyle="1" w:styleId="78">
    <w:name w:val="纯文本 Char"/>
    <w:qFormat/>
    <w:uiPriority w:val="0"/>
    <w:rPr>
      <w:rFonts w:ascii="宋体" w:hAnsi="Courier New" w:eastAsia="宋体" w:cs="Courier New"/>
      <w:szCs w:val="21"/>
    </w:rPr>
  </w:style>
  <w:style w:type="character" w:customStyle="1" w:styleId="79">
    <w:name w:val="正文文本 Char"/>
    <w:qFormat/>
    <w:uiPriority w:val="0"/>
    <w:rPr>
      <w:rFonts w:ascii="Times New Roman" w:hAnsi="Times New Roman"/>
      <w:kern w:val="2"/>
      <w:sz w:val="21"/>
      <w:szCs w:val="24"/>
    </w:rPr>
  </w:style>
  <w:style w:type="character" w:customStyle="1" w:styleId="80">
    <w:name w:val="批注文字 字符1"/>
    <w:qFormat/>
    <w:uiPriority w:val="0"/>
    <w:rPr>
      <w:rFonts w:ascii="Times New Roman" w:hAnsi="Times New Roman"/>
      <w:kern w:val="2"/>
      <w:sz w:val="21"/>
      <w:szCs w:val="24"/>
    </w:rPr>
  </w:style>
  <w:style w:type="character" w:customStyle="1" w:styleId="8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2">
    <w:name w:val="标题 1 字符1"/>
    <w:qFormat/>
    <w:uiPriority w:val="0"/>
    <w:rPr>
      <w:b/>
      <w:bCs/>
      <w:kern w:val="44"/>
      <w:sz w:val="44"/>
      <w:szCs w:val="44"/>
    </w:rPr>
  </w:style>
  <w:style w:type="character" w:customStyle="1" w:styleId="83">
    <w:name w:val="正文文本 字符"/>
    <w:qFormat/>
    <w:uiPriority w:val="0"/>
    <w:rPr>
      <w:rFonts w:ascii="Times New Roman" w:hAnsi="Times New Roman"/>
      <w:kern w:val="2"/>
      <w:sz w:val="21"/>
      <w:szCs w:val="24"/>
    </w:rPr>
  </w:style>
  <w:style w:type="character" w:customStyle="1" w:styleId="84">
    <w:name w:val="批注文字 字符"/>
    <w:qFormat/>
    <w:uiPriority w:val="0"/>
    <w:rPr>
      <w:rFonts w:ascii="Times New Roman" w:hAnsi="Times New Roman"/>
      <w:kern w:val="2"/>
      <w:sz w:val="21"/>
      <w:szCs w:val="24"/>
    </w:rPr>
  </w:style>
  <w:style w:type="character" w:customStyle="1" w:styleId="85">
    <w:name w:val="textcontents"/>
    <w:qFormat/>
    <w:uiPriority w:val="0"/>
  </w:style>
  <w:style w:type="character" w:customStyle="1" w:styleId="86">
    <w:name w:val="批注文字 Char"/>
    <w:qFormat/>
    <w:uiPriority w:val="0"/>
    <w:rPr>
      <w:rFonts w:ascii="Times New Roman" w:hAnsi="Times New Roman"/>
      <w:kern w:val="2"/>
      <w:sz w:val="21"/>
      <w:szCs w:val="24"/>
    </w:rPr>
  </w:style>
  <w:style w:type="character" w:customStyle="1" w:styleId="87">
    <w:name w:val="未处理的提及"/>
    <w:unhideWhenUsed/>
    <w:qFormat/>
    <w:uiPriority w:val="99"/>
    <w:rPr>
      <w:color w:val="605E5C"/>
      <w:shd w:val="clear" w:color="auto" w:fill="E1DFDD"/>
    </w:rPr>
  </w:style>
  <w:style w:type="character" w:customStyle="1" w:styleId="88">
    <w:name w:val="正文2 Char Char"/>
    <w:link w:val="44"/>
    <w:qFormat/>
    <w:uiPriority w:val="0"/>
    <w:rPr>
      <w:sz w:val="24"/>
    </w:rPr>
  </w:style>
  <w:style w:type="character" w:customStyle="1" w:styleId="89">
    <w:name w:val="标题 1 字符"/>
    <w:qFormat/>
    <w:uiPriority w:val="9"/>
    <w:rPr>
      <w:b/>
      <w:bCs/>
      <w:kern w:val="44"/>
      <w:sz w:val="44"/>
      <w:szCs w:val="44"/>
    </w:rPr>
  </w:style>
  <w:style w:type="character" w:customStyle="1" w:styleId="90">
    <w:name w:val="标题 2 字符"/>
    <w:qFormat/>
    <w:uiPriority w:val="9"/>
    <w:rPr>
      <w:rFonts w:ascii="Cambria" w:hAnsi="Cambria"/>
      <w:b/>
      <w:bCs/>
      <w:kern w:val="2"/>
      <w:sz w:val="32"/>
      <w:szCs w:val="32"/>
    </w:rPr>
  </w:style>
  <w:style w:type="character" w:customStyle="1" w:styleId="91">
    <w:name w:val="标题 3 字符"/>
    <w:qFormat/>
    <w:uiPriority w:val="9"/>
    <w:rPr>
      <w:b/>
      <w:bCs/>
      <w:kern w:val="2"/>
      <w:sz w:val="32"/>
      <w:szCs w:val="32"/>
    </w:rPr>
  </w:style>
  <w:style w:type="character" w:customStyle="1" w:styleId="92">
    <w:name w:val="标题 5 字符"/>
    <w:qFormat/>
    <w:uiPriority w:val="9"/>
    <w:rPr>
      <w:b/>
      <w:bCs/>
      <w:kern w:val="2"/>
      <w:sz w:val="28"/>
      <w:szCs w:val="28"/>
    </w:rPr>
  </w:style>
  <w:style w:type="character" w:customStyle="1" w:styleId="93">
    <w:name w:val="标题 8 字符"/>
    <w:qFormat/>
    <w:uiPriority w:val="9"/>
    <w:rPr>
      <w:rFonts w:ascii="等线 Light" w:hAnsi="等线 Light" w:eastAsia="等线 Light"/>
      <w:kern w:val="2"/>
      <w:sz w:val="24"/>
      <w:szCs w:val="24"/>
    </w:rPr>
  </w:style>
  <w:style w:type="character" w:customStyle="1" w:styleId="94">
    <w:name w:val="批注文字 字符2"/>
    <w:qFormat/>
    <w:uiPriority w:val="99"/>
    <w:rPr>
      <w:kern w:val="2"/>
      <w:sz w:val="21"/>
      <w:szCs w:val="24"/>
    </w:rPr>
  </w:style>
  <w:style w:type="character" w:customStyle="1" w:styleId="95">
    <w:name w:val="正文文本 3 字符"/>
    <w:qFormat/>
    <w:uiPriority w:val="99"/>
    <w:rPr>
      <w:kern w:val="2"/>
      <w:sz w:val="16"/>
      <w:szCs w:val="16"/>
    </w:rPr>
  </w:style>
  <w:style w:type="character" w:customStyle="1" w:styleId="96">
    <w:name w:val="正文文本 字符1"/>
    <w:qFormat/>
    <w:uiPriority w:val="99"/>
    <w:rPr>
      <w:kern w:val="2"/>
      <w:sz w:val="21"/>
      <w:szCs w:val="24"/>
    </w:rPr>
  </w:style>
  <w:style w:type="character" w:customStyle="1" w:styleId="97">
    <w:name w:val="正文文本缩进 字符"/>
    <w:qFormat/>
    <w:uiPriority w:val="99"/>
    <w:rPr>
      <w:rFonts w:ascii="仿宋_GB2312" w:eastAsia="仿宋_GB2312"/>
      <w:sz w:val="32"/>
    </w:rPr>
  </w:style>
  <w:style w:type="character" w:customStyle="1" w:styleId="98">
    <w:name w:val="纯文本 字符3"/>
    <w:qFormat/>
    <w:uiPriority w:val="99"/>
    <w:rPr>
      <w:rFonts w:ascii="宋体" w:hAnsi="Courier New"/>
      <w:szCs w:val="21"/>
    </w:rPr>
  </w:style>
  <w:style w:type="character" w:customStyle="1" w:styleId="99">
    <w:name w:val="日期 字符"/>
    <w:qFormat/>
    <w:uiPriority w:val="99"/>
    <w:rPr>
      <w:kern w:val="2"/>
      <w:sz w:val="21"/>
      <w:szCs w:val="24"/>
    </w:rPr>
  </w:style>
  <w:style w:type="character" w:customStyle="1" w:styleId="100">
    <w:name w:val="页脚 字符"/>
    <w:qFormat/>
    <w:uiPriority w:val="99"/>
    <w:rPr>
      <w:sz w:val="18"/>
      <w:szCs w:val="18"/>
    </w:rPr>
  </w:style>
  <w:style w:type="character" w:customStyle="1" w:styleId="101">
    <w:name w:val="页眉 字符"/>
    <w:qFormat/>
    <w:uiPriority w:val="99"/>
    <w:rPr>
      <w:sz w:val="18"/>
      <w:szCs w:val="18"/>
    </w:rPr>
  </w:style>
  <w:style w:type="character" w:customStyle="1" w:styleId="102">
    <w:name w:val="批注主题 字符"/>
    <w:qFormat/>
    <w:uiPriority w:val="99"/>
    <w:rPr>
      <w:rFonts w:ascii="Times New Roman" w:hAnsi="Times New Roman"/>
      <w:b/>
      <w:bCs/>
      <w:kern w:val="2"/>
      <w:sz w:val="21"/>
      <w:szCs w:val="24"/>
    </w:rPr>
  </w:style>
  <w:style w:type="character" w:customStyle="1" w:styleId="103">
    <w:name w:val="NormalCharacter"/>
    <w:semiHidden/>
    <w:qFormat/>
    <w:uiPriority w:val="0"/>
    <w:rPr>
      <w:kern w:val="2"/>
      <w:sz w:val="21"/>
      <w:szCs w:val="24"/>
      <w:lang w:val="en-US" w:eastAsia="zh-CN" w:bidi="ar-SA"/>
    </w:rPr>
  </w:style>
  <w:style w:type="character" w:customStyle="1" w:styleId="104">
    <w:name w:val="font41"/>
    <w:basedOn w:val="32"/>
    <w:qFormat/>
    <w:uiPriority w:val="0"/>
    <w:rPr>
      <w:rFonts w:hint="eastAsia" w:ascii="宋体" w:hAnsi="宋体" w:eastAsia="宋体" w:cs="宋体"/>
      <w:b/>
      <w:bCs/>
      <w:color w:val="000000"/>
      <w:sz w:val="24"/>
      <w:szCs w:val="24"/>
      <w:u w:val="none"/>
    </w:rPr>
  </w:style>
  <w:style w:type="character" w:customStyle="1" w:styleId="105">
    <w:name w:val="font51"/>
    <w:basedOn w:val="32"/>
    <w:qFormat/>
    <w:uiPriority w:val="0"/>
    <w:rPr>
      <w:rFonts w:hint="eastAsia" w:ascii="宋体" w:hAnsi="宋体" w:eastAsia="宋体" w:cs="宋体"/>
      <w:color w:val="000000"/>
      <w:sz w:val="24"/>
      <w:szCs w:val="24"/>
      <w:u w:val="none"/>
    </w:rPr>
  </w:style>
  <w:style w:type="character" w:customStyle="1" w:styleId="106">
    <w:name w:val="font81"/>
    <w:basedOn w:val="32"/>
    <w:qFormat/>
    <w:uiPriority w:val="0"/>
    <w:rPr>
      <w:rFonts w:hint="eastAsia" w:ascii="宋体" w:hAnsi="宋体" w:eastAsia="宋体" w:cs="宋体"/>
      <w:color w:val="FF0000"/>
      <w:sz w:val="24"/>
      <w:szCs w:val="24"/>
      <w:u w:val="none"/>
    </w:rPr>
  </w:style>
  <w:style w:type="character" w:customStyle="1" w:styleId="107">
    <w:name w:val="font71"/>
    <w:basedOn w:val="32"/>
    <w:qFormat/>
    <w:uiPriority w:val="0"/>
    <w:rPr>
      <w:rFonts w:hint="eastAsia" w:ascii="宋体" w:hAnsi="宋体" w:eastAsia="宋体" w:cs="宋体"/>
      <w:b/>
      <w:bCs/>
      <w:color w:val="000000"/>
      <w:sz w:val="32"/>
      <w:szCs w:val="32"/>
      <w:u w:val="none"/>
    </w:rPr>
  </w:style>
  <w:style w:type="character" w:customStyle="1" w:styleId="108">
    <w:name w:val="font91"/>
    <w:basedOn w:val="32"/>
    <w:qFormat/>
    <w:uiPriority w:val="0"/>
    <w:rPr>
      <w:rFonts w:hint="eastAsia" w:ascii="宋体" w:hAnsi="宋体" w:eastAsia="宋体" w:cs="宋体"/>
      <w:b/>
      <w:bCs/>
      <w:color w:val="000000"/>
      <w:sz w:val="28"/>
      <w:szCs w:val="28"/>
      <w:u w:val="none"/>
    </w:rPr>
  </w:style>
  <w:style w:type="character" w:customStyle="1" w:styleId="109">
    <w:name w:val="font101"/>
    <w:basedOn w:val="32"/>
    <w:qFormat/>
    <w:uiPriority w:val="0"/>
    <w:rPr>
      <w:rFonts w:hint="eastAsia" w:ascii="宋体" w:hAnsi="宋体" w:eastAsia="宋体" w:cs="宋体"/>
      <w:color w:val="000000"/>
      <w:sz w:val="28"/>
      <w:szCs w:val="28"/>
      <w:u w:val="none"/>
    </w:rPr>
  </w:style>
  <w:style w:type="character" w:customStyle="1" w:styleId="110">
    <w:name w:val="16"/>
    <w:basedOn w:val="32"/>
    <w:qFormat/>
    <w:uiPriority w:val="0"/>
    <w:rPr>
      <w:rFonts w:hint="default" w:ascii="仿宋_GB2312" w:eastAsia="仿宋_GB2312" w:cs="仿宋_GB2312"/>
      <w:color w:val="000000"/>
      <w:sz w:val="24"/>
      <w:szCs w:val="24"/>
    </w:rPr>
  </w:style>
  <w:style w:type="character" w:customStyle="1" w:styleId="111">
    <w:name w:val="font61"/>
    <w:basedOn w:val="32"/>
    <w:qFormat/>
    <w:uiPriority w:val="0"/>
    <w:rPr>
      <w:rFonts w:ascii="仿宋_GB2312" w:eastAsia="仿宋_GB2312" w:cs="仿宋_GB2312"/>
      <w:color w:val="000000"/>
      <w:sz w:val="20"/>
      <w:szCs w:val="20"/>
      <w:u w:val="none"/>
    </w:rPr>
  </w:style>
  <w:style w:type="character" w:customStyle="1" w:styleId="112">
    <w:name w:val="font151"/>
    <w:basedOn w:val="32"/>
    <w:qFormat/>
    <w:uiPriority w:val="0"/>
    <w:rPr>
      <w:rFonts w:hint="eastAsia" w:ascii="宋体" w:hAnsi="宋体" w:eastAsia="宋体" w:cs="宋体"/>
      <w:color w:val="000000"/>
      <w:sz w:val="20"/>
      <w:szCs w:val="20"/>
      <w:u w:val="none"/>
    </w:rPr>
  </w:style>
  <w:style w:type="character" w:customStyle="1" w:styleId="113">
    <w:name w:val="font161"/>
    <w:basedOn w:val="32"/>
    <w:qFormat/>
    <w:uiPriority w:val="0"/>
    <w:rPr>
      <w:rFonts w:hint="default" w:ascii="Times New Roman" w:hAnsi="Times New Roman" w:cs="Times New Roman"/>
      <w:strike/>
      <w:color w:val="000000"/>
      <w:sz w:val="20"/>
      <w:szCs w:val="20"/>
    </w:rPr>
  </w:style>
  <w:style w:type="character" w:customStyle="1" w:styleId="114">
    <w:name w:val="font121"/>
    <w:basedOn w:val="32"/>
    <w:qFormat/>
    <w:uiPriority w:val="0"/>
    <w:rPr>
      <w:rFonts w:hint="default" w:ascii="Times New Roman" w:hAnsi="Times New Roman" w:cs="Times New Roman"/>
      <w:strike/>
      <w:color w:val="000000"/>
      <w:sz w:val="20"/>
      <w:szCs w:val="20"/>
    </w:rPr>
  </w:style>
  <w:style w:type="character" w:customStyle="1" w:styleId="115">
    <w:name w:val="font171"/>
    <w:basedOn w:val="32"/>
    <w:qFormat/>
    <w:uiPriority w:val="0"/>
    <w:rPr>
      <w:rFonts w:hint="eastAsia" w:ascii="仿宋_GB2312" w:eastAsia="仿宋_GB2312" w:cs="仿宋_GB2312"/>
      <w:color w:val="FF0000"/>
      <w:sz w:val="20"/>
      <w:szCs w:val="20"/>
      <w:u w:val="none"/>
    </w:rPr>
  </w:style>
  <w:style w:type="character" w:customStyle="1" w:styleId="116">
    <w:name w:val="font181"/>
    <w:basedOn w:val="32"/>
    <w:qFormat/>
    <w:uiPriority w:val="0"/>
    <w:rPr>
      <w:rFonts w:hint="default" w:ascii="Times New Roman" w:hAnsi="Times New Roman" w:cs="Times New Roman"/>
      <w:color w:val="FF0000"/>
      <w:sz w:val="20"/>
      <w:szCs w:val="20"/>
      <w:u w:val="none"/>
    </w:rPr>
  </w:style>
  <w:style w:type="table" w:customStyle="1" w:styleId="11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广西翔正</Company>
  <Pages>114</Pages>
  <Words>10463</Words>
  <Characters>11293</Characters>
  <Lines>2451</Lines>
  <Paragraphs>2299</Paragraphs>
  <TotalTime>10</TotalTime>
  <ScaleCrop>false</ScaleCrop>
  <LinksUpToDate>false</LinksUpToDate>
  <CharactersWithSpaces>11438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2021-08-17T04:20:00Z</dcterms:created>
  <dc:creator>苏晓英</dc:creator>
  <cp:lastModifiedBy>炎炎</cp:lastModifiedBy>
  <cp:lastPrinted>2026-08-24T01:38:00Z</cp:lastPrinted>
  <dcterms:modified xsi:type="dcterms:W3CDTF">2026-08-24T03:34:09Z</dcterms:modified>
  <dc:title>竞争性磋商文件规范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420253CCD3404161AC48E826BD9C7428</vt:lpwstr>
  </property>
  <property fmtid="{D5CDD505-2E9C-101B-9397-08002B2CF9AE}" pid="4" name="KSOTemplateDocerSaveRecord">
    <vt:lpwstr>eyJoZGlkIjoiM2FmMDFiNTZiNDhiM2M4MGU5YWM4MDE2NjhjZTEyZTAiLCJ1c2VySWQiOiIxMTY2MzcwOTA2In0=</vt:lpwstr>
  </property>
</Properties>
</file>