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21736FE8">
      <w:pPr>
        <w:spacing w:before="165" w:beforeLines="50" w:line="360" w:lineRule="auto"/>
        <w:jc w:val="center"/>
        <w:rPr>
          <w:rFonts w:hint="eastAsia" w:ascii="宋体" w:hAnsi="宋体" w:eastAsia="宋体" w:cs="宋体"/>
          <w:color w:val="auto"/>
          <w:sz w:val="52"/>
          <w:szCs w:val="52"/>
          <w:highlight w:val="none"/>
          <w:lang w:eastAsia="zh-CN"/>
        </w:rPr>
        <w:sectPr>
          <w:headerReference r:id="rId3" w:type="default"/>
          <w:pgSz w:w="11906" w:h="16838"/>
          <w:pgMar w:top="1134" w:right="1134" w:bottom="1134" w:left="1134" w:header="720" w:footer="720" w:gutter="0"/>
          <w:pgNumType w:start="1"/>
          <w:cols w:space="720" w:num="1"/>
          <w:docGrid w:type="lines" w:linePitch="331" w:charSpace="0"/>
        </w:sectPr>
      </w:pPr>
      <w:r>
        <w:rPr>
          <w:rFonts w:hint="eastAsia" w:ascii="宋体" w:hAnsi="宋体" w:eastAsia="宋体" w:cs="宋体"/>
          <w:color w:val="auto"/>
          <w:sz w:val="52"/>
          <w:szCs w:val="52"/>
          <w:highlight w:val="none"/>
          <w:lang w:eastAsia="zh-CN"/>
        </w:rPr>
        <w:drawing>
          <wp:inline distT="0" distB="0" distL="114300" distR="114300">
            <wp:extent cx="6241415" cy="8818880"/>
            <wp:effectExtent l="0" t="0" r="6985" b="1270"/>
            <wp:docPr id="2" name="图片 2" descr="提取自2026年度中央财政林业草原生态保护恢复资金西津代理协议"/>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提取自2026年度中央财政林业草原生态保护恢复资金西津代理协议"/>
                    <pic:cNvPicPr>
                      <a:picLocks noChangeAspect="1"/>
                    </pic:cNvPicPr>
                  </pic:nvPicPr>
                  <pic:blipFill>
                    <a:blip r:embed="rId10"/>
                    <a:stretch>
                      <a:fillRect/>
                    </a:stretch>
                  </pic:blipFill>
                  <pic:spPr>
                    <a:xfrm>
                      <a:off x="0" y="0"/>
                      <a:ext cx="6241415" cy="8818880"/>
                    </a:xfrm>
                    <a:prstGeom prst="rect">
                      <a:avLst/>
                    </a:prstGeom>
                  </pic:spPr>
                </pic:pic>
              </a:graphicData>
            </a:graphic>
          </wp:inline>
        </w:drawing>
      </w:r>
    </w:p>
    <w:p w14:paraId="75D18369">
      <w:pPr>
        <w:spacing w:before="165" w:beforeLines="50" w:line="360" w:lineRule="auto"/>
        <w:jc w:val="center"/>
        <w:rPr>
          <w:rFonts w:hint="eastAsia" w:ascii="宋体" w:hAnsi="宋体" w:eastAsia="宋体" w:cs="宋体"/>
          <w:color w:val="auto"/>
          <w:sz w:val="52"/>
          <w:szCs w:val="52"/>
          <w:highlight w:val="none"/>
        </w:rPr>
      </w:pPr>
      <w:r>
        <w:rPr>
          <w:rFonts w:hint="eastAsia" w:ascii="宋体" w:hAnsi="宋体" w:eastAsia="宋体" w:cs="宋体"/>
          <w:color w:val="auto"/>
          <w:sz w:val="52"/>
          <w:szCs w:val="52"/>
          <w:highlight w:val="none"/>
        </w:rPr>
        <w:t>南宁市政府采购</w:t>
      </w:r>
    </w:p>
    <w:p w14:paraId="00FAB9B2">
      <w:pPr>
        <w:spacing w:before="165" w:beforeLines="50" w:line="360" w:lineRule="auto"/>
        <w:jc w:val="center"/>
        <w:rPr>
          <w:rFonts w:hint="eastAsia" w:ascii="宋体" w:hAnsi="宋体" w:eastAsia="宋体" w:cs="宋体"/>
          <w:color w:val="auto"/>
          <w:sz w:val="52"/>
          <w:szCs w:val="52"/>
          <w:highlight w:val="none"/>
        </w:rPr>
      </w:pPr>
      <w:r>
        <w:rPr>
          <w:rFonts w:hint="eastAsia" w:ascii="宋体" w:hAnsi="宋体" w:eastAsia="宋体" w:cs="宋体"/>
          <w:color w:val="auto"/>
          <w:sz w:val="52"/>
          <w:szCs w:val="52"/>
          <w:highlight w:val="none"/>
        </w:rPr>
        <w:t>公开招标文件（服务类）</w:t>
      </w:r>
    </w:p>
    <w:p w14:paraId="33724B33">
      <w:pPr>
        <w:spacing w:before="165" w:beforeLines="50" w:line="360" w:lineRule="auto"/>
        <w:jc w:val="center"/>
        <w:rPr>
          <w:rFonts w:hint="eastAsia" w:ascii="宋体" w:hAnsi="宋体" w:eastAsia="宋体" w:cs="宋体"/>
          <w:b/>
          <w:color w:val="auto"/>
          <w:sz w:val="48"/>
          <w:szCs w:val="48"/>
          <w:highlight w:val="none"/>
        </w:rPr>
      </w:pPr>
    </w:p>
    <w:p w14:paraId="60B851B6">
      <w:pPr>
        <w:spacing w:before="165" w:beforeLines="50" w:line="360" w:lineRule="auto"/>
        <w:jc w:val="center"/>
        <w:rPr>
          <w:rFonts w:hint="eastAsia" w:ascii="宋体" w:hAnsi="宋体" w:eastAsia="宋体" w:cs="宋体"/>
          <w:b/>
          <w:color w:val="auto"/>
          <w:sz w:val="48"/>
          <w:szCs w:val="48"/>
          <w:highlight w:val="none"/>
        </w:rPr>
      </w:pPr>
    </w:p>
    <w:p w14:paraId="6E7C48D1">
      <w:pPr>
        <w:snapToGrid w:val="0"/>
        <w:spacing w:before="165" w:beforeLines="50" w:line="360" w:lineRule="auto"/>
        <w:jc w:val="center"/>
        <w:rPr>
          <w:rFonts w:hint="eastAsia" w:ascii="宋体" w:hAnsi="宋体" w:eastAsia="宋体" w:cs="宋体"/>
          <w:color w:val="auto"/>
          <w:sz w:val="72"/>
          <w:szCs w:val="72"/>
          <w:highlight w:val="none"/>
        </w:rPr>
      </w:pPr>
      <w:r>
        <w:rPr>
          <w:rFonts w:hint="eastAsia" w:ascii="宋体" w:hAnsi="宋体" w:eastAsia="宋体" w:cs="宋体"/>
          <w:color w:val="auto"/>
          <w:sz w:val="72"/>
          <w:szCs w:val="72"/>
          <w:highlight w:val="none"/>
        </w:rPr>
        <w:t>招标文件</w:t>
      </w:r>
    </w:p>
    <w:p w14:paraId="534E41A9">
      <w:pPr>
        <w:snapToGrid w:val="0"/>
        <w:spacing w:before="165" w:beforeLines="50" w:line="360" w:lineRule="auto"/>
        <w:jc w:val="center"/>
        <w:rPr>
          <w:rFonts w:hint="eastAsia" w:ascii="宋体" w:hAnsi="宋体" w:eastAsia="宋体" w:cs="宋体"/>
          <w:color w:val="auto"/>
          <w:sz w:val="30"/>
          <w:szCs w:val="72"/>
          <w:highlight w:val="none"/>
        </w:rPr>
      </w:pPr>
      <w:r>
        <w:rPr>
          <w:rFonts w:hint="eastAsia" w:ascii="宋体" w:hAnsi="宋体" w:eastAsia="宋体" w:cs="宋体"/>
          <w:color w:val="auto"/>
          <w:sz w:val="30"/>
          <w:szCs w:val="72"/>
          <w:highlight w:val="none"/>
        </w:rPr>
        <w:t>（全流程电子化评标）</w:t>
      </w:r>
    </w:p>
    <w:p w14:paraId="1C7420D1">
      <w:pPr>
        <w:snapToGrid w:val="0"/>
        <w:spacing w:before="165" w:beforeLines="50" w:line="360" w:lineRule="auto"/>
        <w:rPr>
          <w:rFonts w:hint="eastAsia" w:ascii="宋体" w:hAnsi="宋体" w:eastAsia="宋体" w:cs="宋体"/>
          <w:color w:val="auto"/>
          <w:sz w:val="30"/>
          <w:szCs w:val="72"/>
          <w:highlight w:val="none"/>
        </w:rPr>
      </w:pPr>
    </w:p>
    <w:p w14:paraId="03DB0BD9">
      <w:pPr>
        <w:pStyle w:val="14"/>
        <w:rPr>
          <w:rFonts w:hint="eastAsia"/>
          <w:color w:val="auto"/>
          <w:highlight w:val="none"/>
        </w:rPr>
      </w:pPr>
    </w:p>
    <w:p w14:paraId="7D6ACB03">
      <w:pPr>
        <w:pStyle w:val="18"/>
        <w:snapToGrid w:val="0"/>
        <w:spacing w:before="50" w:after="120" w:line="360" w:lineRule="auto"/>
        <w:ind w:firstLine="1506" w:firstLineChars="500"/>
        <w:rPr>
          <w:rFonts w:hint="eastAsia" w:ascii="宋体" w:hAnsi="宋体" w:eastAsia="宋体" w:cs="宋体"/>
          <w:b/>
          <w:bCs/>
          <w:color w:val="auto"/>
          <w:sz w:val="30"/>
          <w:szCs w:val="30"/>
          <w:highlight w:val="none"/>
        </w:rPr>
      </w:pPr>
    </w:p>
    <w:p w14:paraId="30ACCD59">
      <w:pPr>
        <w:snapToGrid w:val="0"/>
        <w:spacing w:before="165" w:beforeLines="50" w:line="360" w:lineRule="auto"/>
        <w:ind w:left="0" w:leftChars="0" w:firstLine="1684" w:firstLineChars="559"/>
        <w:rPr>
          <w:rFonts w:hint="eastAsia" w:ascii="宋体" w:hAnsi="宋体" w:eastAsia="宋体" w:cs="宋体"/>
          <w:b/>
          <w:bCs/>
          <w:color w:val="auto"/>
          <w:sz w:val="30"/>
          <w:szCs w:val="30"/>
          <w:highlight w:val="none"/>
        </w:rPr>
      </w:pPr>
      <w:r>
        <w:rPr>
          <w:rFonts w:hint="eastAsia" w:ascii="宋体" w:hAnsi="宋体" w:eastAsia="宋体" w:cs="宋体"/>
          <w:b/>
          <w:bCs/>
          <w:color w:val="auto"/>
          <w:kern w:val="2"/>
          <w:sz w:val="30"/>
          <w:szCs w:val="30"/>
          <w:highlight w:val="none"/>
          <w:lang w:val="en-US" w:eastAsia="zh-CN" w:bidi="ar-SA"/>
        </w:rPr>
        <w:t>项目名称</w:t>
      </w:r>
      <w:r>
        <w:rPr>
          <w:rFonts w:hint="eastAsia" w:ascii="宋体" w:hAnsi="宋体" w:eastAsia="宋体" w:cs="宋体"/>
          <w:b/>
          <w:bCs/>
          <w:color w:val="auto"/>
          <w:sz w:val="30"/>
          <w:szCs w:val="30"/>
          <w:highlight w:val="none"/>
        </w:rPr>
        <w:t>：2026年度中央财政林业草原生态保护恢复资金</w:t>
      </w:r>
    </w:p>
    <w:p w14:paraId="575FEBE1">
      <w:pPr>
        <w:snapToGrid w:val="0"/>
        <w:spacing w:before="165" w:beforeLines="50" w:line="360" w:lineRule="auto"/>
        <w:ind w:left="0" w:leftChars="0" w:firstLine="1684" w:firstLineChars="559"/>
        <w:rPr>
          <w:rFonts w:hint="eastAsia" w:ascii="宋体" w:hAnsi="宋体" w:eastAsia="宋体" w:cs="宋体"/>
          <w:b/>
          <w:bCs/>
          <w:color w:val="auto"/>
          <w:sz w:val="30"/>
          <w:szCs w:val="30"/>
          <w:highlight w:val="none"/>
        </w:rPr>
      </w:pPr>
      <w:r>
        <w:rPr>
          <w:rFonts w:hint="eastAsia" w:ascii="宋体" w:hAnsi="宋体" w:cs="宋体"/>
          <w:b/>
          <w:bCs/>
          <w:color w:val="auto"/>
          <w:sz w:val="30"/>
          <w:szCs w:val="30"/>
          <w:highlight w:val="none"/>
          <w:lang w:eastAsia="zh-CN"/>
        </w:rPr>
        <w:t>—</w:t>
      </w:r>
      <w:r>
        <w:rPr>
          <w:rFonts w:hint="eastAsia" w:ascii="宋体" w:hAnsi="宋体" w:eastAsia="宋体" w:cs="宋体"/>
          <w:b/>
          <w:bCs/>
          <w:color w:val="auto"/>
          <w:sz w:val="30"/>
          <w:szCs w:val="30"/>
          <w:highlight w:val="none"/>
        </w:rPr>
        <w:t>广西横州市西津国家重要湿地保护与恢复项目</w:t>
      </w:r>
    </w:p>
    <w:p w14:paraId="73FB2409">
      <w:pPr>
        <w:snapToGrid w:val="0"/>
        <w:spacing w:before="165" w:beforeLines="50" w:line="360" w:lineRule="auto"/>
        <w:ind w:left="0" w:leftChars="0" w:firstLine="1684" w:firstLineChars="559"/>
        <w:rPr>
          <w:rFonts w:hint="eastAsia" w:ascii="宋体" w:hAnsi="宋体" w:eastAsia="宋体" w:cs="宋体"/>
          <w:b/>
          <w:bCs/>
          <w:color w:val="auto"/>
          <w:sz w:val="30"/>
          <w:szCs w:val="30"/>
          <w:highlight w:val="none"/>
        </w:rPr>
      </w:pPr>
      <w:r>
        <w:rPr>
          <w:rFonts w:hint="eastAsia" w:ascii="宋体" w:hAnsi="宋体" w:eastAsia="宋体" w:cs="宋体"/>
          <w:b/>
          <w:bCs/>
          <w:color w:val="auto"/>
          <w:sz w:val="30"/>
          <w:szCs w:val="30"/>
          <w:highlight w:val="none"/>
        </w:rPr>
        <w:t>（干扰及成效监测、科普宣教）</w:t>
      </w:r>
    </w:p>
    <w:p w14:paraId="79F174C0">
      <w:pPr>
        <w:snapToGrid w:val="0"/>
        <w:spacing w:before="165" w:beforeLines="50" w:line="360" w:lineRule="auto"/>
        <w:ind w:left="0" w:leftChars="0" w:firstLine="1684" w:firstLineChars="559"/>
        <w:rPr>
          <w:rFonts w:hint="eastAsia" w:ascii="宋体" w:hAnsi="宋体" w:eastAsia="宋体" w:cs="宋体"/>
          <w:b/>
          <w:color w:val="auto"/>
          <w:sz w:val="30"/>
          <w:szCs w:val="30"/>
          <w:highlight w:val="none"/>
          <w:lang w:eastAsia="zh-CN"/>
        </w:rPr>
      </w:pPr>
      <w:r>
        <w:rPr>
          <w:rFonts w:hint="eastAsia" w:ascii="宋体" w:hAnsi="宋体" w:eastAsia="宋体" w:cs="宋体"/>
          <w:b/>
          <w:bCs/>
          <w:color w:val="auto"/>
          <w:kern w:val="2"/>
          <w:sz w:val="30"/>
          <w:szCs w:val="30"/>
          <w:highlight w:val="none"/>
          <w:lang w:val="en-US" w:eastAsia="zh-CN" w:bidi="ar-SA"/>
        </w:rPr>
        <w:t>项目</w:t>
      </w:r>
      <w:r>
        <w:rPr>
          <w:rFonts w:hint="eastAsia" w:ascii="宋体" w:hAnsi="宋体" w:eastAsia="宋体" w:cs="宋体"/>
          <w:b/>
          <w:bCs/>
          <w:color w:val="auto"/>
          <w:sz w:val="30"/>
          <w:szCs w:val="30"/>
          <w:highlight w:val="none"/>
        </w:rPr>
        <w:t>编号</w:t>
      </w:r>
      <w:r>
        <w:rPr>
          <w:rFonts w:hint="eastAsia" w:ascii="宋体" w:hAnsi="宋体" w:eastAsia="宋体" w:cs="宋体"/>
          <w:b/>
          <w:bCs/>
          <w:color w:val="auto"/>
          <w:w w:val="95"/>
          <w:sz w:val="30"/>
          <w:szCs w:val="30"/>
          <w:highlight w:val="none"/>
        </w:rPr>
        <w:t>：</w:t>
      </w:r>
      <w:r>
        <w:rPr>
          <w:rFonts w:hint="eastAsia" w:ascii="宋体" w:hAnsi="宋体" w:cs="宋体"/>
          <w:b/>
          <w:bCs/>
          <w:color w:val="auto"/>
          <w:kern w:val="2"/>
          <w:sz w:val="30"/>
          <w:szCs w:val="30"/>
          <w:highlight w:val="none"/>
          <w:lang w:val="en-US" w:eastAsia="zh-CN" w:bidi="ar-SA"/>
        </w:rPr>
        <w:t>NNZC2026-G3-270174-GXZT</w:t>
      </w:r>
    </w:p>
    <w:p w14:paraId="2CE576C5">
      <w:pPr>
        <w:pStyle w:val="18"/>
        <w:snapToGrid w:val="0"/>
        <w:spacing w:before="50" w:after="120" w:line="360" w:lineRule="auto"/>
        <w:ind w:left="0" w:leftChars="0" w:firstLine="1684" w:firstLineChars="559"/>
        <w:rPr>
          <w:rFonts w:hint="eastAsia" w:ascii="宋体" w:hAnsi="宋体" w:eastAsia="宋体" w:cs="宋体"/>
          <w:b/>
          <w:bCs/>
          <w:color w:val="auto"/>
          <w:sz w:val="30"/>
          <w:szCs w:val="30"/>
          <w:highlight w:val="none"/>
          <w:u w:val="single"/>
          <w:lang w:val="en-US" w:eastAsia="zh-CN"/>
        </w:rPr>
      </w:pPr>
      <w:r>
        <w:rPr>
          <w:rFonts w:hint="eastAsia" w:ascii="宋体" w:hAnsi="宋体" w:eastAsia="宋体" w:cs="宋体"/>
          <w:b/>
          <w:bCs/>
          <w:color w:val="auto"/>
          <w:sz w:val="30"/>
          <w:szCs w:val="30"/>
          <w:highlight w:val="none"/>
        </w:rPr>
        <w:t>项目所属区划：横州市项目</w:t>
      </w:r>
    </w:p>
    <w:p w14:paraId="59509BD3">
      <w:pPr>
        <w:pStyle w:val="18"/>
        <w:snapToGrid w:val="0"/>
        <w:spacing w:before="50" w:after="120" w:line="360" w:lineRule="auto"/>
        <w:ind w:left="0" w:leftChars="0" w:firstLine="1684" w:firstLineChars="559"/>
        <w:rPr>
          <w:rFonts w:hint="eastAsia" w:ascii="宋体" w:hAnsi="宋体" w:eastAsia="宋体" w:cs="宋体"/>
          <w:b/>
          <w:bCs/>
          <w:color w:val="auto"/>
          <w:sz w:val="30"/>
          <w:szCs w:val="30"/>
          <w:highlight w:val="none"/>
          <w:lang w:eastAsia="zh-CN"/>
        </w:rPr>
      </w:pPr>
      <w:r>
        <w:rPr>
          <w:rFonts w:hint="eastAsia" w:ascii="宋体" w:hAnsi="宋体" w:eastAsia="宋体" w:cs="宋体"/>
          <w:b/>
          <w:bCs/>
          <w:color w:val="auto"/>
          <w:sz w:val="30"/>
          <w:szCs w:val="30"/>
          <w:highlight w:val="none"/>
        </w:rPr>
        <w:t>采购人：</w:t>
      </w:r>
      <w:r>
        <w:rPr>
          <w:rFonts w:hint="eastAsia" w:ascii="宋体" w:hAnsi="宋体" w:eastAsia="宋体" w:cs="宋体"/>
          <w:b/>
          <w:bCs/>
          <w:color w:val="auto"/>
          <w:sz w:val="30"/>
          <w:szCs w:val="30"/>
          <w:highlight w:val="none"/>
          <w:lang w:eastAsia="zh-CN"/>
        </w:rPr>
        <w:t>横州市西津国家湿地公园管理处</w:t>
      </w:r>
    </w:p>
    <w:p w14:paraId="5DE0622E">
      <w:pPr>
        <w:pStyle w:val="18"/>
        <w:snapToGrid w:val="0"/>
        <w:spacing w:before="50" w:after="120" w:line="360" w:lineRule="auto"/>
        <w:ind w:left="0" w:leftChars="0" w:firstLine="1684" w:firstLineChars="559"/>
        <w:rPr>
          <w:rFonts w:hint="eastAsia" w:ascii="宋体" w:hAnsi="宋体" w:eastAsia="宋体" w:cs="宋体"/>
          <w:b/>
          <w:bCs/>
          <w:color w:val="auto"/>
          <w:sz w:val="30"/>
          <w:szCs w:val="30"/>
          <w:highlight w:val="none"/>
          <w:lang w:eastAsia="zh-CN"/>
        </w:rPr>
      </w:pPr>
      <w:r>
        <w:rPr>
          <w:rFonts w:hint="eastAsia" w:ascii="宋体" w:hAnsi="宋体" w:eastAsia="宋体" w:cs="宋体"/>
          <w:b/>
          <w:bCs/>
          <w:color w:val="auto"/>
          <w:sz w:val="30"/>
          <w:szCs w:val="30"/>
          <w:highlight w:val="none"/>
        </w:rPr>
        <w:t>采购代理机构：</w:t>
      </w:r>
      <w:r>
        <w:rPr>
          <w:rFonts w:hint="eastAsia" w:ascii="宋体" w:hAnsi="宋体" w:eastAsia="宋体" w:cs="宋体"/>
          <w:b/>
          <w:bCs/>
          <w:color w:val="auto"/>
          <w:sz w:val="30"/>
          <w:szCs w:val="30"/>
          <w:highlight w:val="none"/>
          <w:lang w:eastAsia="zh-CN"/>
        </w:rPr>
        <w:t>广西哲通项目管理有限公司</w:t>
      </w:r>
    </w:p>
    <w:p w14:paraId="343F60EA">
      <w:pPr>
        <w:pStyle w:val="18"/>
        <w:snapToGrid w:val="0"/>
        <w:spacing w:before="50" w:after="120" w:line="360" w:lineRule="auto"/>
        <w:ind w:left="0" w:leftChars="0" w:firstLine="0" w:firstLineChars="0"/>
        <w:jc w:val="center"/>
        <w:rPr>
          <w:rFonts w:hint="eastAsia" w:ascii="宋体" w:hAnsi="宋体" w:eastAsia="宋体" w:cs="宋体"/>
          <w:b/>
          <w:bCs/>
          <w:color w:val="auto"/>
          <w:sz w:val="30"/>
          <w:szCs w:val="30"/>
          <w:highlight w:val="none"/>
          <w:lang w:eastAsia="zh-CN"/>
        </w:rPr>
      </w:pPr>
      <w:r>
        <w:rPr>
          <w:rFonts w:hint="eastAsia" w:ascii="宋体" w:hAnsi="宋体" w:eastAsia="宋体" w:cs="宋体"/>
          <w:b/>
          <w:bCs/>
          <w:color w:val="auto"/>
          <w:sz w:val="30"/>
          <w:szCs w:val="30"/>
          <w:highlight w:val="none"/>
          <w:lang w:eastAsia="zh-CN"/>
        </w:rPr>
        <w:t>202</w:t>
      </w:r>
      <w:r>
        <w:rPr>
          <w:rFonts w:hint="eastAsia" w:ascii="宋体" w:hAnsi="宋体" w:eastAsia="宋体" w:cs="宋体"/>
          <w:b/>
          <w:bCs/>
          <w:color w:val="auto"/>
          <w:sz w:val="30"/>
          <w:szCs w:val="30"/>
          <w:highlight w:val="none"/>
          <w:lang w:val="en-US" w:eastAsia="zh-CN"/>
        </w:rPr>
        <w:t>6</w:t>
      </w:r>
      <w:r>
        <w:rPr>
          <w:rFonts w:hint="eastAsia" w:ascii="宋体" w:hAnsi="宋体" w:eastAsia="宋体" w:cs="宋体"/>
          <w:b/>
          <w:bCs/>
          <w:color w:val="auto"/>
          <w:sz w:val="30"/>
          <w:szCs w:val="30"/>
          <w:highlight w:val="none"/>
          <w:lang w:eastAsia="zh-CN"/>
        </w:rPr>
        <w:t>年</w:t>
      </w:r>
      <w:r>
        <w:rPr>
          <w:rFonts w:hint="eastAsia" w:hAnsi="宋体" w:cs="宋体"/>
          <w:b/>
          <w:bCs/>
          <w:color w:val="auto"/>
          <w:sz w:val="30"/>
          <w:szCs w:val="30"/>
          <w:highlight w:val="none"/>
          <w:lang w:val="en-US" w:eastAsia="zh-CN"/>
        </w:rPr>
        <w:t>9</w:t>
      </w:r>
      <w:r>
        <w:rPr>
          <w:rFonts w:hint="eastAsia" w:ascii="宋体" w:hAnsi="宋体" w:eastAsia="宋体" w:cs="宋体"/>
          <w:b/>
          <w:bCs/>
          <w:color w:val="auto"/>
          <w:sz w:val="30"/>
          <w:szCs w:val="30"/>
          <w:highlight w:val="none"/>
          <w:lang w:eastAsia="zh-CN"/>
        </w:rPr>
        <w:t>月</w:t>
      </w:r>
      <w:r>
        <w:rPr>
          <w:rFonts w:hint="eastAsia" w:hAnsi="宋体" w:cs="宋体"/>
          <w:b/>
          <w:bCs/>
          <w:color w:val="auto"/>
          <w:sz w:val="30"/>
          <w:szCs w:val="30"/>
          <w:highlight w:val="none"/>
          <w:lang w:val="en-US" w:eastAsia="zh-CN"/>
        </w:rPr>
        <w:t>29</w:t>
      </w:r>
      <w:r>
        <w:rPr>
          <w:rFonts w:hint="eastAsia" w:ascii="宋体" w:hAnsi="宋体" w:eastAsia="宋体" w:cs="宋体"/>
          <w:b/>
          <w:bCs/>
          <w:color w:val="auto"/>
          <w:sz w:val="30"/>
          <w:szCs w:val="30"/>
          <w:highlight w:val="none"/>
          <w:lang w:eastAsia="zh-CN"/>
        </w:rPr>
        <w:t>日</w:t>
      </w:r>
    </w:p>
    <w:p w14:paraId="653E752C">
      <w:pPr>
        <w:pStyle w:val="18"/>
        <w:snapToGrid w:val="0"/>
        <w:spacing w:before="50" w:after="120" w:line="360" w:lineRule="auto"/>
        <w:ind w:firstLine="841" w:firstLineChars="294"/>
        <w:rPr>
          <w:rFonts w:hint="eastAsia" w:ascii="宋体" w:hAnsi="宋体" w:eastAsia="宋体" w:cs="宋体"/>
          <w:b/>
          <w:bCs/>
          <w:color w:val="auto"/>
          <w:w w:val="95"/>
          <w:sz w:val="30"/>
          <w:szCs w:val="30"/>
          <w:highlight w:val="none"/>
        </w:rPr>
        <w:sectPr>
          <w:pgSz w:w="11906" w:h="16838"/>
          <w:pgMar w:top="1134" w:right="1134" w:bottom="1134" w:left="1134" w:header="720" w:footer="720" w:gutter="0"/>
          <w:pgNumType w:start="1"/>
          <w:cols w:space="720" w:num="1"/>
          <w:docGrid w:type="lines" w:linePitch="331" w:charSpace="0"/>
        </w:sectPr>
      </w:pPr>
    </w:p>
    <w:p w14:paraId="1FCF82FF">
      <w:pPr>
        <w:pStyle w:val="18"/>
        <w:snapToGrid w:val="0"/>
        <w:spacing w:before="50" w:after="120" w:line="360" w:lineRule="auto"/>
        <w:ind w:firstLine="617" w:firstLineChars="294"/>
        <w:rPr>
          <w:rFonts w:hint="eastAsia" w:ascii="宋体" w:hAnsi="宋体" w:eastAsia="宋体" w:cs="宋体"/>
          <w:color w:val="auto"/>
          <w:highlight w:val="none"/>
        </w:rPr>
      </w:pPr>
      <w:bookmarkStart w:id="34" w:name="_GoBack"/>
      <w:bookmarkEnd w:id="34"/>
    </w:p>
    <w:p w14:paraId="7B027E50">
      <w:pPr>
        <w:pStyle w:val="18"/>
        <w:jc w:val="center"/>
        <w:rPr>
          <w:rFonts w:hint="eastAsia" w:ascii="宋体" w:hAnsi="宋体" w:eastAsia="宋体" w:cs="宋体"/>
          <w:b/>
          <w:color w:val="auto"/>
          <w:sz w:val="48"/>
          <w:szCs w:val="48"/>
          <w:highlight w:val="none"/>
        </w:rPr>
      </w:pPr>
      <w:r>
        <w:rPr>
          <w:rFonts w:hint="eastAsia" w:ascii="宋体" w:hAnsi="宋体" w:eastAsia="宋体" w:cs="宋体"/>
          <w:b/>
          <w:color w:val="auto"/>
          <w:sz w:val="48"/>
          <w:szCs w:val="48"/>
          <w:highlight w:val="none"/>
        </w:rPr>
        <w:t>目录</w:t>
      </w:r>
    </w:p>
    <w:p w14:paraId="02AE3CE0">
      <w:pPr>
        <w:pStyle w:val="25"/>
        <w:tabs>
          <w:tab w:val="right" w:leader="dot" w:pos="9638"/>
        </w:tabs>
        <w:spacing w:before="0" w:after="0" w:line="400" w:lineRule="exact"/>
        <w:rPr>
          <w:rFonts w:hint="eastAsia" w:ascii="宋体" w:hAnsi="宋体" w:eastAsia="宋体" w:cs="宋体"/>
          <w:b w:val="0"/>
          <w:bCs w:val="0"/>
          <w:color w:val="auto"/>
          <w:highlight w:val="none"/>
          <w:u w:val="none"/>
        </w:rPr>
      </w:pPr>
      <w:r>
        <w:rPr>
          <w:rFonts w:hint="eastAsia" w:ascii="宋体" w:hAnsi="宋体" w:eastAsia="宋体" w:cs="宋体"/>
          <w:b w:val="0"/>
          <w:bCs w:val="0"/>
          <w:caps w:val="0"/>
          <w:color w:val="auto"/>
          <w:sz w:val="28"/>
          <w:szCs w:val="28"/>
          <w:highlight w:val="none"/>
          <w:u w:val="none"/>
        </w:rPr>
        <w:fldChar w:fldCharType="begin"/>
      </w:r>
      <w:r>
        <w:rPr>
          <w:rFonts w:hint="eastAsia" w:ascii="宋体" w:hAnsi="宋体" w:eastAsia="宋体" w:cs="宋体"/>
          <w:b w:val="0"/>
          <w:bCs w:val="0"/>
          <w:caps w:val="0"/>
          <w:color w:val="auto"/>
          <w:sz w:val="28"/>
          <w:szCs w:val="28"/>
          <w:highlight w:val="none"/>
          <w:u w:val="none"/>
        </w:rPr>
        <w:instrText xml:space="preserve"> TOC \o "1-3" \h \z \u </w:instrText>
      </w:r>
      <w:r>
        <w:rPr>
          <w:rFonts w:hint="eastAsia" w:ascii="宋体" w:hAnsi="宋体" w:eastAsia="宋体" w:cs="宋体"/>
          <w:b w:val="0"/>
          <w:bCs w:val="0"/>
          <w:caps w:val="0"/>
          <w:color w:val="auto"/>
          <w:sz w:val="28"/>
          <w:szCs w:val="28"/>
          <w:highlight w:val="none"/>
          <w:u w:val="none"/>
        </w:rPr>
        <w:fldChar w:fldCharType="separate"/>
      </w:r>
      <w:r>
        <w:rPr>
          <w:rFonts w:hint="eastAsia" w:ascii="宋体" w:hAnsi="宋体" w:eastAsia="宋体" w:cs="宋体"/>
          <w:b w:val="0"/>
          <w:bCs w:val="0"/>
          <w:caps w:val="0"/>
          <w:color w:val="auto"/>
          <w:szCs w:val="28"/>
          <w:highlight w:val="none"/>
          <w:u w:val="none"/>
        </w:rPr>
        <w:fldChar w:fldCharType="begin"/>
      </w:r>
      <w:r>
        <w:rPr>
          <w:rFonts w:hint="eastAsia" w:ascii="宋体" w:hAnsi="宋体" w:eastAsia="宋体" w:cs="宋体"/>
          <w:b w:val="0"/>
          <w:bCs w:val="0"/>
          <w:caps w:val="0"/>
          <w:color w:val="auto"/>
          <w:szCs w:val="28"/>
          <w:highlight w:val="none"/>
          <w:u w:val="none"/>
        </w:rPr>
        <w:instrText xml:space="preserve"> HYPERLINK \l _Toc29755 </w:instrText>
      </w:r>
      <w:r>
        <w:rPr>
          <w:rFonts w:hint="eastAsia" w:ascii="宋体" w:hAnsi="宋体" w:eastAsia="宋体" w:cs="宋体"/>
          <w:b w:val="0"/>
          <w:bCs w:val="0"/>
          <w:caps w:val="0"/>
          <w:color w:val="auto"/>
          <w:szCs w:val="28"/>
          <w:highlight w:val="none"/>
          <w:u w:val="none"/>
        </w:rPr>
        <w:fldChar w:fldCharType="separate"/>
      </w:r>
      <w:r>
        <w:rPr>
          <w:rFonts w:hint="eastAsia" w:ascii="宋体" w:hAnsi="宋体" w:eastAsia="宋体" w:cs="宋体"/>
          <w:b w:val="0"/>
          <w:bCs w:val="0"/>
          <w:color w:val="auto"/>
          <w:highlight w:val="none"/>
          <w:u w:val="none"/>
        </w:rPr>
        <w:t>第一章招标公告</w:t>
      </w:r>
      <w:r>
        <w:rPr>
          <w:rFonts w:hint="eastAsia" w:ascii="宋体" w:hAnsi="宋体" w:eastAsia="宋体" w:cs="宋体"/>
          <w:b w:val="0"/>
          <w:bCs w:val="0"/>
          <w:color w:val="auto"/>
          <w:highlight w:val="none"/>
          <w:u w:val="none"/>
        </w:rPr>
        <w:tab/>
      </w:r>
      <w:r>
        <w:rPr>
          <w:rFonts w:hint="eastAsia" w:ascii="宋体" w:hAnsi="宋体" w:eastAsia="宋体" w:cs="宋体"/>
          <w:b w:val="0"/>
          <w:bCs w:val="0"/>
          <w:color w:val="auto"/>
          <w:highlight w:val="none"/>
          <w:u w:val="none"/>
        </w:rPr>
        <w:fldChar w:fldCharType="begin"/>
      </w:r>
      <w:r>
        <w:rPr>
          <w:rFonts w:hint="eastAsia" w:ascii="宋体" w:hAnsi="宋体" w:eastAsia="宋体" w:cs="宋体"/>
          <w:b w:val="0"/>
          <w:bCs w:val="0"/>
          <w:color w:val="auto"/>
          <w:highlight w:val="none"/>
          <w:u w:val="none"/>
        </w:rPr>
        <w:instrText xml:space="preserve"> PAGEREF _Toc29755 \h </w:instrText>
      </w:r>
      <w:r>
        <w:rPr>
          <w:rFonts w:hint="eastAsia" w:ascii="宋体" w:hAnsi="宋体" w:eastAsia="宋体" w:cs="宋体"/>
          <w:b w:val="0"/>
          <w:bCs w:val="0"/>
          <w:color w:val="auto"/>
          <w:highlight w:val="none"/>
          <w:u w:val="none"/>
        </w:rPr>
        <w:fldChar w:fldCharType="separate"/>
      </w:r>
      <w:r>
        <w:rPr>
          <w:rFonts w:hint="eastAsia" w:ascii="宋体" w:hAnsi="宋体" w:eastAsia="宋体" w:cs="宋体"/>
          <w:b w:val="0"/>
          <w:bCs w:val="0"/>
          <w:color w:val="auto"/>
          <w:highlight w:val="none"/>
          <w:u w:val="none"/>
        </w:rPr>
        <w:t>2</w:t>
      </w:r>
      <w:r>
        <w:rPr>
          <w:rFonts w:hint="eastAsia" w:ascii="宋体" w:hAnsi="宋体" w:eastAsia="宋体" w:cs="宋体"/>
          <w:b w:val="0"/>
          <w:bCs w:val="0"/>
          <w:color w:val="auto"/>
          <w:highlight w:val="none"/>
          <w:u w:val="none"/>
        </w:rPr>
        <w:fldChar w:fldCharType="end"/>
      </w:r>
      <w:r>
        <w:rPr>
          <w:rFonts w:hint="eastAsia" w:ascii="宋体" w:hAnsi="宋体" w:eastAsia="宋体" w:cs="宋体"/>
          <w:b w:val="0"/>
          <w:bCs w:val="0"/>
          <w:caps w:val="0"/>
          <w:color w:val="auto"/>
          <w:szCs w:val="28"/>
          <w:highlight w:val="none"/>
          <w:u w:val="none"/>
        </w:rPr>
        <w:fldChar w:fldCharType="end"/>
      </w:r>
    </w:p>
    <w:p w14:paraId="7592ADE7">
      <w:pPr>
        <w:pStyle w:val="25"/>
        <w:tabs>
          <w:tab w:val="right" w:leader="dot" w:pos="9638"/>
        </w:tabs>
        <w:spacing w:before="0" w:after="0" w:line="400" w:lineRule="exact"/>
        <w:rPr>
          <w:rFonts w:hint="eastAsia" w:ascii="宋体" w:hAnsi="宋体" w:eastAsia="宋体" w:cs="宋体"/>
          <w:b w:val="0"/>
          <w:bCs w:val="0"/>
          <w:color w:val="auto"/>
          <w:highlight w:val="none"/>
          <w:u w:val="none"/>
        </w:rPr>
      </w:pPr>
      <w:r>
        <w:rPr>
          <w:rFonts w:hint="eastAsia" w:ascii="宋体" w:hAnsi="宋体" w:eastAsia="宋体" w:cs="宋体"/>
          <w:b w:val="0"/>
          <w:bCs w:val="0"/>
          <w:caps w:val="0"/>
          <w:color w:val="auto"/>
          <w:szCs w:val="28"/>
          <w:highlight w:val="none"/>
          <w:u w:val="none"/>
        </w:rPr>
        <w:fldChar w:fldCharType="begin"/>
      </w:r>
      <w:r>
        <w:rPr>
          <w:rFonts w:hint="eastAsia" w:ascii="宋体" w:hAnsi="宋体" w:eastAsia="宋体" w:cs="宋体"/>
          <w:b w:val="0"/>
          <w:bCs w:val="0"/>
          <w:caps w:val="0"/>
          <w:color w:val="auto"/>
          <w:szCs w:val="28"/>
          <w:highlight w:val="none"/>
          <w:u w:val="none"/>
        </w:rPr>
        <w:instrText xml:space="preserve"> HYPERLINK \l _Toc619 </w:instrText>
      </w:r>
      <w:r>
        <w:rPr>
          <w:rFonts w:hint="eastAsia" w:ascii="宋体" w:hAnsi="宋体" w:eastAsia="宋体" w:cs="宋体"/>
          <w:b w:val="0"/>
          <w:bCs w:val="0"/>
          <w:caps w:val="0"/>
          <w:color w:val="auto"/>
          <w:szCs w:val="28"/>
          <w:highlight w:val="none"/>
          <w:u w:val="none"/>
        </w:rPr>
        <w:fldChar w:fldCharType="separate"/>
      </w:r>
      <w:r>
        <w:rPr>
          <w:rFonts w:hint="eastAsia" w:ascii="宋体" w:hAnsi="宋体" w:eastAsia="宋体" w:cs="宋体"/>
          <w:b w:val="0"/>
          <w:bCs w:val="0"/>
          <w:color w:val="auto"/>
          <w:highlight w:val="none"/>
          <w:u w:val="none"/>
        </w:rPr>
        <w:t>第二章采购需求</w:t>
      </w:r>
      <w:r>
        <w:rPr>
          <w:rFonts w:hint="eastAsia" w:ascii="宋体" w:hAnsi="宋体" w:eastAsia="宋体" w:cs="宋体"/>
          <w:b w:val="0"/>
          <w:bCs w:val="0"/>
          <w:color w:val="auto"/>
          <w:highlight w:val="none"/>
          <w:u w:val="none"/>
        </w:rPr>
        <w:tab/>
      </w:r>
      <w:r>
        <w:rPr>
          <w:rFonts w:hint="eastAsia" w:ascii="宋体" w:hAnsi="宋体" w:eastAsia="宋体" w:cs="宋体"/>
          <w:b w:val="0"/>
          <w:bCs w:val="0"/>
          <w:color w:val="auto"/>
          <w:highlight w:val="none"/>
          <w:u w:val="none"/>
        </w:rPr>
        <w:fldChar w:fldCharType="begin"/>
      </w:r>
      <w:r>
        <w:rPr>
          <w:rFonts w:hint="eastAsia" w:ascii="宋体" w:hAnsi="宋体" w:eastAsia="宋体" w:cs="宋体"/>
          <w:b w:val="0"/>
          <w:bCs w:val="0"/>
          <w:color w:val="auto"/>
          <w:highlight w:val="none"/>
          <w:u w:val="none"/>
        </w:rPr>
        <w:instrText xml:space="preserve"> PAGEREF _Toc619 \h </w:instrText>
      </w:r>
      <w:r>
        <w:rPr>
          <w:rFonts w:hint="eastAsia" w:ascii="宋体" w:hAnsi="宋体" w:eastAsia="宋体" w:cs="宋体"/>
          <w:b w:val="0"/>
          <w:bCs w:val="0"/>
          <w:color w:val="auto"/>
          <w:highlight w:val="none"/>
          <w:u w:val="none"/>
        </w:rPr>
        <w:fldChar w:fldCharType="separate"/>
      </w:r>
      <w:r>
        <w:rPr>
          <w:rFonts w:hint="eastAsia" w:ascii="宋体" w:hAnsi="宋体" w:eastAsia="宋体" w:cs="宋体"/>
          <w:b w:val="0"/>
          <w:bCs w:val="0"/>
          <w:color w:val="auto"/>
          <w:highlight w:val="none"/>
          <w:u w:val="none"/>
        </w:rPr>
        <w:t>6</w:t>
      </w:r>
      <w:r>
        <w:rPr>
          <w:rFonts w:hint="eastAsia" w:ascii="宋体" w:hAnsi="宋体" w:eastAsia="宋体" w:cs="宋体"/>
          <w:b w:val="0"/>
          <w:bCs w:val="0"/>
          <w:color w:val="auto"/>
          <w:highlight w:val="none"/>
          <w:u w:val="none"/>
        </w:rPr>
        <w:fldChar w:fldCharType="end"/>
      </w:r>
      <w:r>
        <w:rPr>
          <w:rFonts w:hint="eastAsia" w:ascii="宋体" w:hAnsi="宋体" w:eastAsia="宋体" w:cs="宋体"/>
          <w:b w:val="0"/>
          <w:bCs w:val="0"/>
          <w:caps w:val="0"/>
          <w:color w:val="auto"/>
          <w:szCs w:val="28"/>
          <w:highlight w:val="none"/>
          <w:u w:val="none"/>
        </w:rPr>
        <w:fldChar w:fldCharType="end"/>
      </w:r>
    </w:p>
    <w:p w14:paraId="338C92AD">
      <w:pPr>
        <w:pStyle w:val="25"/>
        <w:tabs>
          <w:tab w:val="right" w:leader="dot" w:pos="9638"/>
        </w:tabs>
        <w:spacing w:before="0" w:after="0" w:line="400" w:lineRule="exact"/>
        <w:rPr>
          <w:rFonts w:hint="eastAsia" w:ascii="宋体" w:hAnsi="宋体" w:eastAsia="宋体" w:cs="宋体"/>
          <w:b w:val="0"/>
          <w:bCs w:val="0"/>
          <w:color w:val="auto"/>
          <w:highlight w:val="none"/>
          <w:u w:val="none"/>
        </w:rPr>
      </w:pPr>
      <w:r>
        <w:rPr>
          <w:rFonts w:hint="eastAsia" w:ascii="宋体" w:hAnsi="宋体" w:eastAsia="宋体" w:cs="宋体"/>
          <w:b w:val="0"/>
          <w:bCs w:val="0"/>
          <w:caps w:val="0"/>
          <w:color w:val="auto"/>
          <w:szCs w:val="28"/>
          <w:highlight w:val="none"/>
          <w:u w:val="none"/>
        </w:rPr>
        <w:fldChar w:fldCharType="begin"/>
      </w:r>
      <w:r>
        <w:rPr>
          <w:rFonts w:hint="eastAsia" w:ascii="宋体" w:hAnsi="宋体" w:eastAsia="宋体" w:cs="宋体"/>
          <w:b w:val="0"/>
          <w:bCs w:val="0"/>
          <w:caps w:val="0"/>
          <w:color w:val="auto"/>
          <w:szCs w:val="28"/>
          <w:highlight w:val="none"/>
          <w:u w:val="none"/>
        </w:rPr>
        <w:instrText xml:space="preserve"> HYPERLINK \l _Toc8449 </w:instrText>
      </w:r>
      <w:r>
        <w:rPr>
          <w:rFonts w:hint="eastAsia" w:ascii="宋体" w:hAnsi="宋体" w:eastAsia="宋体" w:cs="宋体"/>
          <w:b w:val="0"/>
          <w:bCs w:val="0"/>
          <w:caps w:val="0"/>
          <w:color w:val="auto"/>
          <w:szCs w:val="28"/>
          <w:highlight w:val="none"/>
          <w:u w:val="none"/>
        </w:rPr>
        <w:fldChar w:fldCharType="separate"/>
      </w:r>
      <w:r>
        <w:rPr>
          <w:rFonts w:hint="eastAsia" w:ascii="宋体" w:hAnsi="宋体" w:eastAsia="宋体" w:cs="宋体"/>
          <w:b w:val="0"/>
          <w:bCs w:val="0"/>
          <w:color w:val="auto"/>
          <w:highlight w:val="none"/>
          <w:u w:val="none"/>
        </w:rPr>
        <w:t>第三章投标人须知</w:t>
      </w:r>
      <w:r>
        <w:rPr>
          <w:rFonts w:hint="eastAsia" w:ascii="宋体" w:hAnsi="宋体" w:eastAsia="宋体" w:cs="宋体"/>
          <w:b w:val="0"/>
          <w:bCs w:val="0"/>
          <w:color w:val="auto"/>
          <w:highlight w:val="none"/>
          <w:u w:val="none"/>
        </w:rPr>
        <w:tab/>
      </w:r>
      <w:r>
        <w:rPr>
          <w:rFonts w:hint="eastAsia" w:ascii="宋体" w:hAnsi="宋体" w:eastAsia="宋体" w:cs="宋体"/>
          <w:b w:val="0"/>
          <w:bCs w:val="0"/>
          <w:color w:val="auto"/>
          <w:highlight w:val="none"/>
          <w:u w:val="none"/>
        </w:rPr>
        <w:fldChar w:fldCharType="begin"/>
      </w:r>
      <w:r>
        <w:rPr>
          <w:rFonts w:hint="eastAsia" w:ascii="宋体" w:hAnsi="宋体" w:eastAsia="宋体" w:cs="宋体"/>
          <w:b w:val="0"/>
          <w:bCs w:val="0"/>
          <w:color w:val="auto"/>
          <w:highlight w:val="none"/>
          <w:u w:val="none"/>
        </w:rPr>
        <w:instrText xml:space="preserve"> PAGEREF _Toc8449 \h </w:instrText>
      </w:r>
      <w:r>
        <w:rPr>
          <w:rFonts w:hint="eastAsia" w:ascii="宋体" w:hAnsi="宋体" w:eastAsia="宋体" w:cs="宋体"/>
          <w:b w:val="0"/>
          <w:bCs w:val="0"/>
          <w:color w:val="auto"/>
          <w:highlight w:val="none"/>
          <w:u w:val="none"/>
        </w:rPr>
        <w:fldChar w:fldCharType="separate"/>
      </w:r>
      <w:r>
        <w:rPr>
          <w:rFonts w:hint="eastAsia" w:ascii="宋体" w:hAnsi="宋体" w:eastAsia="宋体" w:cs="宋体"/>
          <w:b w:val="0"/>
          <w:bCs w:val="0"/>
          <w:color w:val="auto"/>
          <w:highlight w:val="none"/>
          <w:u w:val="none"/>
        </w:rPr>
        <w:t>25</w:t>
      </w:r>
      <w:r>
        <w:rPr>
          <w:rFonts w:hint="eastAsia" w:ascii="宋体" w:hAnsi="宋体" w:eastAsia="宋体" w:cs="宋体"/>
          <w:b w:val="0"/>
          <w:bCs w:val="0"/>
          <w:color w:val="auto"/>
          <w:highlight w:val="none"/>
          <w:u w:val="none"/>
        </w:rPr>
        <w:fldChar w:fldCharType="end"/>
      </w:r>
      <w:r>
        <w:rPr>
          <w:rFonts w:hint="eastAsia" w:ascii="宋体" w:hAnsi="宋体" w:eastAsia="宋体" w:cs="宋体"/>
          <w:b w:val="0"/>
          <w:bCs w:val="0"/>
          <w:caps w:val="0"/>
          <w:color w:val="auto"/>
          <w:szCs w:val="28"/>
          <w:highlight w:val="none"/>
          <w:u w:val="none"/>
        </w:rPr>
        <w:fldChar w:fldCharType="end"/>
      </w:r>
    </w:p>
    <w:p w14:paraId="04C0CB1D">
      <w:pPr>
        <w:pStyle w:val="29"/>
        <w:tabs>
          <w:tab w:val="right" w:leader="dot" w:pos="9638"/>
        </w:tabs>
        <w:spacing w:line="400" w:lineRule="exact"/>
        <w:rPr>
          <w:rFonts w:hint="eastAsia" w:ascii="宋体" w:hAnsi="宋体" w:eastAsia="宋体" w:cs="宋体"/>
          <w:b w:val="0"/>
          <w:bCs w:val="0"/>
          <w:color w:val="auto"/>
          <w:highlight w:val="none"/>
          <w:u w:val="none"/>
        </w:rPr>
      </w:pPr>
      <w:r>
        <w:rPr>
          <w:rFonts w:hint="eastAsia" w:ascii="宋体" w:hAnsi="宋体" w:eastAsia="宋体" w:cs="宋体"/>
          <w:b w:val="0"/>
          <w:bCs w:val="0"/>
          <w:caps/>
          <w:color w:val="auto"/>
          <w:szCs w:val="28"/>
          <w:highlight w:val="none"/>
          <w:u w:val="none"/>
        </w:rPr>
        <w:fldChar w:fldCharType="begin"/>
      </w:r>
      <w:r>
        <w:rPr>
          <w:rFonts w:hint="eastAsia" w:ascii="宋体" w:hAnsi="宋体" w:eastAsia="宋体" w:cs="宋体"/>
          <w:b w:val="0"/>
          <w:bCs w:val="0"/>
          <w:caps/>
          <w:color w:val="auto"/>
          <w:szCs w:val="28"/>
          <w:highlight w:val="none"/>
          <w:u w:val="none"/>
        </w:rPr>
        <w:instrText xml:space="preserve"> HYPERLINK \l _Toc31173 </w:instrText>
      </w:r>
      <w:r>
        <w:rPr>
          <w:rFonts w:hint="eastAsia" w:ascii="宋体" w:hAnsi="宋体" w:eastAsia="宋体" w:cs="宋体"/>
          <w:b w:val="0"/>
          <w:bCs w:val="0"/>
          <w:caps/>
          <w:color w:val="auto"/>
          <w:szCs w:val="28"/>
          <w:highlight w:val="none"/>
          <w:u w:val="none"/>
        </w:rPr>
        <w:fldChar w:fldCharType="separate"/>
      </w:r>
      <w:r>
        <w:rPr>
          <w:rFonts w:hint="eastAsia" w:ascii="宋体" w:hAnsi="宋体" w:eastAsia="宋体" w:cs="宋体"/>
          <w:b w:val="0"/>
          <w:bCs w:val="0"/>
          <w:color w:val="auto"/>
          <w:szCs w:val="30"/>
          <w:highlight w:val="none"/>
          <w:u w:val="none"/>
        </w:rPr>
        <w:t>第一节投标人须知前附表</w:t>
      </w:r>
      <w:r>
        <w:rPr>
          <w:rFonts w:hint="eastAsia" w:ascii="宋体" w:hAnsi="宋体" w:eastAsia="宋体" w:cs="宋体"/>
          <w:b w:val="0"/>
          <w:bCs w:val="0"/>
          <w:color w:val="auto"/>
          <w:highlight w:val="none"/>
          <w:u w:val="none"/>
        </w:rPr>
        <w:tab/>
      </w:r>
      <w:r>
        <w:rPr>
          <w:rFonts w:hint="eastAsia" w:ascii="宋体" w:hAnsi="宋体" w:eastAsia="宋体" w:cs="宋体"/>
          <w:b w:val="0"/>
          <w:bCs w:val="0"/>
          <w:color w:val="auto"/>
          <w:highlight w:val="none"/>
          <w:u w:val="none"/>
        </w:rPr>
        <w:fldChar w:fldCharType="begin"/>
      </w:r>
      <w:r>
        <w:rPr>
          <w:rFonts w:hint="eastAsia" w:ascii="宋体" w:hAnsi="宋体" w:eastAsia="宋体" w:cs="宋体"/>
          <w:b w:val="0"/>
          <w:bCs w:val="0"/>
          <w:color w:val="auto"/>
          <w:highlight w:val="none"/>
          <w:u w:val="none"/>
        </w:rPr>
        <w:instrText xml:space="preserve"> PAGEREF _Toc31173 \h </w:instrText>
      </w:r>
      <w:r>
        <w:rPr>
          <w:rFonts w:hint="eastAsia" w:ascii="宋体" w:hAnsi="宋体" w:eastAsia="宋体" w:cs="宋体"/>
          <w:b w:val="0"/>
          <w:bCs w:val="0"/>
          <w:color w:val="auto"/>
          <w:highlight w:val="none"/>
          <w:u w:val="none"/>
        </w:rPr>
        <w:fldChar w:fldCharType="separate"/>
      </w:r>
      <w:r>
        <w:rPr>
          <w:rFonts w:hint="eastAsia" w:ascii="宋体" w:hAnsi="宋体" w:eastAsia="宋体" w:cs="宋体"/>
          <w:b w:val="0"/>
          <w:bCs w:val="0"/>
          <w:color w:val="auto"/>
          <w:highlight w:val="none"/>
          <w:u w:val="none"/>
        </w:rPr>
        <w:t>25</w:t>
      </w:r>
      <w:r>
        <w:rPr>
          <w:rFonts w:hint="eastAsia" w:ascii="宋体" w:hAnsi="宋体" w:eastAsia="宋体" w:cs="宋体"/>
          <w:b w:val="0"/>
          <w:bCs w:val="0"/>
          <w:color w:val="auto"/>
          <w:highlight w:val="none"/>
          <w:u w:val="none"/>
        </w:rPr>
        <w:fldChar w:fldCharType="end"/>
      </w:r>
      <w:r>
        <w:rPr>
          <w:rFonts w:hint="eastAsia" w:ascii="宋体" w:hAnsi="宋体" w:eastAsia="宋体" w:cs="宋体"/>
          <w:b w:val="0"/>
          <w:bCs w:val="0"/>
          <w:caps/>
          <w:color w:val="auto"/>
          <w:szCs w:val="28"/>
          <w:highlight w:val="none"/>
          <w:u w:val="none"/>
        </w:rPr>
        <w:fldChar w:fldCharType="end"/>
      </w:r>
    </w:p>
    <w:p w14:paraId="4D6E722A">
      <w:pPr>
        <w:pStyle w:val="29"/>
        <w:tabs>
          <w:tab w:val="right" w:leader="dot" w:pos="9638"/>
        </w:tabs>
        <w:spacing w:line="400" w:lineRule="exact"/>
        <w:rPr>
          <w:rFonts w:hint="eastAsia" w:ascii="宋体" w:hAnsi="宋体" w:eastAsia="宋体" w:cs="宋体"/>
          <w:b w:val="0"/>
          <w:bCs w:val="0"/>
          <w:color w:val="auto"/>
          <w:highlight w:val="none"/>
          <w:u w:val="none"/>
        </w:rPr>
      </w:pPr>
      <w:r>
        <w:rPr>
          <w:rFonts w:hint="eastAsia" w:ascii="宋体" w:hAnsi="宋体" w:eastAsia="宋体" w:cs="宋体"/>
          <w:b w:val="0"/>
          <w:bCs w:val="0"/>
          <w:caps/>
          <w:color w:val="auto"/>
          <w:szCs w:val="28"/>
          <w:highlight w:val="none"/>
          <w:u w:val="none"/>
        </w:rPr>
        <w:fldChar w:fldCharType="begin"/>
      </w:r>
      <w:r>
        <w:rPr>
          <w:rFonts w:hint="eastAsia" w:ascii="宋体" w:hAnsi="宋体" w:eastAsia="宋体" w:cs="宋体"/>
          <w:b w:val="0"/>
          <w:bCs w:val="0"/>
          <w:caps/>
          <w:color w:val="auto"/>
          <w:szCs w:val="28"/>
          <w:highlight w:val="none"/>
          <w:u w:val="none"/>
        </w:rPr>
        <w:instrText xml:space="preserve"> HYPERLINK \l _Toc25109 </w:instrText>
      </w:r>
      <w:r>
        <w:rPr>
          <w:rFonts w:hint="eastAsia" w:ascii="宋体" w:hAnsi="宋体" w:eastAsia="宋体" w:cs="宋体"/>
          <w:b w:val="0"/>
          <w:bCs w:val="0"/>
          <w:caps/>
          <w:color w:val="auto"/>
          <w:szCs w:val="28"/>
          <w:highlight w:val="none"/>
          <w:u w:val="none"/>
        </w:rPr>
        <w:fldChar w:fldCharType="separate"/>
      </w:r>
      <w:r>
        <w:rPr>
          <w:rFonts w:hint="eastAsia" w:ascii="宋体" w:hAnsi="宋体" w:eastAsia="宋体" w:cs="宋体"/>
          <w:b w:val="0"/>
          <w:bCs w:val="0"/>
          <w:color w:val="auto"/>
          <w:highlight w:val="none"/>
          <w:u w:val="none"/>
        </w:rPr>
        <w:t>第二节投标人须知正文</w:t>
      </w:r>
      <w:r>
        <w:rPr>
          <w:rFonts w:hint="eastAsia" w:ascii="宋体" w:hAnsi="宋体" w:eastAsia="宋体" w:cs="宋体"/>
          <w:b w:val="0"/>
          <w:bCs w:val="0"/>
          <w:color w:val="auto"/>
          <w:highlight w:val="none"/>
          <w:u w:val="none"/>
        </w:rPr>
        <w:tab/>
      </w:r>
      <w:r>
        <w:rPr>
          <w:rFonts w:hint="eastAsia" w:ascii="宋体" w:hAnsi="宋体" w:eastAsia="宋体" w:cs="宋体"/>
          <w:b w:val="0"/>
          <w:bCs w:val="0"/>
          <w:color w:val="auto"/>
          <w:highlight w:val="none"/>
          <w:u w:val="none"/>
        </w:rPr>
        <w:fldChar w:fldCharType="begin"/>
      </w:r>
      <w:r>
        <w:rPr>
          <w:rFonts w:hint="eastAsia" w:ascii="宋体" w:hAnsi="宋体" w:eastAsia="宋体" w:cs="宋体"/>
          <w:b w:val="0"/>
          <w:bCs w:val="0"/>
          <w:color w:val="auto"/>
          <w:highlight w:val="none"/>
          <w:u w:val="none"/>
        </w:rPr>
        <w:instrText xml:space="preserve"> PAGEREF _Toc25109 \h </w:instrText>
      </w:r>
      <w:r>
        <w:rPr>
          <w:rFonts w:hint="eastAsia" w:ascii="宋体" w:hAnsi="宋体" w:eastAsia="宋体" w:cs="宋体"/>
          <w:b w:val="0"/>
          <w:bCs w:val="0"/>
          <w:color w:val="auto"/>
          <w:highlight w:val="none"/>
          <w:u w:val="none"/>
        </w:rPr>
        <w:fldChar w:fldCharType="separate"/>
      </w:r>
      <w:r>
        <w:rPr>
          <w:rFonts w:hint="eastAsia" w:ascii="宋体" w:hAnsi="宋体" w:eastAsia="宋体" w:cs="宋体"/>
          <w:b w:val="0"/>
          <w:bCs w:val="0"/>
          <w:color w:val="auto"/>
          <w:highlight w:val="none"/>
          <w:u w:val="none"/>
        </w:rPr>
        <w:t>30</w:t>
      </w:r>
      <w:r>
        <w:rPr>
          <w:rFonts w:hint="eastAsia" w:ascii="宋体" w:hAnsi="宋体" w:eastAsia="宋体" w:cs="宋体"/>
          <w:b w:val="0"/>
          <w:bCs w:val="0"/>
          <w:color w:val="auto"/>
          <w:highlight w:val="none"/>
          <w:u w:val="none"/>
        </w:rPr>
        <w:fldChar w:fldCharType="end"/>
      </w:r>
      <w:r>
        <w:rPr>
          <w:rFonts w:hint="eastAsia" w:ascii="宋体" w:hAnsi="宋体" w:eastAsia="宋体" w:cs="宋体"/>
          <w:b w:val="0"/>
          <w:bCs w:val="0"/>
          <w:caps/>
          <w:color w:val="auto"/>
          <w:szCs w:val="28"/>
          <w:highlight w:val="none"/>
          <w:u w:val="none"/>
        </w:rPr>
        <w:fldChar w:fldCharType="end"/>
      </w:r>
    </w:p>
    <w:p w14:paraId="5E15C18B">
      <w:pPr>
        <w:pStyle w:val="17"/>
        <w:tabs>
          <w:tab w:val="right" w:leader="dot" w:pos="9638"/>
        </w:tabs>
        <w:spacing w:line="400" w:lineRule="exact"/>
        <w:rPr>
          <w:rFonts w:hint="eastAsia" w:ascii="宋体" w:hAnsi="宋体" w:eastAsia="宋体" w:cs="宋体"/>
          <w:b w:val="0"/>
          <w:bCs w:val="0"/>
          <w:color w:val="auto"/>
          <w:highlight w:val="none"/>
          <w:u w:val="none"/>
        </w:rPr>
      </w:pPr>
      <w:r>
        <w:rPr>
          <w:rFonts w:hint="eastAsia" w:ascii="宋体" w:hAnsi="宋体" w:eastAsia="宋体" w:cs="宋体"/>
          <w:b w:val="0"/>
          <w:bCs w:val="0"/>
          <w:caps/>
          <w:color w:val="auto"/>
          <w:szCs w:val="28"/>
          <w:highlight w:val="none"/>
          <w:u w:val="none"/>
        </w:rPr>
        <w:fldChar w:fldCharType="begin"/>
      </w:r>
      <w:r>
        <w:rPr>
          <w:rFonts w:hint="eastAsia" w:ascii="宋体" w:hAnsi="宋体" w:eastAsia="宋体" w:cs="宋体"/>
          <w:b w:val="0"/>
          <w:bCs w:val="0"/>
          <w:caps/>
          <w:color w:val="auto"/>
          <w:szCs w:val="28"/>
          <w:highlight w:val="none"/>
          <w:u w:val="none"/>
        </w:rPr>
        <w:instrText xml:space="preserve"> HYPERLINK \l _Toc24766 </w:instrText>
      </w:r>
      <w:r>
        <w:rPr>
          <w:rFonts w:hint="eastAsia" w:ascii="宋体" w:hAnsi="宋体" w:eastAsia="宋体" w:cs="宋体"/>
          <w:b w:val="0"/>
          <w:bCs w:val="0"/>
          <w:caps/>
          <w:color w:val="auto"/>
          <w:szCs w:val="28"/>
          <w:highlight w:val="none"/>
          <w:u w:val="none"/>
        </w:rPr>
        <w:fldChar w:fldCharType="separate"/>
      </w:r>
      <w:r>
        <w:rPr>
          <w:rFonts w:hint="eastAsia" w:ascii="宋体" w:hAnsi="宋体" w:eastAsia="宋体" w:cs="宋体"/>
          <w:b w:val="0"/>
          <w:bCs w:val="0"/>
          <w:color w:val="auto"/>
          <w:highlight w:val="none"/>
          <w:u w:val="none"/>
        </w:rPr>
        <w:t>一、总则</w:t>
      </w:r>
      <w:r>
        <w:rPr>
          <w:rFonts w:hint="eastAsia" w:ascii="宋体" w:hAnsi="宋体" w:eastAsia="宋体" w:cs="宋体"/>
          <w:b w:val="0"/>
          <w:bCs w:val="0"/>
          <w:color w:val="auto"/>
          <w:highlight w:val="none"/>
          <w:u w:val="none"/>
        </w:rPr>
        <w:tab/>
      </w:r>
      <w:r>
        <w:rPr>
          <w:rFonts w:hint="eastAsia" w:ascii="宋体" w:hAnsi="宋体" w:eastAsia="宋体" w:cs="宋体"/>
          <w:b w:val="0"/>
          <w:bCs w:val="0"/>
          <w:color w:val="auto"/>
          <w:highlight w:val="none"/>
          <w:u w:val="none"/>
        </w:rPr>
        <w:fldChar w:fldCharType="begin"/>
      </w:r>
      <w:r>
        <w:rPr>
          <w:rFonts w:hint="eastAsia" w:ascii="宋体" w:hAnsi="宋体" w:eastAsia="宋体" w:cs="宋体"/>
          <w:b w:val="0"/>
          <w:bCs w:val="0"/>
          <w:color w:val="auto"/>
          <w:highlight w:val="none"/>
          <w:u w:val="none"/>
        </w:rPr>
        <w:instrText xml:space="preserve"> PAGEREF _Toc24766 \h </w:instrText>
      </w:r>
      <w:r>
        <w:rPr>
          <w:rFonts w:hint="eastAsia" w:ascii="宋体" w:hAnsi="宋体" w:eastAsia="宋体" w:cs="宋体"/>
          <w:b w:val="0"/>
          <w:bCs w:val="0"/>
          <w:color w:val="auto"/>
          <w:highlight w:val="none"/>
          <w:u w:val="none"/>
        </w:rPr>
        <w:fldChar w:fldCharType="separate"/>
      </w:r>
      <w:r>
        <w:rPr>
          <w:rFonts w:hint="eastAsia" w:ascii="宋体" w:hAnsi="宋体" w:eastAsia="宋体" w:cs="宋体"/>
          <w:b w:val="0"/>
          <w:bCs w:val="0"/>
          <w:color w:val="auto"/>
          <w:highlight w:val="none"/>
          <w:u w:val="none"/>
        </w:rPr>
        <w:t>30</w:t>
      </w:r>
      <w:r>
        <w:rPr>
          <w:rFonts w:hint="eastAsia" w:ascii="宋体" w:hAnsi="宋体" w:eastAsia="宋体" w:cs="宋体"/>
          <w:b w:val="0"/>
          <w:bCs w:val="0"/>
          <w:color w:val="auto"/>
          <w:highlight w:val="none"/>
          <w:u w:val="none"/>
        </w:rPr>
        <w:fldChar w:fldCharType="end"/>
      </w:r>
      <w:r>
        <w:rPr>
          <w:rFonts w:hint="eastAsia" w:ascii="宋体" w:hAnsi="宋体" w:eastAsia="宋体" w:cs="宋体"/>
          <w:b w:val="0"/>
          <w:bCs w:val="0"/>
          <w:caps/>
          <w:color w:val="auto"/>
          <w:szCs w:val="28"/>
          <w:highlight w:val="none"/>
          <w:u w:val="none"/>
        </w:rPr>
        <w:fldChar w:fldCharType="end"/>
      </w:r>
    </w:p>
    <w:p w14:paraId="4DE50608">
      <w:pPr>
        <w:pStyle w:val="17"/>
        <w:tabs>
          <w:tab w:val="right" w:leader="dot" w:pos="9638"/>
        </w:tabs>
        <w:spacing w:line="400" w:lineRule="exact"/>
        <w:rPr>
          <w:rFonts w:hint="eastAsia" w:ascii="宋体" w:hAnsi="宋体" w:eastAsia="宋体" w:cs="宋体"/>
          <w:b w:val="0"/>
          <w:bCs w:val="0"/>
          <w:color w:val="auto"/>
          <w:highlight w:val="none"/>
          <w:u w:val="none"/>
        </w:rPr>
      </w:pPr>
      <w:r>
        <w:rPr>
          <w:rFonts w:hint="eastAsia" w:ascii="宋体" w:hAnsi="宋体" w:eastAsia="宋体" w:cs="宋体"/>
          <w:b w:val="0"/>
          <w:bCs w:val="0"/>
          <w:caps/>
          <w:color w:val="auto"/>
          <w:szCs w:val="28"/>
          <w:highlight w:val="none"/>
          <w:u w:val="none"/>
        </w:rPr>
        <w:fldChar w:fldCharType="begin"/>
      </w:r>
      <w:r>
        <w:rPr>
          <w:rFonts w:hint="eastAsia" w:ascii="宋体" w:hAnsi="宋体" w:eastAsia="宋体" w:cs="宋体"/>
          <w:b w:val="0"/>
          <w:bCs w:val="0"/>
          <w:caps/>
          <w:color w:val="auto"/>
          <w:szCs w:val="28"/>
          <w:highlight w:val="none"/>
          <w:u w:val="none"/>
        </w:rPr>
        <w:instrText xml:space="preserve"> HYPERLINK \l _Toc20392 </w:instrText>
      </w:r>
      <w:r>
        <w:rPr>
          <w:rFonts w:hint="eastAsia" w:ascii="宋体" w:hAnsi="宋体" w:eastAsia="宋体" w:cs="宋体"/>
          <w:b w:val="0"/>
          <w:bCs w:val="0"/>
          <w:caps/>
          <w:color w:val="auto"/>
          <w:szCs w:val="28"/>
          <w:highlight w:val="none"/>
          <w:u w:val="none"/>
        </w:rPr>
        <w:fldChar w:fldCharType="separate"/>
      </w:r>
      <w:r>
        <w:rPr>
          <w:rFonts w:hint="eastAsia" w:ascii="宋体" w:hAnsi="宋体" w:eastAsia="宋体" w:cs="宋体"/>
          <w:b w:val="0"/>
          <w:bCs w:val="0"/>
          <w:color w:val="auto"/>
          <w:highlight w:val="none"/>
          <w:u w:val="none"/>
        </w:rPr>
        <w:t>二、招标文件</w:t>
      </w:r>
      <w:r>
        <w:rPr>
          <w:rFonts w:hint="eastAsia" w:ascii="宋体" w:hAnsi="宋体" w:eastAsia="宋体" w:cs="宋体"/>
          <w:b w:val="0"/>
          <w:bCs w:val="0"/>
          <w:color w:val="auto"/>
          <w:highlight w:val="none"/>
          <w:u w:val="none"/>
        </w:rPr>
        <w:tab/>
      </w:r>
      <w:r>
        <w:rPr>
          <w:rFonts w:hint="eastAsia" w:ascii="宋体" w:hAnsi="宋体" w:eastAsia="宋体" w:cs="宋体"/>
          <w:b w:val="0"/>
          <w:bCs w:val="0"/>
          <w:color w:val="auto"/>
          <w:highlight w:val="none"/>
          <w:u w:val="none"/>
        </w:rPr>
        <w:fldChar w:fldCharType="begin"/>
      </w:r>
      <w:r>
        <w:rPr>
          <w:rFonts w:hint="eastAsia" w:ascii="宋体" w:hAnsi="宋体" w:eastAsia="宋体" w:cs="宋体"/>
          <w:b w:val="0"/>
          <w:bCs w:val="0"/>
          <w:color w:val="auto"/>
          <w:highlight w:val="none"/>
          <w:u w:val="none"/>
        </w:rPr>
        <w:instrText xml:space="preserve"> PAGEREF _Toc20392 \h </w:instrText>
      </w:r>
      <w:r>
        <w:rPr>
          <w:rFonts w:hint="eastAsia" w:ascii="宋体" w:hAnsi="宋体" w:eastAsia="宋体" w:cs="宋体"/>
          <w:b w:val="0"/>
          <w:bCs w:val="0"/>
          <w:color w:val="auto"/>
          <w:highlight w:val="none"/>
          <w:u w:val="none"/>
        </w:rPr>
        <w:fldChar w:fldCharType="separate"/>
      </w:r>
      <w:r>
        <w:rPr>
          <w:rFonts w:hint="eastAsia" w:ascii="宋体" w:hAnsi="宋体" w:eastAsia="宋体" w:cs="宋体"/>
          <w:b w:val="0"/>
          <w:bCs w:val="0"/>
          <w:color w:val="auto"/>
          <w:highlight w:val="none"/>
          <w:u w:val="none"/>
        </w:rPr>
        <w:t>33</w:t>
      </w:r>
      <w:r>
        <w:rPr>
          <w:rFonts w:hint="eastAsia" w:ascii="宋体" w:hAnsi="宋体" w:eastAsia="宋体" w:cs="宋体"/>
          <w:b w:val="0"/>
          <w:bCs w:val="0"/>
          <w:color w:val="auto"/>
          <w:highlight w:val="none"/>
          <w:u w:val="none"/>
        </w:rPr>
        <w:fldChar w:fldCharType="end"/>
      </w:r>
      <w:r>
        <w:rPr>
          <w:rFonts w:hint="eastAsia" w:ascii="宋体" w:hAnsi="宋体" w:eastAsia="宋体" w:cs="宋体"/>
          <w:b w:val="0"/>
          <w:bCs w:val="0"/>
          <w:caps/>
          <w:color w:val="auto"/>
          <w:szCs w:val="28"/>
          <w:highlight w:val="none"/>
          <w:u w:val="none"/>
        </w:rPr>
        <w:fldChar w:fldCharType="end"/>
      </w:r>
    </w:p>
    <w:p w14:paraId="57C201EE">
      <w:pPr>
        <w:pStyle w:val="17"/>
        <w:tabs>
          <w:tab w:val="right" w:leader="dot" w:pos="9638"/>
        </w:tabs>
        <w:spacing w:line="400" w:lineRule="exact"/>
        <w:rPr>
          <w:rFonts w:hint="eastAsia" w:ascii="宋体" w:hAnsi="宋体" w:eastAsia="宋体" w:cs="宋体"/>
          <w:b w:val="0"/>
          <w:bCs w:val="0"/>
          <w:color w:val="auto"/>
          <w:highlight w:val="none"/>
          <w:u w:val="none"/>
        </w:rPr>
      </w:pPr>
      <w:r>
        <w:rPr>
          <w:rFonts w:hint="eastAsia" w:ascii="宋体" w:hAnsi="宋体" w:eastAsia="宋体" w:cs="宋体"/>
          <w:b w:val="0"/>
          <w:bCs w:val="0"/>
          <w:caps/>
          <w:color w:val="auto"/>
          <w:szCs w:val="28"/>
          <w:highlight w:val="none"/>
          <w:u w:val="none"/>
        </w:rPr>
        <w:fldChar w:fldCharType="begin"/>
      </w:r>
      <w:r>
        <w:rPr>
          <w:rFonts w:hint="eastAsia" w:ascii="宋体" w:hAnsi="宋体" w:eastAsia="宋体" w:cs="宋体"/>
          <w:b w:val="0"/>
          <w:bCs w:val="0"/>
          <w:caps/>
          <w:color w:val="auto"/>
          <w:szCs w:val="28"/>
          <w:highlight w:val="none"/>
          <w:u w:val="none"/>
        </w:rPr>
        <w:instrText xml:space="preserve"> HYPERLINK \l _Toc19751 </w:instrText>
      </w:r>
      <w:r>
        <w:rPr>
          <w:rFonts w:hint="eastAsia" w:ascii="宋体" w:hAnsi="宋体" w:eastAsia="宋体" w:cs="宋体"/>
          <w:b w:val="0"/>
          <w:bCs w:val="0"/>
          <w:caps/>
          <w:color w:val="auto"/>
          <w:szCs w:val="28"/>
          <w:highlight w:val="none"/>
          <w:u w:val="none"/>
        </w:rPr>
        <w:fldChar w:fldCharType="separate"/>
      </w:r>
      <w:r>
        <w:rPr>
          <w:rFonts w:hint="eastAsia" w:ascii="宋体" w:hAnsi="宋体" w:eastAsia="宋体" w:cs="宋体"/>
          <w:b w:val="0"/>
          <w:bCs w:val="0"/>
          <w:color w:val="auto"/>
          <w:highlight w:val="none"/>
          <w:u w:val="none"/>
        </w:rPr>
        <w:t>三、投标文件的编制</w:t>
      </w:r>
      <w:r>
        <w:rPr>
          <w:rFonts w:hint="eastAsia" w:ascii="宋体" w:hAnsi="宋体" w:eastAsia="宋体" w:cs="宋体"/>
          <w:b w:val="0"/>
          <w:bCs w:val="0"/>
          <w:color w:val="auto"/>
          <w:highlight w:val="none"/>
          <w:u w:val="none"/>
        </w:rPr>
        <w:tab/>
      </w:r>
      <w:r>
        <w:rPr>
          <w:rFonts w:hint="eastAsia" w:ascii="宋体" w:hAnsi="宋体" w:eastAsia="宋体" w:cs="宋体"/>
          <w:b w:val="0"/>
          <w:bCs w:val="0"/>
          <w:color w:val="auto"/>
          <w:highlight w:val="none"/>
          <w:u w:val="none"/>
        </w:rPr>
        <w:fldChar w:fldCharType="begin"/>
      </w:r>
      <w:r>
        <w:rPr>
          <w:rFonts w:hint="eastAsia" w:ascii="宋体" w:hAnsi="宋体" w:eastAsia="宋体" w:cs="宋体"/>
          <w:b w:val="0"/>
          <w:bCs w:val="0"/>
          <w:color w:val="auto"/>
          <w:highlight w:val="none"/>
          <w:u w:val="none"/>
        </w:rPr>
        <w:instrText xml:space="preserve"> PAGEREF _Toc19751 \h </w:instrText>
      </w:r>
      <w:r>
        <w:rPr>
          <w:rFonts w:hint="eastAsia" w:ascii="宋体" w:hAnsi="宋体" w:eastAsia="宋体" w:cs="宋体"/>
          <w:b w:val="0"/>
          <w:bCs w:val="0"/>
          <w:color w:val="auto"/>
          <w:highlight w:val="none"/>
          <w:u w:val="none"/>
        </w:rPr>
        <w:fldChar w:fldCharType="separate"/>
      </w:r>
      <w:r>
        <w:rPr>
          <w:rFonts w:hint="eastAsia" w:ascii="宋体" w:hAnsi="宋体" w:eastAsia="宋体" w:cs="宋体"/>
          <w:b w:val="0"/>
          <w:bCs w:val="0"/>
          <w:color w:val="auto"/>
          <w:highlight w:val="none"/>
          <w:u w:val="none"/>
        </w:rPr>
        <w:t>33</w:t>
      </w:r>
      <w:r>
        <w:rPr>
          <w:rFonts w:hint="eastAsia" w:ascii="宋体" w:hAnsi="宋体" w:eastAsia="宋体" w:cs="宋体"/>
          <w:b w:val="0"/>
          <w:bCs w:val="0"/>
          <w:color w:val="auto"/>
          <w:highlight w:val="none"/>
          <w:u w:val="none"/>
        </w:rPr>
        <w:fldChar w:fldCharType="end"/>
      </w:r>
      <w:r>
        <w:rPr>
          <w:rFonts w:hint="eastAsia" w:ascii="宋体" w:hAnsi="宋体" w:eastAsia="宋体" w:cs="宋体"/>
          <w:b w:val="0"/>
          <w:bCs w:val="0"/>
          <w:caps/>
          <w:color w:val="auto"/>
          <w:szCs w:val="28"/>
          <w:highlight w:val="none"/>
          <w:u w:val="none"/>
        </w:rPr>
        <w:fldChar w:fldCharType="end"/>
      </w:r>
    </w:p>
    <w:p w14:paraId="39EF7ADF">
      <w:pPr>
        <w:pStyle w:val="17"/>
        <w:tabs>
          <w:tab w:val="right" w:leader="dot" w:pos="9638"/>
        </w:tabs>
        <w:spacing w:line="400" w:lineRule="exact"/>
        <w:rPr>
          <w:rFonts w:hint="eastAsia" w:ascii="宋体" w:hAnsi="宋体" w:eastAsia="宋体" w:cs="宋体"/>
          <w:b w:val="0"/>
          <w:bCs w:val="0"/>
          <w:color w:val="auto"/>
          <w:highlight w:val="none"/>
          <w:u w:val="none"/>
        </w:rPr>
      </w:pPr>
      <w:r>
        <w:rPr>
          <w:rFonts w:hint="eastAsia" w:ascii="宋体" w:hAnsi="宋体" w:eastAsia="宋体" w:cs="宋体"/>
          <w:b w:val="0"/>
          <w:bCs w:val="0"/>
          <w:caps/>
          <w:color w:val="auto"/>
          <w:szCs w:val="28"/>
          <w:highlight w:val="none"/>
          <w:u w:val="none"/>
        </w:rPr>
        <w:fldChar w:fldCharType="begin"/>
      </w:r>
      <w:r>
        <w:rPr>
          <w:rFonts w:hint="eastAsia" w:ascii="宋体" w:hAnsi="宋体" w:eastAsia="宋体" w:cs="宋体"/>
          <w:b w:val="0"/>
          <w:bCs w:val="0"/>
          <w:caps/>
          <w:color w:val="auto"/>
          <w:szCs w:val="28"/>
          <w:highlight w:val="none"/>
          <w:u w:val="none"/>
        </w:rPr>
        <w:instrText xml:space="preserve"> HYPERLINK \l _Toc5409 </w:instrText>
      </w:r>
      <w:r>
        <w:rPr>
          <w:rFonts w:hint="eastAsia" w:ascii="宋体" w:hAnsi="宋体" w:eastAsia="宋体" w:cs="宋体"/>
          <w:b w:val="0"/>
          <w:bCs w:val="0"/>
          <w:caps/>
          <w:color w:val="auto"/>
          <w:szCs w:val="28"/>
          <w:highlight w:val="none"/>
          <w:u w:val="none"/>
        </w:rPr>
        <w:fldChar w:fldCharType="separate"/>
      </w:r>
      <w:r>
        <w:rPr>
          <w:rFonts w:hint="eastAsia" w:ascii="宋体" w:hAnsi="宋体" w:eastAsia="宋体" w:cs="宋体"/>
          <w:b w:val="0"/>
          <w:bCs w:val="0"/>
          <w:color w:val="auto"/>
          <w:highlight w:val="none"/>
          <w:u w:val="none"/>
        </w:rPr>
        <w:t>四、开标</w:t>
      </w:r>
      <w:r>
        <w:rPr>
          <w:rFonts w:hint="eastAsia" w:ascii="宋体" w:hAnsi="宋体" w:eastAsia="宋体" w:cs="宋体"/>
          <w:b w:val="0"/>
          <w:bCs w:val="0"/>
          <w:color w:val="auto"/>
          <w:highlight w:val="none"/>
          <w:u w:val="none"/>
        </w:rPr>
        <w:tab/>
      </w:r>
      <w:r>
        <w:rPr>
          <w:rFonts w:hint="eastAsia" w:ascii="宋体" w:hAnsi="宋体" w:eastAsia="宋体" w:cs="宋体"/>
          <w:b w:val="0"/>
          <w:bCs w:val="0"/>
          <w:color w:val="auto"/>
          <w:highlight w:val="none"/>
          <w:u w:val="none"/>
        </w:rPr>
        <w:fldChar w:fldCharType="begin"/>
      </w:r>
      <w:r>
        <w:rPr>
          <w:rFonts w:hint="eastAsia" w:ascii="宋体" w:hAnsi="宋体" w:eastAsia="宋体" w:cs="宋体"/>
          <w:b w:val="0"/>
          <w:bCs w:val="0"/>
          <w:color w:val="auto"/>
          <w:highlight w:val="none"/>
          <w:u w:val="none"/>
        </w:rPr>
        <w:instrText xml:space="preserve"> PAGEREF _Toc5409 \h </w:instrText>
      </w:r>
      <w:r>
        <w:rPr>
          <w:rFonts w:hint="eastAsia" w:ascii="宋体" w:hAnsi="宋体" w:eastAsia="宋体" w:cs="宋体"/>
          <w:b w:val="0"/>
          <w:bCs w:val="0"/>
          <w:color w:val="auto"/>
          <w:highlight w:val="none"/>
          <w:u w:val="none"/>
        </w:rPr>
        <w:fldChar w:fldCharType="separate"/>
      </w:r>
      <w:r>
        <w:rPr>
          <w:rFonts w:hint="eastAsia" w:ascii="宋体" w:hAnsi="宋体" w:eastAsia="宋体" w:cs="宋体"/>
          <w:b w:val="0"/>
          <w:bCs w:val="0"/>
          <w:color w:val="auto"/>
          <w:highlight w:val="none"/>
          <w:u w:val="none"/>
        </w:rPr>
        <w:t>36</w:t>
      </w:r>
      <w:r>
        <w:rPr>
          <w:rFonts w:hint="eastAsia" w:ascii="宋体" w:hAnsi="宋体" w:eastAsia="宋体" w:cs="宋体"/>
          <w:b w:val="0"/>
          <w:bCs w:val="0"/>
          <w:color w:val="auto"/>
          <w:highlight w:val="none"/>
          <w:u w:val="none"/>
        </w:rPr>
        <w:fldChar w:fldCharType="end"/>
      </w:r>
      <w:r>
        <w:rPr>
          <w:rFonts w:hint="eastAsia" w:ascii="宋体" w:hAnsi="宋体" w:eastAsia="宋体" w:cs="宋体"/>
          <w:b w:val="0"/>
          <w:bCs w:val="0"/>
          <w:caps/>
          <w:color w:val="auto"/>
          <w:szCs w:val="28"/>
          <w:highlight w:val="none"/>
          <w:u w:val="none"/>
        </w:rPr>
        <w:fldChar w:fldCharType="end"/>
      </w:r>
    </w:p>
    <w:p w14:paraId="2399F979">
      <w:pPr>
        <w:pStyle w:val="17"/>
        <w:tabs>
          <w:tab w:val="right" w:leader="dot" w:pos="9638"/>
        </w:tabs>
        <w:spacing w:line="400" w:lineRule="exact"/>
        <w:rPr>
          <w:rFonts w:hint="eastAsia" w:ascii="宋体" w:hAnsi="宋体" w:eastAsia="宋体" w:cs="宋体"/>
          <w:b w:val="0"/>
          <w:bCs w:val="0"/>
          <w:color w:val="auto"/>
          <w:highlight w:val="none"/>
          <w:u w:val="none"/>
        </w:rPr>
      </w:pPr>
      <w:r>
        <w:rPr>
          <w:rFonts w:hint="eastAsia" w:ascii="宋体" w:hAnsi="宋体" w:eastAsia="宋体" w:cs="宋体"/>
          <w:b w:val="0"/>
          <w:bCs w:val="0"/>
          <w:caps/>
          <w:color w:val="auto"/>
          <w:szCs w:val="28"/>
          <w:highlight w:val="none"/>
          <w:u w:val="none"/>
        </w:rPr>
        <w:fldChar w:fldCharType="begin"/>
      </w:r>
      <w:r>
        <w:rPr>
          <w:rFonts w:hint="eastAsia" w:ascii="宋体" w:hAnsi="宋体" w:eastAsia="宋体" w:cs="宋体"/>
          <w:b w:val="0"/>
          <w:bCs w:val="0"/>
          <w:caps/>
          <w:color w:val="auto"/>
          <w:szCs w:val="28"/>
          <w:highlight w:val="none"/>
          <w:u w:val="none"/>
        </w:rPr>
        <w:instrText xml:space="preserve"> HYPERLINK \l _Toc24129 </w:instrText>
      </w:r>
      <w:r>
        <w:rPr>
          <w:rFonts w:hint="eastAsia" w:ascii="宋体" w:hAnsi="宋体" w:eastAsia="宋体" w:cs="宋体"/>
          <w:b w:val="0"/>
          <w:bCs w:val="0"/>
          <w:caps/>
          <w:color w:val="auto"/>
          <w:szCs w:val="28"/>
          <w:highlight w:val="none"/>
          <w:u w:val="none"/>
        </w:rPr>
        <w:fldChar w:fldCharType="separate"/>
      </w:r>
      <w:r>
        <w:rPr>
          <w:rFonts w:hint="eastAsia" w:ascii="宋体" w:hAnsi="宋体" w:eastAsia="宋体" w:cs="宋体"/>
          <w:b w:val="0"/>
          <w:bCs w:val="0"/>
          <w:color w:val="auto"/>
          <w:highlight w:val="none"/>
          <w:u w:val="none"/>
        </w:rPr>
        <w:t>五、资格审查</w:t>
      </w:r>
      <w:r>
        <w:rPr>
          <w:rFonts w:hint="eastAsia" w:ascii="宋体" w:hAnsi="宋体" w:eastAsia="宋体" w:cs="宋体"/>
          <w:b w:val="0"/>
          <w:bCs w:val="0"/>
          <w:color w:val="auto"/>
          <w:highlight w:val="none"/>
          <w:u w:val="none"/>
        </w:rPr>
        <w:tab/>
      </w:r>
      <w:r>
        <w:rPr>
          <w:rFonts w:hint="eastAsia" w:ascii="宋体" w:hAnsi="宋体" w:eastAsia="宋体" w:cs="宋体"/>
          <w:b w:val="0"/>
          <w:bCs w:val="0"/>
          <w:color w:val="auto"/>
          <w:highlight w:val="none"/>
          <w:u w:val="none"/>
        </w:rPr>
        <w:fldChar w:fldCharType="begin"/>
      </w:r>
      <w:r>
        <w:rPr>
          <w:rFonts w:hint="eastAsia" w:ascii="宋体" w:hAnsi="宋体" w:eastAsia="宋体" w:cs="宋体"/>
          <w:b w:val="0"/>
          <w:bCs w:val="0"/>
          <w:color w:val="auto"/>
          <w:highlight w:val="none"/>
          <w:u w:val="none"/>
        </w:rPr>
        <w:instrText xml:space="preserve"> PAGEREF _Toc24129 \h </w:instrText>
      </w:r>
      <w:r>
        <w:rPr>
          <w:rFonts w:hint="eastAsia" w:ascii="宋体" w:hAnsi="宋体" w:eastAsia="宋体" w:cs="宋体"/>
          <w:b w:val="0"/>
          <w:bCs w:val="0"/>
          <w:color w:val="auto"/>
          <w:highlight w:val="none"/>
          <w:u w:val="none"/>
        </w:rPr>
        <w:fldChar w:fldCharType="separate"/>
      </w:r>
      <w:r>
        <w:rPr>
          <w:rFonts w:hint="eastAsia" w:ascii="宋体" w:hAnsi="宋体" w:eastAsia="宋体" w:cs="宋体"/>
          <w:b w:val="0"/>
          <w:bCs w:val="0"/>
          <w:color w:val="auto"/>
          <w:highlight w:val="none"/>
          <w:u w:val="none"/>
        </w:rPr>
        <w:t>37</w:t>
      </w:r>
      <w:r>
        <w:rPr>
          <w:rFonts w:hint="eastAsia" w:ascii="宋体" w:hAnsi="宋体" w:eastAsia="宋体" w:cs="宋体"/>
          <w:b w:val="0"/>
          <w:bCs w:val="0"/>
          <w:color w:val="auto"/>
          <w:highlight w:val="none"/>
          <w:u w:val="none"/>
        </w:rPr>
        <w:fldChar w:fldCharType="end"/>
      </w:r>
      <w:r>
        <w:rPr>
          <w:rFonts w:hint="eastAsia" w:ascii="宋体" w:hAnsi="宋体" w:eastAsia="宋体" w:cs="宋体"/>
          <w:b w:val="0"/>
          <w:bCs w:val="0"/>
          <w:caps/>
          <w:color w:val="auto"/>
          <w:szCs w:val="28"/>
          <w:highlight w:val="none"/>
          <w:u w:val="none"/>
        </w:rPr>
        <w:fldChar w:fldCharType="end"/>
      </w:r>
    </w:p>
    <w:p w14:paraId="34FE98F6">
      <w:pPr>
        <w:pStyle w:val="17"/>
        <w:tabs>
          <w:tab w:val="right" w:leader="dot" w:pos="9638"/>
        </w:tabs>
        <w:spacing w:line="400" w:lineRule="exact"/>
        <w:rPr>
          <w:rFonts w:hint="eastAsia" w:ascii="宋体" w:hAnsi="宋体" w:eastAsia="宋体" w:cs="宋体"/>
          <w:b w:val="0"/>
          <w:bCs w:val="0"/>
          <w:color w:val="auto"/>
          <w:highlight w:val="none"/>
          <w:u w:val="none"/>
        </w:rPr>
      </w:pPr>
      <w:r>
        <w:rPr>
          <w:rFonts w:hint="eastAsia" w:ascii="宋体" w:hAnsi="宋体" w:eastAsia="宋体" w:cs="宋体"/>
          <w:b w:val="0"/>
          <w:bCs w:val="0"/>
          <w:caps/>
          <w:color w:val="auto"/>
          <w:szCs w:val="28"/>
          <w:highlight w:val="none"/>
          <w:u w:val="none"/>
        </w:rPr>
        <w:fldChar w:fldCharType="begin"/>
      </w:r>
      <w:r>
        <w:rPr>
          <w:rFonts w:hint="eastAsia" w:ascii="宋体" w:hAnsi="宋体" w:eastAsia="宋体" w:cs="宋体"/>
          <w:b w:val="0"/>
          <w:bCs w:val="0"/>
          <w:caps/>
          <w:color w:val="auto"/>
          <w:szCs w:val="28"/>
          <w:highlight w:val="none"/>
          <w:u w:val="none"/>
        </w:rPr>
        <w:instrText xml:space="preserve"> HYPERLINK \l _Toc14438 </w:instrText>
      </w:r>
      <w:r>
        <w:rPr>
          <w:rFonts w:hint="eastAsia" w:ascii="宋体" w:hAnsi="宋体" w:eastAsia="宋体" w:cs="宋体"/>
          <w:b w:val="0"/>
          <w:bCs w:val="0"/>
          <w:caps/>
          <w:color w:val="auto"/>
          <w:szCs w:val="28"/>
          <w:highlight w:val="none"/>
          <w:u w:val="none"/>
        </w:rPr>
        <w:fldChar w:fldCharType="separate"/>
      </w:r>
      <w:r>
        <w:rPr>
          <w:rFonts w:hint="eastAsia" w:ascii="宋体" w:hAnsi="宋体" w:eastAsia="宋体" w:cs="宋体"/>
          <w:b w:val="0"/>
          <w:bCs w:val="0"/>
          <w:color w:val="auto"/>
          <w:highlight w:val="none"/>
          <w:u w:val="none"/>
        </w:rPr>
        <w:t>六、评标</w:t>
      </w:r>
      <w:r>
        <w:rPr>
          <w:rFonts w:hint="eastAsia" w:ascii="宋体" w:hAnsi="宋体" w:eastAsia="宋体" w:cs="宋体"/>
          <w:b w:val="0"/>
          <w:bCs w:val="0"/>
          <w:color w:val="auto"/>
          <w:highlight w:val="none"/>
          <w:u w:val="none"/>
        </w:rPr>
        <w:tab/>
      </w:r>
      <w:r>
        <w:rPr>
          <w:rFonts w:hint="eastAsia" w:ascii="宋体" w:hAnsi="宋体" w:eastAsia="宋体" w:cs="宋体"/>
          <w:b w:val="0"/>
          <w:bCs w:val="0"/>
          <w:color w:val="auto"/>
          <w:highlight w:val="none"/>
          <w:u w:val="none"/>
        </w:rPr>
        <w:fldChar w:fldCharType="begin"/>
      </w:r>
      <w:r>
        <w:rPr>
          <w:rFonts w:hint="eastAsia" w:ascii="宋体" w:hAnsi="宋体" w:eastAsia="宋体" w:cs="宋体"/>
          <w:b w:val="0"/>
          <w:bCs w:val="0"/>
          <w:color w:val="auto"/>
          <w:highlight w:val="none"/>
          <w:u w:val="none"/>
        </w:rPr>
        <w:instrText xml:space="preserve"> PAGEREF _Toc14438 \h </w:instrText>
      </w:r>
      <w:r>
        <w:rPr>
          <w:rFonts w:hint="eastAsia" w:ascii="宋体" w:hAnsi="宋体" w:eastAsia="宋体" w:cs="宋体"/>
          <w:b w:val="0"/>
          <w:bCs w:val="0"/>
          <w:color w:val="auto"/>
          <w:highlight w:val="none"/>
          <w:u w:val="none"/>
        </w:rPr>
        <w:fldChar w:fldCharType="separate"/>
      </w:r>
      <w:r>
        <w:rPr>
          <w:rFonts w:hint="eastAsia" w:ascii="宋体" w:hAnsi="宋体" w:eastAsia="宋体" w:cs="宋体"/>
          <w:b w:val="0"/>
          <w:bCs w:val="0"/>
          <w:color w:val="auto"/>
          <w:highlight w:val="none"/>
          <w:u w:val="none"/>
        </w:rPr>
        <w:t>37</w:t>
      </w:r>
      <w:r>
        <w:rPr>
          <w:rFonts w:hint="eastAsia" w:ascii="宋体" w:hAnsi="宋体" w:eastAsia="宋体" w:cs="宋体"/>
          <w:b w:val="0"/>
          <w:bCs w:val="0"/>
          <w:color w:val="auto"/>
          <w:highlight w:val="none"/>
          <w:u w:val="none"/>
        </w:rPr>
        <w:fldChar w:fldCharType="end"/>
      </w:r>
      <w:r>
        <w:rPr>
          <w:rFonts w:hint="eastAsia" w:ascii="宋体" w:hAnsi="宋体" w:eastAsia="宋体" w:cs="宋体"/>
          <w:b w:val="0"/>
          <w:bCs w:val="0"/>
          <w:caps/>
          <w:color w:val="auto"/>
          <w:szCs w:val="28"/>
          <w:highlight w:val="none"/>
          <w:u w:val="none"/>
        </w:rPr>
        <w:fldChar w:fldCharType="end"/>
      </w:r>
    </w:p>
    <w:p w14:paraId="33A38BE3">
      <w:pPr>
        <w:pStyle w:val="17"/>
        <w:tabs>
          <w:tab w:val="right" w:leader="dot" w:pos="9638"/>
        </w:tabs>
        <w:spacing w:line="400" w:lineRule="exact"/>
        <w:rPr>
          <w:rFonts w:hint="eastAsia" w:ascii="宋体" w:hAnsi="宋体" w:eastAsia="宋体" w:cs="宋体"/>
          <w:b w:val="0"/>
          <w:bCs w:val="0"/>
          <w:color w:val="auto"/>
          <w:highlight w:val="none"/>
          <w:u w:val="none"/>
        </w:rPr>
      </w:pPr>
      <w:r>
        <w:rPr>
          <w:rFonts w:hint="eastAsia" w:ascii="宋体" w:hAnsi="宋体" w:eastAsia="宋体" w:cs="宋体"/>
          <w:b w:val="0"/>
          <w:bCs w:val="0"/>
          <w:caps/>
          <w:color w:val="auto"/>
          <w:szCs w:val="28"/>
          <w:highlight w:val="none"/>
          <w:u w:val="none"/>
        </w:rPr>
        <w:fldChar w:fldCharType="begin"/>
      </w:r>
      <w:r>
        <w:rPr>
          <w:rFonts w:hint="eastAsia" w:ascii="宋体" w:hAnsi="宋体" w:eastAsia="宋体" w:cs="宋体"/>
          <w:b w:val="0"/>
          <w:bCs w:val="0"/>
          <w:caps/>
          <w:color w:val="auto"/>
          <w:szCs w:val="28"/>
          <w:highlight w:val="none"/>
          <w:u w:val="none"/>
        </w:rPr>
        <w:instrText xml:space="preserve"> HYPERLINK \l _Toc32600 </w:instrText>
      </w:r>
      <w:r>
        <w:rPr>
          <w:rFonts w:hint="eastAsia" w:ascii="宋体" w:hAnsi="宋体" w:eastAsia="宋体" w:cs="宋体"/>
          <w:b w:val="0"/>
          <w:bCs w:val="0"/>
          <w:caps/>
          <w:color w:val="auto"/>
          <w:szCs w:val="28"/>
          <w:highlight w:val="none"/>
          <w:u w:val="none"/>
        </w:rPr>
        <w:fldChar w:fldCharType="separate"/>
      </w:r>
      <w:r>
        <w:rPr>
          <w:rFonts w:hint="eastAsia" w:ascii="宋体" w:hAnsi="宋体" w:eastAsia="宋体" w:cs="宋体"/>
          <w:b w:val="0"/>
          <w:bCs w:val="0"/>
          <w:color w:val="auto"/>
          <w:highlight w:val="none"/>
          <w:u w:val="none"/>
        </w:rPr>
        <w:t>七、中标和合同</w:t>
      </w:r>
      <w:r>
        <w:rPr>
          <w:rFonts w:hint="eastAsia" w:ascii="宋体" w:hAnsi="宋体" w:eastAsia="宋体" w:cs="宋体"/>
          <w:b w:val="0"/>
          <w:bCs w:val="0"/>
          <w:color w:val="auto"/>
          <w:highlight w:val="none"/>
          <w:u w:val="none"/>
        </w:rPr>
        <w:tab/>
      </w:r>
      <w:r>
        <w:rPr>
          <w:rFonts w:hint="eastAsia" w:ascii="宋体" w:hAnsi="宋体" w:eastAsia="宋体" w:cs="宋体"/>
          <w:b w:val="0"/>
          <w:bCs w:val="0"/>
          <w:color w:val="auto"/>
          <w:highlight w:val="none"/>
          <w:u w:val="none"/>
        </w:rPr>
        <w:fldChar w:fldCharType="begin"/>
      </w:r>
      <w:r>
        <w:rPr>
          <w:rFonts w:hint="eastAsia" w:ascii="宋体" w:hAnsi="宋体" w:eastAsia="宋体" w:cs="宋体"/>
          <w:b w:val="0"/>
          <w:bCs w:val="0"/>
          <w:color w:val="auto"/>
          <w:highlight w:val="none"/>
          <w:u w:val="none"/>
        </w:rPr>
        <w:instrText xml:space="preserve"> PAGEREF _Toc32600 \h </w:instrText>
      </w:r>
      <w:r>
        <w:rPr>
          <w:rFonts w:hint="eastAsia" w:ascii="宋体" w:hAnsi="宋体" w:eastAsia="宋体" w:cs="宋体"/>
          <w:b w:val="0"/>
          <w:bCs w:val="0"/>
          <w:color w:val="auto"/>
          <w:highlight w:val="none"/>
          <w:u w:val="none"/>
        </w:rPr>
        <w:fldChar w:fldCharType="separate"/>
      </w:r>
      <w:r>
        <w:rPr>
          <w:rFonts w:hint="eastAsia" w:ascii="宋体" w:hAnsi="宋体" w:eastAsia="宋体" w:cs="宋体"/>
          <w:b w:val="0"/>
          <w:bCs w:val="0"/>
          <w:color w:val="auto"/>
          <w:highlight w:val="none"/>
          <w:u w:val="none"/>
        </w:rPr>
        <w:t>39</w:t>
      </w:r>
      <w:r>
        <w:rPr>
          <w:rFonts w:hint="eastAsia" w:ascii="宋体" w:hAnsi="宋体" w:eastAsia="宋体" w:cs="宋体"/>
          <w:b w:val="0"/>
          <w:bCs w:val="0"/>
          <w:color w:val="auto"/>
          <w:highlight w:val="none"/>
          <w:u w:val="none"/>
        </w:rPr>
        <w:fldChar w:fldCharType="end"/>
      </w:r>
      <w:r>
        <w:rPr>
          <w:rFonts w:hint="eastAsia" w:ascii="宋体" w:hAnsi="宋体" w:eastAsia="宋体" w:cs="宋体"/>
          <w:b w:val="0"/>
          <w:bCs w:val="0"/>
          <w:caps/>
          <w:color w:val="auto"/>
          <w:szCs w:val="28"/>
          <w:highlight w:val="none"/>
          <w:u w:val="none"/>
        </w:rPr>
        <w:fldChar w:fldCharType="end"/>
      </w:r>
    </w:p>
    <w:p w14:paraId="2F4EFF1A">
      <w:pPr>
        <w:pStyle w:val="17"/>
        <w:tabs>
          <w:tab w:val="right" w:leader="dot" w:pos="9638"/>
        </w:tabs>
        <w:spacing w:line="400" w:lineRule="exact"/>
        <w:rPr>
          <w:rFonts w:hint="eastAsia" w:ascii="宋体" w:hAnsi="宋体" w:eastAsia="宋体" w:cs="宋体"/>
          <w:b w:val="0"/>
          <w:bCs w:val="0"/>
          <w:color w:val="auto"/>
          <w:highlight w:val="none"/>
          <w:u w:val="none"/>
        </w:rPr>
      </w:pPr>
      <w:r>
        <w:rPr>
          <w:rFonts w:hint="eastAsia" w:ascii="宋体" w:hAnsi="宋体" w:eastAsia="宋体" w:cs="宋体"/>
          <w:b w:val="0"/>
          <w:bCs w:val="0"/>
          <w:caps/>
          <w:color w:val="auto"/>
          <w:szCs w:val="28"/>
          <w:highlight w:val="none"/>
          <w:u w:val="none"/>
        </w:rPr>
        <w:fldChar w:fldCharType="begin"/>
      </w:r>
      <w:r>
        <w:rPr>
          <w:rFonts w:hint="eastAsia" w:ascii="宋体" w:hAnsi="宋体" w:eastAsia="宋体" w:cs="宋体"/>
          <w:b w:val="0"/>
          <w:bCs w:val="0"/>
          <w:caps/>
          <w:color w:val="auto"/>
          <w:szCs w:val="28"/>
          <w:highlight w:val="none"/>
          <w:u w:val="none"/>
        </w:rPr>
        <w:instrText xml:space="preserve"> HYPERLINK \l _Toc2190 </w:instrText>
      </w:r>
      <w:r>
        <w:rPr>
          <w:rFonts w:hint="eastAsia" w:ascii="宋体" w:hAnsi="宋体" w:eastAsia="宋体" w:cs="宋体"/>
          <w:b w:val="0"/>
          <w:bCs w:val="0"/>
          <w:caps/>
          <w:color w:val="auto"/>
          <w:szCs w:val="28"/>
          <w:highlight w:val="none"/>
          <w:u w:val="none"/>
        </w:rPr>
        <w:fldChar w:fldCharType="separate"/>
      </w:r>
      <w:r>
        <w:rPr>
          <w:rFonts w:hint="eastAsia" w:ascii="宋体" w:hAnsi="宋体" w:eastAsia="宋体" w:cs="宋体"/>
          <w:b w:val="0"/>
          <w:bCs w:val="0"/>
          <w:color w:val="auto"/>
          <w:szCs w:val="32"/>
          <w:highlight w:val="none"/>
          <w:u w:val="none"/>
        </w:rPr>
        <w:t>八、验收</w:t>
      </w:r>
      <w:r>
        <w:rPr>
          <w:rFonts w:hint="eastAsia" w:ascii="宋体" w:hAnsi="宋体" w:eastAsia="宋体" w:cs="宋体"/>
          <w:b w:val="0"/>
          <w:bCs w:val="0"/>
          <w:color w:val="auto"/>
          <w:highlight w:val="none"/>
          <w:u w:val="none"/>
        </w:rPr>
        <w:tab/>
      </w:r>
      <w:r>
        <w:rPr>
          <w:rFonts w:hint="eastAsia" w:ascii="宋体" w:hAnsi="宋体" w:eastAsia="宋体" w:cs="宋体"/>
          <w:b w:val="0"/>
          <w:bCs w:val="0"/>
          <w:color w:val="auto"/>
          <w:highlight w:val="none"/>
          <w:u w:val="none"/>
        </w:rPr>
        <w:fldChar w:fldCharType="begin"/>
      </w:r>
      <w:r>
        <w:rPr>
          <w:rFonts w:hint="eastAsia" w:ascii="宋体" w:hAnsi="宋体" w:eastAsia="宋体" w:cs="宋体"/>
          <w:b w:val="0"/>
          <w:bCs w:val="0"/>
          <w:color w:val="auto"/>
          <w:highlight w:val="none"/>
          <w:u w:val="none"/>
        </w:rPr>
        <w:instrText xml:space="preserve"> PAGEREF _Toc2190 \h </w:instrText>
      </w:r>
      <w:r>
        <w:rPr>
          <w:rFonts w:hint="eastAsia" w:ascii="宋体" w:hAnsi="宋体" w:eastAsia="宋体" w:cs="宋体"/>
          <w:b w:val="0"/>
          <w:bCs w:val="0"/>
          <w:color w:val="auto"/>
          <w:highlight w:val="none"/>
          <w:u w:val="none"/>
        </w:rPr>
        <w:fldChar w:fldCharType="separate"/>
      </w:r>
      <w:r>
        <w:rPr>
          <w:rFonts w:hint="eastAsia" w:ascii="宋体" w:hAnsi="宋体" w:eastAsia="宋体" w:cs="宋体"/>
          <w:b w:val="0"/>
          <w:bCs w:val="0"/>
          <w:color w:val="auto"/>
          <w:highlight w:val="none"/>
          <w:u w:val="none"/>
        </w:rPr>
        <w:t>44</w:t>
      </w:r>
      <w:r>
        <w:rPr>
          <w:rFonts w:hint="eastAsia" w:ascii="宋体" w:hAnsi="宋体" w:eastAsia="宋体" w:cs="宋体"/>
          <w:b w:val="0"/>
          <w:bCs w:val="0"/>
          <w:color w:val="auto"/>
          <w:highlight w:val="none"/>
          <w:u w:val="none"/>
        </w:rPr>
        <w:fldChar w:fldCharType="end"/>
      </w:r>
      <w:r>
        <w:rPr>
          <w:rFonts w:hint="eastAsia" w:ascii="宋体" w:hAnsi="宋体" w:eastAsia="宋体" w:cs="宋体"/>
          <w:b w:val="0"/>
          <w:bCs w:val="0"/>
          <w:caps/>
          <w:color w:val="auto"/>
          <w:szCs w:val="28"/>
          <w:highlight w:val="none"/>
          <w:u w:val="none"/>
        </w:rPr>
        <w:fldChar w:fldCharType="end"/>
      </w:r>
    </w:p>
    <w:p w14:paraId="766B3D80">
      <w:pPr>
        <w:pStyle w:val="17"/>
        <w:tabs>
          <w:tab w:val="right" w:leader="dot" w:pos="9638"/>
        </w:tabs>
        <w:spacing w:line="400" w:lineRule="exact"/>
        <w:rPr>
          <w:rFonts w:hint="eastAsia" w:ascii="宋体" w:hAnsi="宋体" w:eastAsia="宋体" w:cs="宋体"/>
          <w:b w:val="0"/>
          <w:bCs w:val="0"/>
          <w:color w:val="auto"/>
          <w:highlight w:val="none"/>
          <w:u w:val="none"/>
        </w:rPr>
      </w:pPr>
      <w:r>
        <w:rPr>
          <w:rFonts w:hint="eastAsia" w:ascii="宋体" w:hAnsi="宋体" w:eastAsia="宋体" w:cs="宋体"/>
          <w:b w:val="0"/>
          <w:bCs w:val="0"/>
          <w:caps/>
          <w:color w:val="auto"/>
          <w:szCs w:val="28"/>
          <w:highlight w:val="none"/>
          <w:u w:val="none"/>
        </w:rPr>
        <w:fldChar w:fldCharType="begin"/>
      </w:r>
      <w:r>
        <w:rPr>
          <w:rFonts w:hint="eastAsia" w:ascii="宋体" w:hAnsi="宋体" w:eastAsia="宋体" w:cs="宋体"/>
          <w:b w:val="0"/>
          <w:bCs w:val="0"/>
          <w:caps/>
          <w:color w:val="auto"/>
          <w:szCs w:val="28"/>
          <w:highlight w:val="none"/>
          <w:u w:val="none"/>
        </w:rPr>
        <w:instrText xml:space="preserve"> HYPERLINK \l _Toc30779 </w:instrText>
      </w:r>
      <w:r>
        <w:rPr>
          <w:rFonts w:hint="eastAsia" w:ascii="宋体" w:hAnsi="宋体" w:eastAsia="宋体" w:cs="宋体"/>
          <w:b w:val="0"/>
          <w:bCs w:val="0"/>
          <w:caps/>
          <w:color w:val="auto"/>
          <w:szCs w:val="28"/>
          <w:highlight w:val="none"/>
          <w:u w:val="none"/>
        </w:rPr>
        <w:fldChar w:fldCharType="separate"/>
      </w:r>
      <w:r>
        <w:rPr>
          <w:rFonts w:hint="eastAsia" w:ascii="宋体" w:hAnsi="宋体" w:eastAsia="宋体" w:cs="宋体"/>
          <w:b w:val="0"/>
          <w:bCs w:val="0"/>
          <w:color w:val="auto"/>
          <w:highlight w:val="none"/>
          <w:u w:val="none"/>
        </w:rPr>
        <w:t>九、其他事项</w:t>
      </w:r>
      <w:r>
        <w:rPr>
          <w:rFonts w:hint="eastAsia" w:ascii="宋体" w:hAnsi="宋体" w:eastAsia="宋体" w:cs="宋体"/>
          <w:b w:val="0"/>
          <w:bCs w:val="0"/>
          <w:color w:val="auto"/>
          <w:highlight w:val="none"/>
          <w:u w:val="none"/>
        </w:rPr>
        <w:tab/>
      </w:r>
      <w:r>
        <w:rPr>
          <w:rFonts w:hint="eastAsia" w:ascii="宋体" w:hAnsi="宋体" w:eastAsia="宋体" w:cs="宋体"/>
          <w:b w:val="0"/>
          <w:bCs w:val="0"/>
          <w:color w:val="auto"/>
          <w:highlight w:val="none"/>
          <w:u w:val="none"/>
        </w:rPr>
        <w:fldChar w:fldCharType="begin"/>
      </w:r>
      <w:r>
        <w:rPr>
          <w:rFonts w:hint="eastAsia" w:ascii="宋体" w:hAnsi="宋体" w:eastAsia="宋体" w:cs="宋体"/>
          <w:b w:val="0"/>
          <w:bCs w:val="0"/>
          <w:color w:val="auto"/>
          <w:highlight w:val="none"/>
          <w:u w:val="none"/>
        </w:rPr>
        <w:instrText xml:space="preserve"> PAGEREF _Toc30779 \h </w:instrText>
      </w:r>
      <w:r>
        <w:rPr>
          <w:rFonts w:hint="eastAsia" w:ascii="宋体" w:hAnsi="宋体" w:eastAsia="宋体" w:cs="宋体"/>
          <w:b w:val="0"/>
          <w:bCs w:val="0"/>
          <w:color w:val="auto"/>
          <w:highlight w:val="none"/>
          <w:u w:val="none"/>
        </w:rPr>
        <w:fldChar w:fldCharType="separate"/>
      </w:r>
      <w:r>
        <w:rPr>
          <w:rFonts w:hint="eastAsia" w:ascii="宋体" w:hAnsi="宋体" w:eastAsia="宋体" w:cs="宋体"/>
          <w:b w:val="0"/>
          <w:bCs w:val="0"/>
          <w:color w:val="auto"/>
          <w:highlight w:val="none"/>
          <w:u w:val="none"/>
        </w:rPr>
        <w:t>44</w:t>
      </w:r>
      <w:r>
        <w:rPr>
          <w:rFonts w:hint="eastAsia" w:ascii="宋体" w:hAnsi="宋体" w:eastAsia="宋体" w:cs="宋体"/>
          <w:b w:val="0"/>
          <w:bCs w:val="0"/>
          <w:color w:val="auto"/>
          <w:highlight w:val="none"/>
          <w:u w:val="none"/>
        </w:rPr>
        <w:fldChar w:fldCharType="end"/>
      </w:r>
      <w:r>
        <w:rPr>
          <w:rFonts w:hint="eastAsia" w:ascii="宋体" w:hAnsi="宋体" w:eastAsia="宋体" w:cs="宋体"/>
          <w:b w:val="0"/>
          <w:bCs w:val="0"/>
          <w:caps/>
          <w:color w:val="auto"/>
          <w:szCs w:val="28"/>
          <w:highlight w:val="none"/>
          <w:u w:val="none"/>
        </w:rPr>
        <w:fldChar w:fldCharType="end"/>
      </w:r>
    </w:p>
    <w:p w14:paraId="7D273146">
      <w:pPr>
        <w:pStyle w:val="25"/>
        <w:tabs>
          <w:tab w:val="right" w:leader="dot" w:pos="9638"/>
        </w:tabs>
        <w:spacing w:before="0" w:after="0" w:line="400" w:lineRule="exact"/>
        <w:rPr>
          <w:rFonts w:hint="eastAsia" w:ascii="宋体" w:hAnsi="宋体" w:eastAsia="宋体" w:cs="宋体"/>
          <w:b w:val="0"/>
          <w:bCs w:val="0"/>
          <w:color w:val="auto"/>
          <w:highlight w:val="none"/>
          <w:u w:val="none"/>
        </w:rPr>
      </w:pPr>
      <w:r>
        <w:rPr>
          <w:rFonts w:hint="eastAsia" w:ascii="宋体" w:hAnsi="宋体" w:eastAsia="宋体" w:cs="宋体"/>
          <w:b w:val="0"/>
          <w:bCs w:val="0"/>
          <w:caps w:val="0"/>
          <w:color w:val="auto"/>
          <w:szCs w:val="28"/>
          <w:highlight w:val="none"/>
          <w:u w:val="none"/>
        </w:rPr>
        <w:fldChar w:fldCharType="begin"/>
      </w:r>
      <w:r>
        <w:rPr>
          <w:rFonts w:hint="eastAsia" w:ascii="宋体" w:hAnsi="宋体" w:eastAsia="宋体" w:cs="宋体"/>
          <w:b w:val="0"/>
          <w:bCs w:val="0"/>
          <w:caps w:val="0"/>
          <w:color w:val="auto"/>
          <w:szCs w:val="28"/>
          <w:highlight w:val="none"/>
          <w:u w:val="none"/>
        </w:rPr>
        <w:instrText xml:space="preserve"> HYPERLINK \l _Toc22260 </w:instrText>
      </w:r>
      <w:r>
        <w:rPr>
          <w:rFonts w:hint="eastAsia" w:ascii="宋体" w:hAnsi="宋体" w:eastAsia="宋体" w:cs="宋体"/>
          <w:b w:val="0"/>
          <w:bCs w:val="0"/>
          <w:caps w:val="0"/>
          <w:color w:val="auto"/>
          <w:szCs w:val="28"/>
          <w:highlight w:val="none"/>
          <w:u w:val="none"/>
        </w:rPr>
        <w:fldChar w:fldCharType="separate"/>
      </w:r>
      <w:r>
        <w:rPr>
          <w:rFonts w:hint="eastAsia" w:ascii="宋体" w:hAnsi="宋体" w:eastAsia="宋体" w:cs="宋体"/>
          <w:b w:val="0"/>
          <w:bCs w:val="0"/>
          <w:color w:val="auto"/>
          <w:highlight w:val="none"/>
          <w:u w:val="none"/>
        </w:rPr>
        <w:t>第四章评标方法及评分标准</w:t>
      </w:r>
      <w:r>
        <w:rPr>
          <w:rFonts w:hint="eastAsia" w:ascii="宋体" w:hAnsi="宋体" w:eastAsia="宋体" w:cs="宋体"/>
          <w:b w:val="0"/>
          <w:bCs w:val="0"/>
          <w:color w:val="auto"/>
          <w:highlight w:val="none"/>
          <w:u w:val="none"/>
        </w:rPr>
        <w:tab/>
      </w:r>
      <w:r>
        <w:rPr>
          <w:rFonts w:hint="eastAsia" w:ascii="宋体" w:hAnsi="宋体" w:eastAsia="宋体" w:cs="宋体"/>
          <w:b w:val="0"/>
          <w:bCs w:val="0"/>
          <w:color w:val="auto"/>
          <w:highlight w:val="none"/>
          <w:u w:val="none"/>
        </w:rPr>
        <w:fldChar w:fldCharType="begin"/>
      </w:r>
      <w:r>
        <w:rPr>
          <w:rFonts w:hint="eastAsia" w:ascii="宋体" w:hAnsi="宋体" w:eastAsia="宋体" w:cs="宋体"/>
          <w:b w:val="0"/>
          <w:bCs w:val="0"/>
          <w:color w:val="auto"/>
          <w:highlight w:val="none"/>
          <w:u w:val="none"/>
        </w:rPr>
        <w:instrText xml:space="preserve"> PAGEREF _Toc22260 \h </w:instrText>
      </w:r>
      <w:r>
        <w:rPr>
          <w:rFonts w:hint="eastAsia" w:ascii="宋体" w:hAnsi="宋体" w:eastAsia="宋体" w:cs="宋体"/>
          <w:b w:val="0"/>
          <w:bCs w:val="0"/>
          <w:color w:val="auto"/>
          <w:highlight w:val="none"/>
          <w:u w:val="none"/>
        </w:rPr>
        <w:fldChar w:fldCharType="separate"/>
      </w:r>
      <w:r>
        <w:rPr>
          <w:rFonts w:hint="eastAsia" w:ascii="宋体" w:hAnsi="宋体" w:eastAsia="宋体" w:cs="宋体"/>
          <w:b w:val="0"/>
          <w:bCs w:val="0"/>
          <w:color w:val="auto"/>
          <w:highlight w:val="none"/>
          <w:u w:val="none"/>
        </w:rPr>
        <w:t>46</w:t>
      </w:r>
      <w:r>
        <w:rPr>
          <w:rFonts w:hint="eastAsia" w:ascii="宋体" w:hAnsi="宋体" w:eastAsia="宋体" w:cs="宋体"/>
          <w:b w:val="0"/>
          <w:bCs w:val="0"/>
          <w:color w:val="auto"/>
          <w:highlight w:val="none"/>
          <w:u w:val="none"/>
        </w:rPr>
        <w:fldChar w:fldCharType="end"/>
      </w:r>
      <w:r>
        <w:rPr>
          <w:rFonts w:hint="eastAsia" w:ascii="宋体" w:hAnsi="宋体" w:eastAsia="宋体" w:cs="宋体"/>
          <w:b w:val="0"/>
          <w:bCs w:val="0"/>
          <w:caps w:val="0"/>
          <w:color w:val="auto"/>
          <w:szCs w:val="28"/>
          <w:highlight w:val="none"/>
          <w:u w:val="none"/>
        </w:rPr>
        <w:fldChar w:fldCharType="end"/>
      </w:r>
    </w:p>
    <w:p w14:paraId="00C2C485">
      <w:pPr>
        <w:pStyle w:val="29"/>
        <w:tabs>
          <w:tab w:val="right" w:leader="dot" w:pos="9638"/>
        </w:tabs>
        <w:spacing w:line="400" w:lineRule="exact"/>
        <w:rPr>
          <w:rFonts w:hint="eastAsia" w:ascii="宋体" w:hAnsi="宋体" w:eastAsia="宋体" w:cs="宋体"/>
          <w:b w:val="0"/>
          <w:bCs w:val="0"/>
          <w:color w:val="auto"/>
          <w:highlight w:val="none"/>
          <w:u w:val="none"/>
        </w:rPr>
      </w:pPr>
      <w:r>
        <w:rPr>
          <w:rFonts w:hint="eastAsia" w:ascii="宋体" w:hAnsi="宋体" w:eastAsia="宋体" w:cs="宋体"/>
          <w:b w:val="0"/>
          <w:bCs w:val="0"/>
          <w:caps/>
          <w:color w:val="auto"/>
          <w:szCs w:val="28"/>
          <w:highlight w:val="none"/>
          <w:u w:val="none"/>
        </w:rPr>
        <w:fldChar w:fldCharType="begin"/>
      </w:r>
      <w:r>
        <w:rPr>
          <w:rFonts w:hint="eastAsia" w:ascii="宋体" w:hAnsi="宋体" w:eastAsia="宋体" w:cs="宋体"/>
          <w:b w:val="0"/>
          <w:bCs w:val="0"/>
          <w:caps/>
          <w:color w:val="auto"/>
          <w:szCs w:val="28"/>
          <w:highlight w:val="none"/>
          <w:u w:val="none"/>
        </w:rPr>
        <w:instrText xml:space="preserve"> HYPERLINK \l _Toc636 </w:instrText>
      </w:r>
      <w:r>
        <w:rPr>
          <w:rFonts w:hint="eastAsia" w:ascii="宋体" w:hAnsi="宋体" w:eastAsia="宋体" w:cs="宋体"/>
          <w:b w:val="0"/>
          <w:bCs w:val="0"/>
          <w:caps/>
          <w:color w:val="auto"/>
          <w:szCs w:val="28"/>
          <w:highlight w:val="none"/>
          <w:u w:val="none"/>
        </w:rPr>
        <w:fldChar w:fldCharType="separate"/>
      </w:r>
      <w:r>
        <w:rPr>
          <w:rFonts w:hint="eastAsia" w:ascii="宋体" w:hAnsi="宋体" w:eastAsia="宋体" w:cs="宋体"/>
          <w:b w:val="0"/>
          <w:bCs w:val="0"/>
          <w:color w:val="auto"/>
          <w:szCs w:val="32"/>
          <w:highlight w:val="none"/>
          <w:u w:val="none"/>
        </w:rPr>
        <w:t>第一节评标方法</w:t>
      </w:r>
      <w:r>
        <w:rPr>
          <w:rFonts w:hint="eastAsia" w:ascii="宋体" w:hAnsi="宋体" w:eastAsia="宋体" w:cs="宋体"/>
          <w:b w:val="0"/>
          <w:bCs w:val="0"/>
          <w:color w:val="auto"/>
          <w:highlight w:val="none"/>
          <w:u w:val="none"/>
        </w:rPr>
        <w:tab/>
      </w:r>
      <w:r>
        <w:rPr>
          <w:rFonts w:hint="eastAsia" w:ascii="宋体" w:hAnsi="宋体" w:eastAsia="宋体" w:cs="宋体"/>
          <w:b w:val="0"/>
          <w:bCs w:val="0"/>
          <w:color w:val="auto"/>
          <w:highlight w:val="none"/>
          <w:u w:val="none"/>
        </w:rPr>
        <w:fldChar w:fldCharType="begin"/>
      </w:r>
      <w:r>
        <w:rPr>
          <w:rFonts w:hint="eastAsia" w:ascii="宋体" w:hAnsi="宋体" w:eastAsia="宋体" w:cs="宋体"/>
          <w:b w:val="0"/>
          <w:bCs w:val="0"/>
          <w:color w:val="auto"/>
          <w:highlight w:val="none"/>
          <w:u w:val="none"/>
        </w:rPr>
        <w:instrText xml:space="preserve"> PAGEREF _Toc636 \h </w:instrText>
      </w:r>
      <w:r>
        <w:rPr>
          <w:rFonts w:hint="eastAsia" w:ascii="宋体" w:hAnsi="宋体" w:eastAsia="宋体" w:cs="宋体"/>
          <w:b w:val="0"/>
          <w:bCs w:val="0"/>
          <w:color w:val="auto"/>
          <w:highlight w:val="none"/>
          <w:u w:val="none"/>
        </w:rPr>
        <w:fldChar w:fldCharType="separate"/>
      </w:r>
      <w:r>
        <w:rPr>
          <w:rFonts w:hint="eastAsia" w:ascii="宋体" w:hAnsi="宋体" w:eastAsia="宋体" w:cs="宋体"/>
          <w:b w:val="0"/>
          <w:bCs w:val="0"/>
          <w:color w:val="auto"/>
          <w:highlight w:val="none"/>
          <w:u w:val="none"/>
        </w:rPr>
        <w:t>46</w:t>
      </w:r>
      <w:r>
        <w:rPr>
          <w:rFonts w:hint="eastAsia" w:ascii="宋体" w:hAnsi="宋体" w:eastAsia="宋体" w:cs="宋体"/>
          <w:b w:val="0"/>
          <w:bCs w:val="0"/>
          <w:color w:val="auto"/>
          <w:highlight w:val="none"/>
          <w:u w:val="none"/>
        </w:rPr>
        <w:fldChar w:fldCharType="end"/>
      </w:r>
      <w:r>
        <w:rPr>
          <w:rFonts w:hint="eastAsia" w:ascii="宋体" w:hAnsi="宋体" w:eastAsia="宋体" w:cs="宋体"/>
          <w:b w:val="0"/>
          <w:bCs w:val="0"/>
          <w:caps/>
          <w:color w:val="auto"/>
          <w:szCs w:val="28"/>
          <w:highlight w:val="none"/>
          <w:u w:val="none"/>
        </w:rPr>
        <w:fldChar w:fldCharType="end"/>
      </w:r>
    </w:p>
    <w:p w14:paraId="248396CB">
      <w:pPr>
        <w:pStyle w:val="29"/>
        <w:tabs>
          <w:tab w:val="right" w:leader="dot" w:pos="9638"/>
        </w:tabs>
        <w:spacing w:line="400" w:lineRule="exact"/>
        <w:rPr>
          <w:rFonts w:hint="eastAsia" w:ascii="宋体" w:hAnsi="宋体" w:eastAsia="宋体" w:cs="宋体"/>
          <w:b w:val="0"/>
          <w:bCs w:val="0"/>
          <w:color w:val="auto"/>
          <w:highlight w:val="none"/>
          <w:u w:val="none"/>
        </w:rPr>
      </w:pPr>
      <w:r>
        <w:rPr>
          <w:rFonts w:hint="eastAsia" w:ascii="宋体" w:hAnsi="宋体" w:eastAsia="宋体" w:cs="宋体"/>
          <w:b w:val="0"/>
          <w:bCs w:val="0"/>
          <w:caps/>
          <w:color w:val="auto"/>
          <w:szCs w:val="28"/>
          <w:highlight w:val="none"/>
          <w:u w:val="none"/>
        </w:rPr>
        <w:fldChar w:fldCharType="begin"/>
      </w:r>
      <w:r>
        <w:rPr>
          <w:rFonts w:hint="eastAsia" w:ascii="宋体" w:hAnsi="宋体" w:eastAsia="宋体" w:cs="宋体"/>
          <w:b w:val="0"/>
          <w:bCs w:val="0"/>
          <w:caps/>
          <w:color w:val="auto"/>
          <w:szCs w:val="28"/>
          <w:highlight w:val="none"/>
          <w:u w:val="none"/>
        </w:rPr>
        <w:instrText xml:space="preserve"> HYPERLINK \l _Toc30205 </w:instrText>
      </w:r>
      <w:r>
        <w:rPr>
          <w:rFonts w:hint="eastAsia" w:ascii="宋体" w:hAnsi="宋体" w:eastAsia="宋体" w:cs="宋体"/>
          <w:b w:val="0"/>
          <w:bCs w:val="0"/>
          <w:caps/>
          <w:color w:val="auto"/>
          <w:szCs w:val="28"/>
          <w:highlight w:val="none"/>
          <w:u w:val="none"/>
        </w:rPr>
        <w:fldChar w:fldCharType="separate"/>
      </w:r>
      <w:r>
        <w:rPr>
          <w:rFonts w:hint="eastAsia" w:ascii="宋体" w:hAnsi="宋体" w:eastAsia="宋体" w:cs="宋体"/>
          <w:b w:val="0"/>
          <w:bCs w:val="0"/>
          <w:color w:val="auto"/>
          <w:szCs w:val="32"/>
          <w:highlight w:val="none"/>
          <w:u w:val="none"/>
        </w:rPr>
        <w:t>第二节评标程序</w:t>
      </w:r>
      <w:r>
        <w:rPr>
          <w:rFonts w:hint="eastAsia" w:ascii="宋体" w:hAnsi="宋体" w:eastAsia="宋体" w:cs="宋体"/>
          <w:b w:val="0"/>
          <w:bCs w:val="0"/>
          <w:color w:val="auto"/>
          <w:highlight w:val="none"/>
          <w:u w:val="none"/>
        </w:rPr>
        <w:tab/>
      </w:r>
      <w:r>
        <w:rPr>
          <w:rFonts w:hint="eastAsia" w:ascii="宋体" w:hAnsi="宋体" w:eastAsia="宋体" w:cs="宋体"/>
          <w:b w:val="0"/>
          <w:bCs w:val="0"/>
          <w:color w:val="auto"/>
          <w:highlight w:val="none"/>
          <w:u w:val="none"/>
        </w:rPr>
        <w:fldChar w:fldCharType="begin"/>
      </w:r>
      <w:r>
        <w:rPr>
          <w:rFonts w:hint="eastAsia" w:ascii="宋体" w:hAnsi="宋体" w:eastAsia="宋体" w:cs="宋体"/>
          <w:b w:val="0"/>
          <w:bCs w:val="0"/>
          <w:color w:val="auto"/>
          <w:highlight w:val="none"/>
          <w:u w:val="none"/>
        </w:rPr>
        <w:instrText xml:space="preserve"> PAGEREF _Toc30205 \h </w:instrText>
      </w:r>
      <w:r>
        <w:rPr>
          <w:rFonts w:hint="eastAsia" w:ascii="宋体" w:hAnsi="宋体" w:eastAsia="宋体" w:cs="宋体"/>
          <w:b w:val="0"/>
          <w:bCs w:val="0"/>
          <w:color w:val="auto"/>
          <w:highlight w:val="none"/>
          <w:u w:val="none"/>
        </w:rPr>
        <w:fldChar w:fldCharType="separate"/>
      </w:r>
      <w:r>
        <w:rPr>
          <w:rFonts w:hint="eastAsia" w:ascii="宋体" w:hAnsi="宋体" w:eastAsia="宋体" w:cs="宋体"/>
          <w:b w:val="0"/>
          <w:bCs w:val="0"/>
          <w:color w:val="auto"/>
          <w:highlight w:val="none"/>
          <w:u w:val="none"/>
        </w:rPr>
        <w:t>46</w:t>
      </w:r>
      <w:r>
        <w:rPr>
          <w:rFonts w:hint="eastAsia" w:ascii="宋体" w:hAnsi="宋体" w:eastAsia="宋体" w:cs="宋体"/>
          <w:b w:val="0"/>
          <w:bCs w:val="0"/>
          <w:color w:val="auto"/>
          <w:highlight w:val="none"/>
          <w:u w:val="none"/>
        </w:rPr>
        <w:fldChar w:fldCharType="end"/>
      </w:r>
      <w:r>
        <w:rPr>
          <w:rFonts w:hint="eastAsia" w:ascii="宋体" w:hAnsi="宋体" w:eastAsia="宋体" w:cs="宋体"/>
          <w:b w:val="0"/>
          <w:bCs w:val="0"/>
          <w:caps/>
          <w:color w:val="auto"/>
          <w:szCs w:val="28"/>
          <w:highlight w:val="none"/>
          <w:u w:val="none"/>
        </w:rPr>
        <w:fldChar w:fldCharType="end"/>
      </w:r>
    </w:p>
    <w:p w14:paraId="1C8DFC84">
      <w:pPr>
        <w:pStyle w:val="29"/>
        <w:tabs>
          <w:tab w:val="right" w:leader="dot" w:pos="9638"/>
        </w:tabs>
        <w:spacing w:line="400" w:lineRule="exact"/>
        <w:rPr>
          <w:rFonts w:hint="eastAsia" w:ascii="宋体" w:hAnsi="宋体" w:eastAsia="宋体" w:cs="宋体"/>
          <w:b w:val="0"/>
          <w:bCs w:val="0"/>
          <w:color w:val="auto"/>
          <w:highlight w:val="none"/>
          <w:u w:val="none"/>
        </w:rPr>
      </w:pPr>
      <w:r>
        <w:rPr>
          <w:rFonts w:hint="eastAsia" w:ascii="宋体" w:hAnsi="宋体" w:eastAsia="宋体" w:cs="宋体"/>
          <w:b w:val="0"/>
          <w:bCs w:val="0"/>
          <w:caps/>
          <w:color w:val="auto"/>
          <w:szCs w:val="28"/>
          <w:highlight w:val="none"/>
          <w:u w:val="none"/>
        </w:rPr>
        <w:fldChar w:fldCharType="begin"/>
      </w:r>
      <w:r>
        <w:rPr>
          <w:rFonts w:hint="eastAsia" w:ascii="宋体" w:hAnsi="宋体" w:eastAsia="宋体" w:cs="宋体"/>
          <w:b w:val="0"/>
          <w:bCs w:val="0"/>
          <w:caps/>
          <w:color w:val="auto"/>
          <w:szCs w:val="28"/>
          <w:highlight w:val="none"/>
          <w:u w:val="none"/>
        </w:rPr>
        <w:instrText xml:space="preserve"> HYPERLINK \l _Toc4504 </w:instrText>
      </w:r>
      <w:r>
        <w:rPr>
          <w:rFonts w:hint="eastAsia" w:ascii="宋体" w:hAnsi="宋体" w:eastAsia="宋体" w:cs="宋体"/>
          <w:b w:val="0"/>
          <w:bCs w:val="0"/>
          <w:caps/>
          <w:color w:val="auto"/>
          <w:szCs w:val="28"/>
          <w:highlight w:val="none"/>
          <w:u w:val="none"/>
        </w:rPr>
        <w:fldChar w:fldCharType="separate"/>
      </w:r>
      <w:r>
        <w:rPr>
          <w:rFonts w:hint="eastAsia" w:ascii="宋体" w:hAnsi="宋体" w:eastAsia="宋体" w:cs="宋体"/>
          <w:b w:val="0"/>
          <w:bCs w:val="0"/>
          <w:color w:val="auto"/>
          <w:szCs w:val="30"/>
          <w:highlight w:val="none"/>
          <w:u w:val="none"/>
        </w:rPr>
        <w:t>第三节评分标准</w:t>
      </w:r>
      <w:r>
        <w:rPr>
          <w:rFonts w:hint="eastAsia" w:ascii="宋体" w:hAnsi="宋体" w:eastAsia="宋体" w:cs="宋体"/>
          <w:b w:val="0"/>
          <w:bCs w:val="0"/>
          <w:color w:val="auto"/>
          <w:highlight w:val="none"/>
          <w:u w:val="none"/>
        </w:rPr>
        <w:tab/>
      </w:r>
      <w:r>
        <w:rPr>
          <w:rFonts w:hint="eastAsia" w:ascii="宋体" w:hAnsi="宋体" w:eastAsia="宋体" w:cs="宋体"/>
          <w:b w:val="0"/>
          <w:bCs w:val="0"/>
          <w:color w:val="auto"/>
          <w:highlight w:val="none"/>
          <w:u w:val="none"/>
        </w:rPr>
        <w:fldChar w:fldCharType="begin"/>
      </w:r>
      <w:r>
        <w:rPr>
          <w:rFonts w:hint="eastAsia" w:ascii="宋体" w:hAnsi="宋体" w:eastAsia="宋体" w:cs="宋体"/>
          <w:b w:val="0"/>
          <w:bCs w:val="0"/>
          <w:color w:val="auto"/>
          <w:highlight w:val="none"/>
          <w:u w:val="none"/>
        </w:rPr>
        <w:instrText xml:space="preserve"> PAGEREF _Toc4504 \h </w:instrText>
      </w:r>
      <w:r>
        <w:rPr>
          <w:rFonts w:hint="eastAsia" w:ascii="宋体" w:hAnsi="宋体" w:eastAsia="宋体" w:cs="宋体"/>
          <w:b w:val="0"/>
          <w:bCs w:val="0"/>
          <w:color w:val="auto"/>
          <w:highlight w:val="none"/>
          <w:u w:val="none"/>
        </w:rPr>
        <w:fldChar w:fldCharType="separate"/>
      </w:r>
      <w:r>
        <w:rPr>
          <w:rFonts w:hint="eastAsia" w:ascii="宋体" w:hAnsi="宋体" w:eastAsia="宋体" w:cs="宋体"/>
          <w:b w:val="0"/>
          <w:bCs w:val="0"/>
          <w:color w:val="auto"/>
          <w:highlight w:val="none"/>
          <w:u w:val="none"/>
        </w:rPr>
        <w:t>49</w:t>
      </w:r>
      <w:r>
        <w:rPr>
          <w:rFonts w:hint="eastAsia" w:ascii="宋体" w:hAnsi="宋体" w:eastAsia="宋体" w:cs="宋体"/>
          <w:b w:val="0"/>
          <w:bCs w:val="0"/>
          <w:color w:val="auto"/>
          <w:highlight w:val="none"/>
          <w:u w:val="none"/>
        </w:rPr>
        <w:fldChar w:fldCharType="end"/>
      </w:r>
      <w:r>
        <w:rPr>
          <w:rFonts w:hint="eastAsia" w:ascii="宋体" w:hAnsi="宋体" w:eastAsia="宋体" w:cs="宋体"/>
          <w:b w:val="0"/>
          <w:bCs w:val="0"/>
          <w:caps/>
          <w:color w:val="auto"/>
          <w:szCs w:val="28"/>
          <w:highlight w:val="none"/>
          <w:u w:val="none"/>
        </w:rPr>
        <w:fldChar w:fldCharType="end"/>
      </w:r>
    </w:p>
    <w:p w14:paraId="15B9F97B">
      <w:pPr>
        <w:pStyle w:val="29"/>
        <w:tabs>
          <w:tab w:val="right" w:leader="dot" w:pos="9638"/>
        </w:tabs>
        <w:spacing w:line="400" w:lineRule="exact"/>
        <w:rPr>
          <w:rFonts w:hint="eastAsia" w:ascii="宋体" w:hAnsi="宋体" w:eastAsia="宋体" w:cs="宋体"/>
          <w:b w:val="0"/>
          <w:bCs w:val="0"/>
          <w:color w:val="auto"/>
          <w:highlight w:val="none"/>
          <w:u w:val="none"/>
        </w:rPr>
      </w:pPr>
      <w:r>
        <w:rPr>
          <w:rFonts w:hint="eastAsia" w:ascii="宋体" w:hAnsi="宋体" w:eastAsia="宋体" w:cs="宋体"/>
          <w:b w:val="0"/>
          <w:bCs w:val="0"/>
          <w:caps/>
          <w:color w:val="auto"/>
          <w:szCs w:val="28"/>
          <w:highlight w:val="none"/>
          <w:u w:val="none"/>
        </w:rPr>
        <w:fldChar w:fldCharType="begin"/>
      </w:r>
      <w:r>
        <w:rPr>
          <w:rFonts w:hint="eastAsia" w:ascii="宋体" w:hAnsi="宋体" w:eastAsia="宋体" w:cs="宋体"/>
          <w:b w:val="0"/>
          <w:bCs w:val="0"/>
          <w:caps/>
          <w:color w:val="auto"/>
          <w:szCs w:val="28"/>
          <w:highlight w:val="none"/>
          <w:u w:val="none"/>
        </w:rPr>
        <w:instrText xml:space="preserve"> HYPERLINK \l _Toc4895 </w:instrText>
      </w:r>
      <w:r>
        <w:rPr>
          <w:rFonts w:hint="eastAsia" w:ascii="宋体" w:hAnsi="宋体" w:eastAsia="宋体" w:cs="宋体"/>
          <w:b w:val="0"/>
          <w:bCs w:val="0"/>
          <w:caps/>
          <w:color w:val="auto"/>
          <w:szCs w:val="28"/>
          <w:highlight w:val="none"/>
          <w:u w:val="none"/>
        </w:rPr>
        <w:fldChar w:fldCharType="separate"/>
      </w:r>
      <w:r>
        <w:rPr>
          <w:rFonts w:hint="eastAsia" w:ascii="宋体" w:hAnsi="宋体" w:eastAsia="宋体" w:cs="宋体"/>
          <w:b w:val="0"/>
          <w:bCs w:val="0"/>
          <w:color w:val="auto"/>
          <w:szCs w:val="30"/>
          <w:highlight w:val="none"/>
          <w:u w:val="none"/>
        </w:rPr>
        <w:t>第四节中标候选人推荐原则</w:t>
      </w:r>
      <w:r>
        <w:rPr>
          <w:rFonts w:hint="eastAsia" w:ascii="宋体" w:hAnsi="宋体" w:eastAsia="宋体" w:cs="宋体"/>
          <w:b w:val="0"/>
          <w:bCs w:val="0"/>
          <w:color w:val="auto"/>
          <w:highlight w:val="none"/>
          <w:u w:val="none"/>
        </w:rPr>
        <w:tab/>
      </w:r>
      <w:r>
        <w:rPr>
          <w:rFonts w:hint="eastAsia" w:ascii="宋体" w:hAnsi="宋体" w:eastAsia="宋体" w:cs="宋体"/>
          <w:b w:val="0"/>
          <w:bCs w:val="0"/>
          <w:color w:val="auto"/>
          <w:highlight w:val="none"/>
          <w:u w:val="none"/>
        </w:rPr>
        <w:fldChar w:fldCharType="begin"/>
      </w:r>
      <w:r>
        <w:rPr>
          <w:rFonts w:hint="eastAsia" w:ascii="宋体" w:hAnsi="宋体" w:eastAsia="宋体" w:cs="宋体"/>
          <w:b w:val="0"/>
          <w:bCs w:val="0"/>
          <w:color w:val="auto"/>
          <w:highlight w:val="none"/>
          <w:u w:val="none"/>
        </w:rPr>
        <w:instrText xml:space="preserve"> PAGEREF _Toc4895 \h </w:instrText>
      </w:r>
      <w:r>
        <w:rPr>
          <w:rFonts w:hint="eastAsia" w:ascii="宋体" w:hAnsi="宋体" w:eastAsia="宋体" w:cs="宋体"/>
          <w:b w:val="0"/>
          <w:bCs w:val="0"/>
          <w:color w:val="auto"/>
          <w:highlight w:val="none"/>
          <w:u w:val="none"/>
        </w:rPr>
        <w:fldChar w:fldCharType="separate"/>
      </w:r>
      <w:r>
        <w:rPr>
          <w:rFonts w:hint="eastAsia" w:ascii="宋体" w:hAnsi="宋体" w:eastAsia="宋体" w:cs="宋体"/>
          <w:b w:val="0"/>
          <w:bCs w:val="0"/>
          <w:color w:val="auto"/>
          <w:highlight w:val="none"/>
          <w:u w:val="none"/>
        </w:rPr>
        <w:t>56</w:t>
      </w:r>
      <w:r>
        <w:rPr>
          <w:rFonts w:hint="eastAsia" w:ascii="宋体" w:hAnsi="宋体" w:eastAsia="宋体" w:cs="宋体"/>
          <w:b w:val="0"/>
          <w:bCs w:val="0"/>
          <w:color w:val="auto"/>
          <w:highlight w:val="none"/>
          <w:u w:val="none"/>
        </w:rPr>
        <w:fldChar w:fldCharType="end"/>
      </w:r>
      <w:r>
        <w:rPr>
          <w:rFonts w:hint="eastAsia" w:ascii="宋体" w:hAnsi="宋体" w:eastAsia="宋体" w:cs="宋体"/>
          <w:b w:val="0"/>
          <w:bCs w:val="0"/>
          <w:caps/>
          <w:color w:val="auto"/>
          <w:szCs w:val="28"/>
          <w:highlight w:val="none"/>
          <w:u w:val="none"/>
        </w:rPr>
        <w:fldChar w:fldCharType="end"/>
      </w:r>
    </w:p>
    <w:p w14:paraId="721B2ACC">
      <w:pPr>
        <w:pStyle w:val="29"/>
        <w:tabs>
          <w:tab w:val="right" w:leader="dot" w:pos="9638"/>
        </w:tabs>
        <w:spacing w:line="400" w:lineRule="exact"/>
        <w:rPr>
          <w:rFonts w:hint="eastAsia" w:ascii="宋体" w:hAnsi="宋体" w:eastAsia="宋体" w:cs="宋体"/>
          <w:b w:val="0"/>
          <w:bCs w:val="0"/>
          <w:color w:val="auto"/>
          <w:highlight w:val="none"/>
          <w:u w:val="none"/>
        </w:rPr>
      </w:pPr>
      <w:r>
        <w:rPr>
          <w:rFonts w:hint="eastAsia" w:ascii="宋体" w:hAnsi="宋体" w:eastAsia="宋体" w:cs="宋体"/>
          <w:b w:val="0"/>
          <w:bCs w:val="0"/>
          <w:caps/>
          <w:color w:val="auto"/>
          <w:szCs w:val="28"/>
          <w:highlight w:val="none"/>
          <w:u w:val="none"/>
        </w:rPr>
        <w:fldChar w:fldCharType="begin"/>
      </w:r>
      <w:r>
        <w:rPr>
          <w:rFonts w:hint="eastAsia" w:ascii="宋体" w:hAnsi="宋体" w:eastAsia="宋体" w:cs="宋体"/>
          <w:b w:val="0"/>
          <w:bCs w:val="0"/>
          <w:caps/>
          <w:color w:val="auto"/>
          <w:szCs w:val="28"/>
          <w:highlight w:val="none"/>
          <w:u w:val="none"/>
        </w:rPr>
        <w:instrText xml:space="preserve"> HYPERLINK \l _Toc11638 </w:instrText>
      </w:r>
      <w:r>
        <w:rPr>
          <w:rFonts w:hint="eastAsia" w:ascii="宋体" w:hAnsi="宋体" w:eastAsia="宋体" w:cs="宋体"/>
          <w:b w:val="0"/>
          <w:bCs w:val="0"/>
          <w:caps/>
          <w:color w:val="auto"/>
          <w:szCs w:val="28"/>
          <w:highlight w:val="none"/>
          <w:u w:val="none"/>
        </w:rPr>
        <w:fldChar w:fldCharType="separate"/>
      </w:r>
      <w:r>
        <w:rPr>
          <w:rFonts w:hint="eastAsia" w:ascii="宋体" w:hAnsi="宋体" w:eastAsia="宋体" w:cs="宋体"/>
          <w:b w:val="0"/>
          <w:bCs w:val="0"/>
          <w:color w:val="auto"/>
          <w:szCs w:val="30"/>
          <w:highlight w:val="none"/>
          <w:u w:val="none"/>
        </w:rPr>
        <w:t>第五节评标报告</w:t>
      </w:r>
      <w:r>
        <w:rPr>
          <w:rFonts w:hint="eastAsia" w:ascii="宋体" w:hAnsi="宋体" w:eastAsia="宋体" w:cs="宋体"/>
          <w:b w:val="0"/>
          <w:bCs w:val="0"/>
          <w:color w:val="auto"/>
          <w:highlight w:val="none"/>
          <w:u w:val="none"/>
        </w:rPr>
        <w:tab/>
      </w:r>
      <w:r>
        <w:rPr>
          <w:rFonts w:hint="eastAsia" w:ascii="宋体" w:hAnsi="宋体" w:eastAsia="宋体" w:cs="宋体"/>
          <w:b w:val="0"/>
          <w:bCs w:val="0"/>
          <w:color w:val="auto"/>
          <w:highlight w:val="none"/>
          <w:u w:val="none"/>
        </w:rPr>
        <w:fldChar w:fldCharType="begin"/>
      </w:r>
      <w:r>
        <w:rPr>
          <w:rFonts w:hint="eastAsia" w:ascii="宋体" w:hAnsi="宋体" w:eastAsia="宋体" w:cs="宋体"/>
          <w:b w:val="0"/>
          <w:bCs w:val="0"/>
          <w:color w:val="auto"/>
          <w:highlight w:val="none"/>
          <w:u w:val="none"/>
        </w:rPr>
        <w:instrText xml:space="preserve"> PAGEREF _Toc11638 \h </w:instrText>
      </w:r>
      <w:r>
        <w:rPr>
          <w:rFonts w:hint="eastAsia" w:ascii="宋体" w:hAnsi="宋体" w:eastAsia="宋体" w:cs="宋体"/>
          <w:b w:val="0"/>
          <w:bCs w:val="0"/>
          <w:color w:val="auto"/>
          <w:highlight w:val="none"/>
          <w:u w:val="none"/>
        </w:rPr>
        <w:fldChar w:fldCharType="separate"/>
      </w:r>
      <w:r>
        <w:rPr>
          <w:rFonts w:hint="eastAsia" w:ascii="宋体" w:hAnsi="宋体" w:eastAsia="宋体" w:cs="宋体"/>
          <w:b w:val="0"/>
          <w:bCs w:val="0"/>
          <w:color w:val="auto"/>
          <w:highlight w:val="none"/>
          <w:u w:val="none"/>
        </w:rPr>
        <w:t>56</w:t>
      </w:r>
      <w:r>
        <w:rPr>
          <w:rFonts w:hint="eastAsia" w:ascii="宋体" w:hAnsi="宋体" w:eastAsia="宋体" w:cs="宋体"/>
          <w:b w:val="0"/>
          <w:bCs w:val="0"/>
          <w:color w:val="auto"/>
          <w:highlight w:val="none"/>
          <w:u w:val="none"/>
        </w:rPr>
        <w:fldChar w:fldCharType="end"/>
      </w:r>
      <w:r>
        <w:rPr>
          <w:rFonts w:hint="eastAsia" w:ascii="宋体" w:hAnsi="宋体" w:eastAsia="宋体" w:cs="宋体"/>
          <w:b w:val="0"/>
          <w:bCs w:val="0"/>
          <w:caps/>
          <w:color w:val="auto"/>
          <w:szCs w:val="28"/>
          <w:highlight w:val="none"/>
          <w:u w:val="none"/>
        </w:rPr>
        <w:fldChar w:fldCharType="end"/>
      </w:r>
    </w:p>
    <w:p w14:paraId="1BC416ED">
      <w:pPr>
        <w:pStyle w:val="25"/>
        <w:tabs>
          <w:tab w:val="right" w:leader="dot" w:pos="9638"/>
        </w:tabs>
        <w:spacing w:before="0" w:after="0" w:line="400" w:lineRule="exact"/>
        <w:rPr>
          <w:rFonts w:hint="eastAsia" w:ascii="宋体" w:hAnsi="宋体" w:eastAsia="宋体" w:cs="宋体"/>
          <w:b w:val="0"/>
          <w:bCs w:val="0"/>
          <w:color w:val="auto"/>
          <w:highlight w:val="none"/>
          <w:u w:val="none"/>
        </w:rPr>
      </w:pPr>
      <w:r>
        <w:rPr>
          <w:rFonts w:hint="eastAsia" w:ascii="宋体" w:hAnsi="宋体" w:eastAsia="宋体" w:cs="宋体"/>
          <w:b w:val="0"/>
          <w:bCs w:val="0"/>
          <w:caps w:val="0"/>
          <w:color w:val="auto"/>
          <w:szCs w:val="28"/>
          <w:highlight w:val="none"/>
          <w:u w:val="none"/>
        </w:rPr>
        <w:fldChar w:fldCharType="begin"/>
      </w:r>
      <w:r>
        <w:rPr>
          <w:rFonts w:hint="eastAsia" w:ascii="宋体" w:hAnsi="宋体" w:eastAsia="宋体" w:cs="宋体"/>
          <w:b w:val="0"/>
          <w:bCs w:val="0"/>
          <w:caps w:val="0"/>
          <w:color w:val="auto"/>
          <w:szCs w:val="28"/>
          <w:highlight w:val="none"/>
          <w:u w:val="none"/>
        </w:rPr>
        <w:instrText xml:space="preserve"> HYPERLINK \l _Toc28121 </w:instrText>
      </w:r>
      <w:r>
        <w:rPr>
          <w:rFonts w:hint="eastAsia" w:ascii="宋体" w:hAnsi="宋体" w:eastAsia="宋体" w:cs="宋体"/>
          <w:b w:val="0"/>
          <w:bCs w:val="0"/>
          <w:caps w:val="0"/>
          <w:color w:val="auto"/>
          <w:szCs w:val="28"/>
          <w:highlight w:val="none"/>
          <w:u w:val="none"/>
        </w:rPr>
        <w:fldChar w:fldCharType="separate"/>
      </w:r>
      <w:r>
        <w:rPr>
          <w:rFonts w:hint="eastAsia" w:ascii="宋体" w:hAnsi="宋体" w:eastAsia="宋体" w:cs="宋体"/>
          <w:b w:val="0"/>
          <w:bCs w:val="0"/>
          <w:color w:val="auto"/>
          <w:highlight w:val="none"/>
          <w:u w:val="none"/>
        </w:rPr>
        <w:t>第五章拟签订的合同文本</w:t>
      </w:r>
      <w:r>
        <w:rPr>
          <w:rFonts w:hint="eastAsia" w:ascii="宋体" w:hAnsi="宋体" w:eastAsia="宋体" w:cs="宋体"/>
          <w:b w:val="0"/>
          <w:bCs w:val="0"/>
          <w:color w:val="auto"/>
          <w:highlight w:val="none"/>
          <w:u w:val="none"/>
        </w:rPr>
        <w:tab/>
      </w:r>
      <w:r>
        <w:rPr>
          <w:rFonts w:hint="eastAsia" w:ascii="宋体" w:hAnsi="宋体" w:eastAsia="宋体" w:cs="宋体"/>
          <w:b w:val="0"/>
          <w:bCs w:val="0"/>
          <w:color w:val="auto"/>
          <w:highlight w:val="none"/>
          <w:u w:val="none"/>
        </w:rPr>
        <w:fldChar w:fldCharType="begin"/>
      </w:r>
      <w:r>
        <w:rPr>
          <w:rFonts w:hint="eastAsia" w:ascii="宋体" w:hAnsi="宋体" w:eastAsia="宋体" w:cs="宋体"/>
          <w:b w:val="0"/>
          <w:bCs w:val="0"/>
          <w:color w:val="auto"/>
          <w:highlight w:val="none"/>
          <w:u w:val="none"/>
        </w:rPr>
        <w:instrText xml:space="preserve"> PAGEREF _Toc28121 \h </w:instrText>
      </w:r>
      <w:r>
        <w:rPr>
          <w:rFonts w:hint="eastAsia" w:ascii="宋体" w:hAnsi="宋体" w:eastAsia="宋体" w:cs="宋体"/>
          <w:b w:val="0"/>
          <w:bCs w:val="0"/>
          <w:color w:val="auto"/>
          <w:highlight w:val="none"/>
          <w:u w:val="none"/>
        </w:rPr>
        <w:fldChar w:fldCharType="separate"/>
      </w:r>
      <w:r>
        <w:rPr>
          <w:rFonts w:hint="eastAsia" w:ascii="宋体" w:hAnsi="宋体" w:eastAsia="宋体" w:cs="宋体"/>
          <w:b w:val="0"/>
          <w:bCs w:val="0"/>
          <w:color w:val="auto"/>
          <w:highlight w:val="none"/>
          <w:u w:val="none"/>
        </w:rPr>
        <w:t>57</w:t>
      </w:r>
      <w:r>
        <w:rPr>
          <w:rFonts w:hint="eastAsia" w:ascii="宋体" w:hAnsi="宋体" w:eastAsia="宋体" w:cs="宋体"/>
          <w:b w:val="0"/>
          <w:bCs w:val="0"/>
          <w:color w:val="auto"/>
          <w:highlight w:val="none"/>
          <w:u w:val="none"/>
        </w:rPr>
        <w:fldChar w:fldCharType="end"/>
      </w:r>
      <w:r>
        <w:rPr>
          <w:rFonts w:hint="eastAsia" w:ascii="宋体" w:hAnsi="宋体" w:eastAsia="宋体" w:cs="宋体"/>
          <w:b w:val="0"/>
          <w:bCs w:val="0"/>
          <w:caps w:val="0"/>
          <w:color w:val="auto"/>
          <w:szCs w:val="28"/>
          <w:highlight w:val="none"/>
          <w:u w:val="none"/>
        </w:rPr>
        <w:fldChar w:fldCharType="end"/>
      </w:r>
    </w:p>
    <w:p w14:paraId="5A61D5D8">
      <w:pPr>
        <w:pStyle w:val="25"/>
        <w:tabs>
          <w:tab w:val="right" w:leader="dot" w:pos="9638"/>
        </w:tabs>
        <w:spacing w:before="0" w:after="0" w:line="400" w:lineRule="exact"/>
        <w:rPr>
          <w:rFonts w:hint="eastAsia" w:ascii="宋体" w:hAnsi="宋体" w:eastAsia="宋体" w:cs="宋体"/>
          <w:b w:val="0"/>
          <w:bCs w:val="0"/>
          <w:color w:val="auto"/>
          <w:highlight w:val="none"/>
          <w:u w:val="none"/>
        </w:rPr>
      </w:pPr>
      <w:r>
        <w:rPr>
          <w:rFonts w:hint="eastAsia" w:ascii="宋体" w:hAnsi="宋体" w:eastAsia="宋体" w:cs="宋体"/>
          <w:b w:val="0"/>
          <w:bCs w:val="0"/>
          <w:caps w:val="0"/>
          <w:color w:val="auto"/>
          <w:szCs w:val="28"/>
          <w:highlight w:val="none"/>
          <w:u w:val="none"/>
        </w:rPr>
        <w:fldChar w:fldCharType="begin"/>
      </w:r>
      <w:r>
        <w:rPr>
          <w:rFonts w:hint="eastAsia" w:ascii="宋体" w:hAnsi="宋体" w:eastAsia="宋体" w:cs="宋体"/>
          <w:b w:val="0"/>
          <w:bCs w:val="0"/>
          <w:caps w:val="0"/>
          <w:color w:val="auto"/>
          <w:szCs w:val="28"/>
          <w:highlight w:val="none"/>
          <w:u w:val="none"/>
        </w:rPr>
        <w:instrText xml:space="preserve"> HYPERLINK \l _Toc31209 </w:instrText>
      </w:r>
      <w:r>
        <w:rPr>
          <w:rFonts w:hint="eastAsia" w:ascii="宋体" w:hAnsi="宋体" w:eastAsia="宋体" w:cs="宋体"/>
          <w:b w:val="0"/>
          <w:bCs w:val="0"/>
          <w:caps w:val="0"/>
          <w:color w:val="auto"/>
          <w:szCs w:val="28"/>
          <w:highlight w:val="none"/>
          <w:u w:val="none"/>
        </w:rPr>
        <w:fldChar w:fldCharType="separate"/>
      </w:r>
      <w:r>
        <w:rPr>
          <w:rFonts w:hint="eastAsia" w:ascii="宋体" w:hAnsi="宋体" w:eastAsia="宋体" w:cs="宋体"/>
          <w:b w:val="0"/>
          <w:bCs w:val="0"/>
          <w:color w:val="auto"/>
          <w:highlight w:val="none"/>
          <w:u w:val="none"/>
        </w:rPr>
        <w:t>第六章投标文件格式</w:t>
      </w:r>
      <w:r>
        <w:rPr>
          <w:rFonts w:hint="eastAsia" w:ascii="宋体" w:hAnsi="宋体" w:eastAsia="宋体" w:cs="宋体"/>
          <w:b w:val="0"/>
          <w:bCs w:val="0"/>
          <w:color w:val="auto"/>
          <w:highlight w:val="none"/>
          <w:u w:val="none"/>
        </w:rPr>
        <w:tab/>
      </w:r>
      <w:r>
        <w:rPr>
          <w:rFonts w:hint="eastAsia" w:ascii="宋体" w:hAnsi="宋体" w:eastAsia="宋体" w:cs="宋体"/>
          <w:b w:val="0"/>
          <w:bCs w:val="0"/>
          <w:color w:val="auto"/>
          <w:highlight w:val="none"/>
          <w:u w:val="none"/>
        </w:rPr>
        <w:fldChar w:fldCharType="begin"/>
      </w:r>
      <w:r>
        <w:rPr>
          <w:rFonts w:hint="eastAsia" w:ascii="宋体" w:hAnsi="宋体" w:eastAsia="宋体" w:cs="宋体"/>
          <w:b w:val="0"/>
          <w:bCs w:val="0"/>
          <w:color w:val="auto"/>
          <w:highlight w:val="none"/>
          <w:u w:val="none"/>
        </w:rPr>
        <w:instrText xml:space="preserve"> PAGEREF _Toc31209 \h </w:instrText>
      </w:r>
      <w:r>
        <w:rPr>
          <w:rFonts w:hint="eastAsia" w:ascii="宋体" w:hAnsi="宋体" w:eastAsia="宋体" w:cs="宋体"/>
          <w:b w:val="0"/>
          <w:bCs w:val="0"/>
          <w:color w:val="auto"/>
          <w:highlight w:val="none"/>
          <w:u w:val="none"/>
        </w:rPr>
        <w:fldChar w:fldCharType="separate"/>
      </w:r>
      <w:r>
        <w:rPr>
          <w:rFonts w:hint="eastAsia" w:ascii="宋体" w:hAnsi="宋体" w:eastAsia="宋体" w:cs="宋体"/>
          <w:b w:val="0"/>
          <w:bCs w:val="0"/>
          <w:color w:val="auto"/>
          <w:highlight w:val="none"/>
          <w:u w:val="none"/>
        </w:rPr>
        <w:t>72</w:t>
      </w:r>
      <w:r>
        <w:rPr>
          <w:rFonts w:hint="eastAsia" w:ascii="宋体" w:hAnsi="宋体" w:eastAsia="宋体" w:cs="宋体"/>
          <w:b w:val="0"/>
          <w:bCs w:val="0"/>
          <w:color w:val="auto"/>
          <w:highlight w:val="none"/>
          <w:u w:val="none"/>
        </w:rPr>
        <w:fldChar w:fldCharType="end"/>
      </w:r>
      <w:r>
        <w:rPr>
          <w:rFonts w:hint="eastAsia" w:ascii="宋体" w:hAnsi="宋体" w:eastAsia="宋体" w:cs="宋体"/>
          <w:b w:val="0"/>
          <w:bCs w:val="0"/>
          <w:caps w:val="0"/>
          <w:color w:val="auto"/>
          <w:szCs w:val="28"/>
          <w:highlight w:val="none"/>
          <w:u w:val="none"/>
        </w:rPr>
        <w:fldChar w:fldCharType="end"/>
      </w:r>
    </w:p>
    <w:p w14:paraId="7C63FD06">
      <w:pPr>
        <w:pStyle w:val="29"/>
        <w:tabs>
          <w:tab w:val="right" w:leader="dot" w:pos="9638"/>
        </w:tabs>
        <w:spacing w:line="400" w:lineRule="exact"/>
        <w:rPr>
          <w:rFonts w:hint="eastAsia" w:ascii="宋体" w:hAnsi="宋体" w:eastAsia="宋体" w:cs="宋体"/>
          <w:b w:val="0"/>
          <w:bCs w:val="0"/>
          <w:color w:val="auto"/>
          <w:highlight w:val="none"/>
          <w:u w:val="none"/>
        </w:rPr>
      </w:pPr>
      <w:r>
        <w:rPr>
          <w:rFonts w:hint="eastAsia" w:ascii="宋体" w:hAnsi="宋体" w:eastAsia="宋体" w:cs="宋体"/>
          <w:b w:val="0"/>
          <w:bCs w:val="0"/>
          <w:caps/>
          <w:color w:val="auto"/>
          <w:szCs w:val="28"/>
          <w:highlight w:val="none"/>
          <w:u w:val="none"/>
        </w:rPr>
        <w:fldChar w:fldCharType="begin"/>
      </w:r>
      <w:r>
        <w:rPr>
          <w:rFonts w:hint="eastAsia" w:ascii="宋体" w:hAnsi="宋体" w:eastAsia="宋体" w:cs="宋体"/>
          <w:b w:val="0"/>
          <w:bCs w:val="0"/>
          <w:caps/>
          <w:color w:val="auto"/>
          <w:szCs w:val="28"/>
          <w:highlight w:val="none"/>
          <w:u w:val="none"/>
        </w:rPr>
        <w:instrText xml:space="preserve"> HYPERLINK \l _Toc15299 </w:instrText>
      </w:r>
      <w:r>
        <w:rPr>
          <w:rFonts w:hint="eastAsia" w:ascii="宋体" w:hAnsi="宋体" w:eastAsia="宋体" w:cs="宋体"/>
          <w:b w:val="0"/>
          <w:bCs w:val="0"/>
          <w:caps/>
          <w:color w:val="auto"/>
          <w:szCs w:val="28"/>
          <w:highlight w:val="none"/>
          <w:u w:val="none"/>
        </w:rPr>
        <w:fldChar w:fldCharType="separate"/>
      </w:r>
      <w:r>
        <w:rPr>
          <w:rFonts w:hint="eastAsia" w:ascii="宋体" w:hAnsi="宋体" w:eastAsia="宋体" w:cs="宋体"/>
          <w:b w:val="0"/>
          <w:bCs w:val="0"/>
          <w:color w:val="auto"/>
          <w:szCs w:val="28"/>
          <w:highlight w:val="none"/>
          <w:u w:val="none"/>
        </w:rPr>
        <w:t>第一节投标文件外层包装封面</w:t>
      </w:r>
      <w:r>
        <w:rPr>
          <w:rFonts w:hint="eastAsia" w:ascii="宋体" w:hAnsi="宋体" w:eastAsia="宋体" w:cs="宋体"/>
          <w:b w:val="0"/>
          <w:bCs w:val="0"/>
          <w:color w:val="auto"/>
          <w:highlight w:val="none"/>
          <w:u w:val="none"/>
        </w:rPr>
        <w:tab/>
      </w:r>
      <w:r>
        <w:rPr>
          <w:rFonts w:hint="eastAsia" w:ascii="宋体" w:hAnsi="宋体" w:eastAsia="宋体" w:cs="宋体"/>
          <w:b w:val="0"/>
          <w:bCs w:val="0"/>
          <w:color w:val="auto"/>
          <w:highlight w:val="none"/>
          <w:u w:val="none"/>
        </w:rPr>
        <w:fldChar w:fldCharType="begin"/>
      </w:r>
      <w:r>
        <w:rPr>
          <w:rFonts w:hint="eastAsia" w:ascii="宋体" w:hAnsi="宋体" w:eastAsia="宋体" w:cs="宋体"/>
          <w:b w:val="0"/>
          <w:bCs w:val="0"/>
          <w:color w:val="auto"/>
          <w:highlight w:val="none"/>
          <w:u w:val="none"/>
        </w:rPr>
        <w:instrText xml:space="preserve"> PAGEREF _Toc15299 \h </w:instrText>
      </w:r>
      <w:r>
        <w:rPr>
          <w:rFonts w:hint="eastAsia" w:ascii="宋体" w:hAnsi="宋体" w:eastAsia="宋体" w:cs="宋体"/>
          <w:b w:val="0"/>
          <w:bCs w:val="0"/>
          <w:color w:val="auto"/>
          <w:highlight w:val="none"/>
          <w:u w:val="none"/>
        </w:rPr>
        <w:fldChar w:fldCharType="separate"/>
      </w:r>
      <w:r>
        <w:rPr>
          <w:rFonts w:hint="eastAsia" w:ascii="宋体" w:hAnsi="宋体" w:eastAsia="宋体" w:cs="宋体"/>
          <w:b w:val="0"/>
          <w:bCs w:val="0"/>
          <w:color w:val="auto"/>
          <w:highlight w:val="none"/>
          <w:u w:val="none"/>
        </w:rPr>
        <w:t>73</w:t>
      </w:r>
      <w:r>
        <w:rPr>
          <w:rFonts w:hint="eastAsia" w:ascii="宋体" w:hAnsi="宋体" w:eastAsia="宋体" w:cs="宋体"/>
          <w:b w:val="0"/>
          <w:bCs w:val="0"/>
          <w:color w:val="auto"/>
          <w:highlight w:val="none"/>
          <w:u w:val="none"/>
        </w:rPr>
        <w:fldChar w:fldCharType="end"/>
      </w:r>
      <w:r>
        <w:rPr>
          <w:rFonts w:hint="eastAsia" w:ascii="宋体" w:hAnsi="宋体" w:eastAsia="宋体" w:cs="宋体"/>
          <w:b w:val="0"/>
          <w:bCs w:val="0"/>
          <w:caps/>
          <w:color w:val="auto"/>
          <w:szCs w:val="28"/>
          <w:highlight w:val="none"/>
          <w:u w:val="none"/>
        </w:rPr>
        <w:fldChar w:fldCharType="end"/>
      </w:r>
    </w:p>
    <w:p w14:paraId="717C80FF">
      <w:pPr>
        <w:pStyle w:val="29"/>
        <w:tabs>
          <w:tab w:val="right" w:leader="dot" w:pos="9638"/>
        </w:tabs>
        <w:spacing w:line="400" w:lineRule="exact"/>
        <w:rPr>
          <w:rFonts w:hint="eastAsia" w:ascii="宋体" w:hAnsi="宋体" w:eastAsia="宋体" w:cs="宋体"/>
          <w:b w:val="0"/>
          <w:bCs w:val="0"/>
          <w:color w:val="auto"/>
          <w:highlight w:val="none"/>
          <w:u w:val="none"/>
        </w:rPr>
      </w:pPr>
      <w:r>
        <w:rPr>
          <w:rFonts w:hint="eastAsia" w:ascii="宋体" w:hAnsi="宋体" w:eastAsia="宋体" w:cs="宋体"/>
          <w:b w:val="0"/>
          <w:bCs w:val="0"/>
          <w:caps/>
          <w:color w:val="auto"/>
          <w:szCs w:val="28"/>
          <w:highlight w:val="none"/>
          <w:u w:val="none"/>
        </w:rPr>
        <w:fldChar w:fldCharType="begin"/>
      </w:r>
      <w:r>
        <w:rPr>
          <w:rFonts w:hint="eastAsia" w:ascii="宋体" w:hAnsi="宋体" w:eastAsia="宋体" w:cs="宋体"/>
          <w:b w:val="0"/>
          <w:bCs w:val="0"/>
          <w:caps/>
          <w:color w:val="auto"/>
          <w:szCs w:val="28"/>
          <w:highlight w:val="none"/>
          <w:u w:val="none"/>
        </w:rPr>
        <w:instrText xml:space="preserve"> HYPERLINK \l _Toc6921 </w:instrText>
      </w:r>
      <w:r>
        <w:rPr>
          <w:rFonts w:hint="eastAsia" w:ascii="宋体" w:hAnsi="宋体" w:eastAsia="宋体" w:cs="宋体"/>
          <w:b w:val="0"/>
          <w:bCs w:val="0"/>
          <w:caps/>
          <w:color w:val="auto"/>
          <w:szCs w:val="28"/>
          <w:highlight w:val="none"/>
          <w:u w:val="none"/>
        </w:rPr>
        <w:fldChar w:fldCharType="separate"/>
      </w:r>
      <w:r>
        <w:rPr>
          <w:rFonts w:hint="eastAsia" w:ascii="宋体" w:hAnsi="宋体" w:eastAsia="宋体" w:cs="宋体"/>
          <w:b w:val="0"/>
          <w:bCs w:val="0"/>
          <w:color w:val="auto"/>
          <w:szCs w:val="28"/>
          <w:highlight w:val="none"/>
          <w:u w:val="none"/>
        </w:rPr>
        <w:t>第二节资格证明文件格式</w:t>
      </w:r>
      <w:r>
        <w:rPr>
          <w:rFonts w:hint="eastAsia" w:ascii="宋体" w:hAnsi="宋体" w:eastAsia="宋体" w:cs="宋体"/>
          <w:b w:val="0"/>
          <w:bCs w:val="0"/>
          <w:color w:val="auto"/>
          <w:highlight w:val="none"/>
          <w:u w:val="none"/>
        </w:rPr>
        <w:tab/>
      </w:r>
      <w:r>
        <w:rPr>
          <w:rFonts w:hint="eastAsia" w:ascii="宋体" w:hAnsi="宋体" w:eastAsia="宋体" w:cs="宋体"/>
          <w:b w:val="0"/>
          <w:bCs w:val="0"/>
          <w:color w:val="auto"/>
          <w:highlight w:val="none"/>
          <w:u w:val="none"/>
        </w:rPr>
        <w:fldChar w:fldCharType="begin"/>
      </w:r>
      <w:r>
        <w:rPr>
          <w:rFonts w:hint="eastAsia" w:ascii="宋体" w:hAnsi="宋体" w:eastAsia="宋体" w:cs="宋体"/>
          <w:b w:val="0"/>
          <w:bCs w:val="0"/>
          <w:color w:val="auto"/>
          <w:highlight w:val="none"/>
          <w:u w:val="none"/>
        </w:rPr>
        <w:instrText xml:space="preserve"> PAGEREF _Toc6921 \h </w:instrText>
      </w:r>
      <w:r>
        <w:rPr>
          <w:rFonts w:hint="eastAsia" w:ascii="宋体" w:hAnsi="宋体" w:eastAsia="宋体" w:cs="宋体"/>
          <w:b w:val="0"/>
          <w:bCs w:val="0"/>
          <w:color w:val="auto"/>
          <w:highlight w:val="none"/>
          <w:u w:val="none"/>
        </w:rPr>
        <w:fldChar w:fldCharType="separate"/>
      </w:r>
      <w:r>
        <w:rPr>
          <w:rFonts w:hint="eastAsia" w:ascii="宋体" w:hAnsi="宋体" w:eastAsia="宋体" w:cs="宋体"/>
          <w:b w:val="0"/>
          <w:bCs w:val="0"/>
          <w:color w:val="auto"/>
          <w:highlight w:val="none"/>
          <w:u w:val="none"/>
        </w:rPr>
        <w:t>74</w:t>
      </w:r>
      <w:r>
        <w:rPr>
          <w:rFonts w:hint="eastAsia" w:ascii="宋体" w:hAnsi="宋体" w:eastAsia="宋体" w:cs="宋体"/>
          <w:b w:val="0"/>
          <w:bCs w:val="0"/>
          <w:color w:val="auto"/>
          <w:highlight w:val="none"/>
          <w:u w:val="none"/>
        </w:rPr>
        <w:fldChar w:fldCharType="end"/>
      </w:r>
      <w:r>
        <w:rPr>
          <w:rFonts w:hint="eastAsia" w:ascii="宋体" w:hAnsi="宋体" w:eastAsia="宋体" w:cs="宋体"/>
          <w:b w:val="0"/>
          <w:bCs w:val="0"/>
          <w:caps/>
          <w:color w:val="auto"/>
          <w:szCs w:val="28"/>
          <w:highlight w:val="none"/>
          <w:u w:val="none"/>
        </w:rPr>
        <w:fldChar w:fldCharType="end"/>
      </w:r>
    </w:p>
    <w:p w14:paraId="0ACDC53F">
      <w:pPr>
        <w:pStyle w:val="29"/>
        <w:tabs>
          <w:tab w:val="right" w:leader="dot" w:pos="9638"/>
        </w:tabs>
        <w:spacing w:line="400" w:lineRule="exact"/>
        <w:rPr>
          <w:rFonts w:hint="eastAsia" w:ascii="宋体" w:hAnsi="宋体" w:eastAsia="宋体" w:cs="宋体"/>
          <w:b w:val="0"/>
          <w:bCs w:val="0"/>
          <w:color w:val="auto"/>
          <w:highlight w:val="none"/>
          <w:u w:val="none"/>
        </w:rPr>
      </w:pPr>
      <w:r>
        <w:rPr>
          <w:rFonts w:hint="eastAsia" w:ascii="宋体" w:hAnsi="宋体" w:eastAsia="宋体" w:cs="宋体"/>
          <w:b w:val="0"/>
          <w:bCs w:val="0"/>
          <w:caps/>
          <w:color w:val="auto"/>
          <w:szCs w:val="28"/>
          <w:highlight w:val="none"/>
          <w:u w:val="none"/>
        </w:rPr>
        <w:fldChar w:fldCharType="begin"/>
      </w:r>
      <w:r>
        <w:rPr>
          <w:rFonts w:hint="eastAsia" w:ascii="宋体" w:hAnsi="宋体" w:eastAsia="宋体" w:cs="宋体"/>
          <w:b w:val="0"/>
          <w:bCs w:val="0"/>
          <w:caps/>
          <w:color w:val="auto"/>
          <w:szCs w:val="28"/>
          <w:highlight w:val="none"/>
          <w:u w:val="none"/>
        </w:rPr>
        <w:instrText xml:space="preserve"> HYPERLINK \l _Toc18919 </w:instrText>
      </w:r>
      <w:r>
        <w:rPr>
          <w:rFonts w:hint="eastAsia" w:ascii="宋体" w:hAnsi="宋体" w:eastAsia="宋体" w:cs="宋体"/>
          <w:b w:val="0"/>
          <w:bCs w:val="0"/>
          <w:caps/>
          <w:color w:val="auto"/>
          <w:szCs w:val="28"/>
          <w:highlight w:val="none"/>
          <w:u w:val="none"/>
        </w:rPr>
        <w:fldChar w:fldCharType="separate"/>
      </w:r>
      <w:r>
        <w:rPr>
          <w:rFonts w:hint="eastAsia" w:ascii="宋体" w:hAnsi="宋体" w:eastAsia="宋体" w:cs="宋体"/>
          <w:b w:val="0"/>
          <w:bCs w:val="0"/>
          <w:color w:val="auto"/>
          <w:szCs w:val="28"/>
          <w:highlight w:val="none"/>
          <w:u w:val="none"/>
        </w:rPr>
        <w:t>第三节商务文件格式</w:t>
      </w:r>
      <w:r>
        <w:rPr>
          <w:rFonts w:hint="eastAsia" w:ascii="宋体" w:hAnsi="宋体" w:eastAsia="宋体" w:cs="宋体"/>
          <w:b w:val="0"/>
          <w:bCs w:val="0"/>
          <w:color w:val="auto"/>
          <w:highlight w:val="none"/>
          <w:u w:val="none"/>
        </w:rPr>
        <w:tab/>
      </w:r>
      <w:r>
        <w:rPr>
          <w:rFonts w:hint="eastAsia" w:ascii="宋体" w:hAnsi="宋体" w:eastAsia="宋体" w:cs="宋体"/>
          <w:b w:val="0"/>
          <w:bCs w:val="0"/>
          <w:color w:val="auto"/>
          <w:highlight w:val="none"/>
          <w:u w:val="none"/>
        </w:rPr>
        <w:fldChar w:fldCharType="begin"/>
      </w:r>
      <w:r>
        <w:rPr>
          <w:rFonts w:hint="eastAsia" w:ascii="宋体" w:hAnsi="宋体" w:eastAsia="宋体" w:cs="宋体"/>
          <w:b w:val="0"/>
          <w:bCs w:val="0"/>
          <w:color w:val="auto"/>
          <w:highlight w:val="none"/>
          <w:u w:val="none"/>
        </w:rPr>
        <w:instrText xml:space="preserve"> PAGEREF _Toc18919 \h </w:instrText>
      </w:r>
      <w:r>
        <w:rPr>
          <w:rFonts w:hint="eastAsia" w:ascii="宋体" w:hAnsi="宋体" w:eastAsia="宋体" w:cs="宋体"/>
          <w:b w:val="0"/>
          <w:bCs w:val="0"/>
          <w:color w:val="auto"/>
          <w:highlight w:val="none"/>
          <w:u w:val="none"/>
        </w:rPr>
        <w:fldChar w:fldCharType="separate"/>
      </w:r>
      <w:r>
        <w:rPr>
          <w:rFonts w:hint="eastAsia" w:ascii="宋体" w:hAnsi="宋体" w:eastAsia="宋体" w:cs="宋体"/>
          <w:b w:val="0"/>
          <w:bCs w:val="0"/>
          <w:color w:val="auto"/>
          <w:highlight w:val="none"/>
          <w:u w:val="none"/>
        </w:rPr>
        <w:t>82</w:t>
      </w:r>
      <w:r>
        <w:rPr>
          <w:rFonts w:hint="eastAsia" w:ascii="宋体" w:hAnsi="宋体" w:eastAsia="宋体" w:cs="宋体"/>
          <w:b w:val="0"/>
          <w:bCs w:val="0"/>
          <w:color w:val="auto"/>
          <w:highlight w:val="none"/>
          <w:u w:val="none"/>
        </w:rPr>
        <w:fldChar w:fldCharType="end"/>
      </w:r>
      <w:r>
        <w:rPr>
          <w:rFonts w:hint="eastAsia" w:ascii="宋体" w:hAnsi="宋体" w:eastAsia="宋体" w:cs="宋体"/>
          <w:b w:val="0"/>
          <w:bCs w:val="0"/>
          <w:caps/>
          <w:color w:val="auto"/>
          <w:szCs w:val="28"/>
          <w:highlight w:val="none"/>
          <w:u w:val="none"/>
        </w:rPr>
        <w:fldChar w:fldCharType="end"/>
      </w:r>
    </w:p>
    <w:p w14:paraId="6F43EB43">
      <w:pPr>
        <w:pStyle w:val="29"/>
        <w:tabs>
          <w:tab w:val="right" w:leader="dot" w:pos="9638"/>
        </w:tabs>
        <w:spacing w:line="400" w:lineRule="exact"/>
        <w:rPr>
          <w:rFonts w:hint="eastAsia" w:ascii="宋体" w:hAnsi="宋体" w:eastAsia="宋体" w:cs="宋体"/>
          <w:b w:val="0"/>
          <w:bCs w:val="0"/>
          <w:color w:val="auto"/>
          <w:highlight w:val="none"/>
          <w:u w:val="none"/>
        </w:rPr>
      </w:pPr>
      <w:r>
        <w:rPr>
          <w:rFonts w:hint="eastAsia" w:ascii="宋体" w:hAnsi="宋体" w:eastAsia="宋体" w:cs="宋体"/>
          <w:b w:val="0"/>
          <w:bCs w:val="0"/>
          <w:caps/>
          <w:color w:val="auto"/>
          <w:szCs w:val="28"/>
          <w:highlight w:val="none"/>
          <w:u w:val="none"/>
        </w:rPr>
        <w:fldChar w:fldCharType="begin"/>
      </w:r>
      <w:r>
        <w:rPr>
          <w:rFonts w:hint="eastAsia" w:ascii="宋体" w:hAnsi="宋体" w:eastAsia="宋体" w:cs="宋体"/>
          <w:b w:val="0"/>
          <w:bCs w:val="0"/>
          <w:caps/>
          <w:color w:val="auto"/>
          <w:szCs w:val="28"/>
          <w:highlight w:val="none"/>
          <w:u w:val="none"/>
        </w:rPr>
        <w:instrText xml:space="preserve"> HYPERLINK \l _Toc26027 </w:instrText>
      </w:r>
      <w:r>
        <w:rPr>
          <w:rFonts w:hint="eastAsia" w:ascii="宋体" w:hAnsi="宋体" w:eastAsia="宋体" w:cs="宋体"/>
          <w:b w:val="0"/>
          <w:bCs w:val="0"/>
          <w:caps/>
          <w:color w:val="auto"/>
          <w:szCs w:val="28"/>
          <w:highlight w:val="none"/>
          <w:u w:val="none"/>
        </w:rPr>
        <w:fldChar w:fldCharType="separate"/>
      </w:r>
      <w:r>
        <w:rPr>
          <w:rFonts w:hint="eastAsia" w:ascii="宋体" w:hAnsi="宋体" w:eastAsia="宋体" w:cs="宋体"/>
          <w:b w:val="0"/>
          <w:bCs w:val="0"/>
          <w:color w:val="auto"/>
          <w:szCs w:val="28"/>
          <w:highlight w:val="none"/>
          <w:u w:val="none"/>
        </w:rPr>
        <w:t>第四节技术文件格式</w:t>
      </w:r>
      <w:r>
        <w:rPr>
          <w:rFonts w:hint="eastAsia" w:ascii="宋体" w:hAnsi="宋体" w:eastAsia="宋体" w:cs="宋体"/>
          <w:b w:val="0"/>
          <w:bCs w:val="0"/>
          <w:color w:val="auto"/>
          <w:highlight w:val="none"/>
          <w:u w:val="none"/>
        </w:rPr>
        <w:tab/>
      </w:r>
      <w:r>
        <w:rPr>
          <w:rFonts w:hint="eastAsia" w:ascii="宋体" w:hAnsi="宋体" w:eastAsia="宋体" w:cs="宋体"/>
          <w:b w:val="0"/>
          <w:bCs w:val="0"/>
          <w:color w:val="auto"/>
          <w:highlight w:val="none"/>
          <w:u w:val="none"/>
        </w:rPr>
        <w:fldChar w:fldCharType="begin"/>
      </w:r>
      <w:r>
        <w:rPr>
          <w:rFonts w:hint="eastAsia" w:ascii="宋体" w:hAnsi="宋体" w:eastAsia="宋体" w:cs="宋体"/>
          <w:b w:val="0"/>
          <w:bCs w:val="0"/>
          <w:color w:val="auto"/>
          <w:highlight w:val="none"/>
          <w:u w:val="none"/>
        </w:rPr>
        <w:instrText xml:space="preserve"> PAGEREF _Toc26027 \h </w:instrText>
      </w:r>
      <w:r>
        <w:rPr>
          <w:rFonts w:hint="eastAsia" w:ascii="宋体" w:hAnsi="宋体" w:eastAsia="宋体" w:cs="宋体"/>
          <w:b w:val="0"/>
          <w:bCs w:val="0"/>
          <w:color w:val="auto"/>
          <w:highlight w:val="none"/>
          <w:u w:val="none"/>
        </w:rPr>
        <w:fldChar w:fldCharType="separate"/>
      </w:r>
      <w:r>
        <w:rPr>
          <w:rFonts w:hint="eastAsia" w:ascii="宋体" w:hAnsi="宋体" w:eastAsia="宋体" w:cs="宋体"/>
          <w:b w:val="0"/>
          <w:bCs w:val="0"/>
          <w:color w:val="auto"/>
          <w:highlight w:val="none"/>
          <w:u w:val="none"/>
        </w:rPr>
        <w:t>93</w:t>
      </w:r>
      <w:r>
        <w:rPr>
          <w:rFonts w:hint="eastAsia" w:ascii="宋体" w:hAnsi="宋体" w:eastAsia="宋体" w:cs="宋体"/>
          <w:b w:val="0"/>
          <w:bCs w:val="0"/>
          <w:color w:val="auto"/>
          <w:highlight w:val="none"/>
          <w:u w:val="none"/>
        </w:rPr>
        <w:fldChar w:fldCharType="end"/>
      </w:r>
      <w:r>
        <w:rPr>
          <w:rFonts w:hint="eastAsia" w:ascii="宋体" w:hAnsi="宋体" w:eastAsia="宋体" w:cs="宋体"/>
          <w:b w:val="0"/>
          <w:bCs w:val="0"/>
          <w:caps/>
          <w:color w:val="auto"/>
          <w:szCs w:val="28"/>
          <w:highlight w:val="none"/>
          <w:u w:val="none"/>
        </w:rPr>
        <w:fldChar w:fldCharType="end"/>
      </w:r>
    </w:p>
    <w:p w14:paraId="3E0E78D3">
      <w:pPr>
        <w:pStyle w:val="29"/>
        <w:tabs>
          <w:tab w:val="right" w:leader="dot" w:pos="9638"/>
        </w:tabs>
        <w:spacing w:line="400" w:lineRule="exact"/>
        <w:rPr>
          <w:rFonts w:hint="eastAsia" w:ascii="宋体" w:hAnsi="宋体" w:eastAsia="宋体" w:cs="宋体"/>
          <w:b w:val="0"/>
          <w:bCs w:val="0"/>
          <w:color w:val="auto"/>
          <w:highlight w:val="none"/>
          <w:u w:val="none"/>
        </w:rPr>
      </w:pPr>
      <w:r>
        <w:rPr>
          <w:rFonts w:hint="eastAsia" w:ascii="宋体" w:hAnsi="宋体" w:eastAsia="宋体" w:cs="宋体"/>
          <w:b w:val="0"/>
          <w:bCs w:val="0"/>
          <w:caps/>
          <w:color w:val="auto"/>
          <w:szCs w:val="28"/>
          <w:highlight w:val="none"/>
          <w:u w:val="none"/>
        </w:rPr>
        <w:fldChar w:fldCharType="begin"/>
      </w:r>
      <w:r>
        <w:rPr>
          <w:rFonts w:hint="eastAsia" w:ascii="宋体" w:hAnsi="宋体" w:eastAsia="宋体" w:cs="宋体"/>
          <w:b w:val="0"/>
          <w:bCs w:val="0"/>
          <w:caps/>
          <w:color w:val="auto"/>
          <w:szCs w:val="28"/>
          <w:highlight w:val="none"/>
          <w:u w:val="none"/>
        </w:rPr>
        <w:instrText xml:space="preserve"> HYPERLINK \l _Toc11766 </w:instrText>
      </w:r>
      <w:r>
        <w:rPr>
          <w:rFonts w:hint="eastAsia" w:ascii="宋体" w:hAnsi="宋体" w:eastAsia="宋体" w:cs="宋体"/>
          <w:b w:val="0"/>
          <w:bCs w:val="0"/>
          <w:caps/>
          <w:color w:val="auto"/>
          <w:szCs w:val="28"/>
          <w:highlight w:val="none"/>
          <w:u w:val="none"/>
        </w:rPr>
        <w:fldChar w:fldCharType="separate"/>
      </w:r>
      <w:r>
        <w:rPr>
          <w:rFonts w:hint="eastAsia" w:ascii="宋体" w:hAnsi="宋体" w:eastAsia="宋体" w:cs="宋体"/>
          <w:b w:val="0"/>
          <w:bCs w:val="0"/>
          <w:color w:val="auto"/>
          <w:szCs w:val="28"/>
          <w:highlight w:val="none"/>
          <w:u w:val="none"/>
        </w:rPr>
        <w:t>第五节报价文件格式</w:t>
      </w:r>
      <w:r>
        <w:rPr>
          <w:rFonts w:hint="eastAsia" w:ascii="宋体" w:hAnsi="宋体" w:eastAsia="宋体" w:cs="宋体"/>
          <w:b w:val="0"/>
          <w:bCs w:val="0"/>
          <w:color w:val="auto"/>
          <w:highlight w:val="none"/>
          <w:u w:val="none"/>
        </w:rPr>
        <w:tab/>
      </w:r>
      <w:r>
        <w:rPr>
          <w:rFonts w:hint="eastAsia" w:ascii="宋体" w:hAnsi="宋体" w:eastAsia="宋体" w:cs="宋体"/>
          <w:b w:val="0"/>
          <w:bCs w:val="0"/>
          <w:color w:val="auto"/>
          <w:highlight w:val="none"/>
          <w:u w:val="none"/>
        </w:rPr>
        <w:fldChar w:fldCharType="begin"/>
      </w:r>
      <w:r>
        <w:rPr>
          <w:rFonts w:hint="eastAsia" w:ascii="宋体" w:hAnsi="宋体" w:eastAsia="宋体" w:cs="宋体"/>
          <w:b w:val="0"/>
          <w:bCs w:val="0"/>
          <w:color w:val="auto"/>
          <w:highlight w:val="none"/>
          <w:u w:val="none"/>
        </w:rPr>
        <w:instrText xml:space="preserve"> PAGEREF _Toc11766 \h </w:instrText>
      </w:r>
      <w:r>
        <w:rPr>
          <w:rFonts w:hint="eastAsia" w:ascii="宋体" w:hAnsi="宋体" w:eastAsia="宋体" w:cs="宋体"/>
          <w:b w:val="0"/>
          <w:bCs w:val="0"/>
          <w:color w:val="auto"/>
          <w:highlight w:val="none"/>
          <w:u w:val="none"/>
        </w:rPr>
        <w:fldChar w:fldCharType="separate"/>
      </w:r>
      <w:r>
        <w:rPr>
          <w:rFonts w:hint="eastAsia" w:ascii="宋体" w:hAnsi="宋体" w:eastAsia="宋体" w:cs="宋体"/>
          <w:b w:val="0"/>
          <w:bCs w:val="0"/>
          <w:color w:val="auto"/>
          <w:highlight w:val="none"/>
          <w:u w:val="none"/>
        </w:rPr>
        <w:t>100</w:t>
      </w:r>
      <w:r>
        <w:rPr>
          <w:rFonts w:hint="eastAsia" w:ascii="宋体" w:hAnsi="宋体" w:eastAsia="宋体" w:cs="宋体"/>
          <w:b w:val="0"/>
          <w:bCs w:val="0"/>
          <w:color w:val="auto"/>
          <w:highlight w:val="none"/>
          <w:u w:val="none"/>
        </w:rPr>
        <w:fldChar w:fldCharType="end"/>
      </w:r>
      <w:r>
        <w:rPr>
          <w:rFonts w:hint="eastAsia" w:ascii="宋体" w:hAnsi="宋体" w:eastAsia="宋体" w:cs="宋体"/>
          <w:b w:val="0"/>
          <w:bCs w:val="0"/>
          <w:caps/>
          <w:color w:val="auto"/>
          <w:szCs w:val="28"/>
          <w:highlight w:val="none"/>
          <w:u w:val="none"/>
        </w:rPr>
        <w:fldChar w:fldCharType="end"/>
      </w:r>
    </w:p>
    <w:p w14:paraId="26969461">
      <w:pPr>
        <w:pStyle w:val="29"/>
        <w:tabs>
          <w:tab w:val="right" w:leader="dot" w:pos="9638"/>
        </w:tabs>
        <w:spacing w:line="400" w:lineRule="exact"/>
        <w:rPr>
          <w:rFonts w:hint="eastAsia" w:ascii="宋体" w:hAnsi="宋体" w:eastAsia="宋体" w:cs="宋体"/>
          <w:b w:val="0"/>
          <w:bCs w:val="0"/>
          <w:color w:val="auto"/>
          <w:highlight w:val="none"/>
          <w:u w:val="none"/>
        </w:rPr>
      </w:pPr>
      <w:r>
        <w:rPr>
          <w:rFonts w:hint="eastAsia" w:ascii="宋体" w:hAnsi="宋体" w:eastAsia="宋体" w:cs="宋体"/>
          <w:b w:val="0"/>
          <w:bCs w:val="0"/>
          <w:caps/>
          <w:color w:val="auto"/>
          <w:szCs w:val="28"/>
          <w:highlight w:val="none"/>
          <w:u w:val="none"/>
        </w:rPr>
        <w:fldChar w:fldCharType="begin"/>
      </w:r>
      <w:r>
        <w:rPr>
          <w:rFonts w:hint="eastAsia" w:ascii="宋体" w:hAnsi="宋体" w:eastAsia="宋体" w:cs="宋体"/>
          <w:b w:val="0"/>
          <w:bCs w:val="0"/>
          <w:caps/>
          <w:color w:val="auto"/>
          <w:szCs w:val="28"/>
          <w:highlight w:val="none"/>
          <w:u w:val="none"/>
        </w:rPr>
        <w:instrText xml:space="preserve"> HYPERLINK \l _Toc1085 </w:instrText>
      </w:r>
      <w:r>
        <w:rPr>
          <w:rFonts w:hint="eastAsia" w:ascii="宋体" w:hAnsi="宋体" w:eastAsia="宋体" w:cs="宋体"/>
          <w:b w:val="0"/>
          <w:bCs w:val="0"/>
          <w:caps/>
          <w:color w:val="auto"/>
          <w:szCs w:val="28"/>
          <w:highlight w:val="none"/>
          <w:u w:val="none"/>
        </w:rPr>
        <w:fldChar w:fldCharType="separate"/>
      </w:r>
      <w:r>
        <w:rPr>
          <w:rFonts w:hint="eastAsia" w:ascii="宋体" w:hAnsi="宋体" w:eastAsia="宋体" w:cs="宋体"/>
          <w:b w:val="0"/>
          <w:bCs w:val="0"/>
          <w:color w:val="auto"/>
          <w:szCs w:val="28"/>
          <w:highlight w:val="none"/>
          <w:u w:val="none"/>
        </w:rPr>
        <w:t>第六节其他文书、文件格式</w:t>
      </w:r>
      <w:r>
        <w:rPr>
          <w:rFonts w:hint="eastAsia" w:ascii="宋体" w:hAnsi="宋体" w:eastAsia="宋体" w:cs="宋体"/>
          <w:b w:val="0"/>
          <w:bCs w:val="0"/>
          <w:color w:val="auto"/>
          <w:highlight w:val="none"/>
          <w:u w:val="none"/>
        </w:rPr>
        <w:tab/>
      </w:r>
      <w:r>
        <w:rPr>
          <w:rFonts w:hint="eastAsia" w:ascii="宋体" w:hAnsi="宋体" w:eastAsia="宋体" w:cs="宋体"/>
          <w:b w:val="0"/>
          <w:bCs w:val="0"/>
          <w:color w:val="auto"/>
          <w:highlight w:val="none"/>
          <w:u w:val="none"/>
        </w:rPr>
        <w:fldChar w:fldCharType="begin"/>
      </w:r>
      <w:r>
        <w:rPr>
          <w:rFonts w:hint="eastAsia" w:ascii="宋体" w:hAnsi="宋体" w:eastAsia="宋体" w:cs="宋体"/>
          <w:b w:val="0"/>
          <w:bCs w:val="0"/>
          <w:color w:val="auto"/>
          <w:highlight w:val="none"/>
          <w:u w:val="none"/>
        </w:rPr>
        <w:instrText xml:space="preserve"> PAGEREF _Toc1085 \h </w:instrText>
      </w:r>
      <w:r>
        <w:rPr>
          <w:rFonts w:hint="eastAsia" w:ascii="宋体" w:hAnsi="宋体" w:eastAsia="宋体" w:cs="宋体"/>
          <w:b w:val="0"/>
          <w:bCs w:val="0"/>
          <w:color w:val="auto"/>
          <w:highlight w:val="none"/>
          <w:u w:val="none"/>
        </w:rPr>
        <w:fldChar w:fldCharType="separate"/>
      </w:r>
      <w:r>
        <w:rPr>
          <w:rFonts w:hint="eastAsia" w:ascii="宋体" w:hAnsi="宋体" w:eastAsia="宋体" w:cs="宋体"/>
          <w:b w:val="0"/>
          <w:bCs w:val="0"/>
          <w:color w:val="auto"/>
          <w:highlight w:val="none"/>
          <w:u w:val="none"/>
        </w:rPr>
        <w:t>106</w:t>
      </w:r>
      <w:r>
        <w:rPr>
          <w:rFonts w:hint="eastAsia" w:ascii="宋体" w:hAnsi="宋体" w:eastAsia="宋体" w:cs="宋体"/>
          <w:b w:val="0"/>
          <w:bCs w:val="0"/>
          <w:color w:val="auto"/>
          <w:highlight w:val="none"/>
          <w:u w:val="none"/>
        </w:rPr>
        <w:fldChar w:fldCharType="end"/>
      </w:r>
      <w:r>
        <w:rPr>
          <w:rFonts w:hint="eastAsia" w:ascii="宋体" w:hAnsi="宋体" w:eastAsia="宋体" w:cs="宋体"/>
          <w:b w:val="0"/>
          <w:bCs w:val="0"/>
          <w:caps/>
          <w:color w:val="auto"/>
          <w:szCs w:val="28"/>
          <w:highlight w:val="none"/>
          <w:u w:val="none"/>
        </w:rPr>
        <w:fldChar w:fldCharType="end"/>
      </w:r>
    </w:p>
    <w:p w14:paraId="52AC47D6">
      <w:pPr>
        <w:pStyle w:val="25"/>
        <w:tabs>
          <w:tab w:val="right" w:leader="dot" w:pos="9638"/>
        </w:tabs>
        <w:spacing w:before="0" w:after="0" w:line="400" w:lineRule="exact"/>
        <w:rPr>
          <w:rFonts w:hint="eastAsia" w:ascii="宋体" w:hAnsi="宋体" w:eastAsia="宋体" w:cs="宋体"/>
          <w:b w:val="0"/>
          <w:bCs w:val="0"/>
          <w:color w:val="auto"/>
          <w:highlight w:val="none"/>
          <w:u w:val="none"/>
        </w:rPr>
      </w:pPr>
      <w:r>
        <w:rPr>
          <w:rFonts w:hint="eastAsia" w:ascii="宋体" w:hAnsi="宋体" w:eastAsia="宋体" w:cs="宋体"/>
          <w:b w:val="0"/>
          <w:bCs w:val="0"/>
          <w:caps w:val="0"/>
          <w:color w:val="auto"/>
          <w:szCs w:val="28"/>
          <w:highlight w:val="none"/>
          <w:u w:val="none"/>
        </w:rPr>
        <w:fldChar w:fldCharType="begin"/>
      </w:r>
      <w:r>
        <w:rPr>
          <w:rFonts w:hint="eastAsia" w:ascii="宋体" w:hAnsi="宋体" w:eastAsia="宋体" w:cs="宋体"/>
          <w:b w:val="0"/>
          <w:bCs w:val="0"/>
          <w:caps w:val="0"/>
          <w:color w:val="auto"/>
          <w:szCs w:val="28"/>
          <w:highlight w:val="none"/>
          <w:u w:val="none"/>
        </w:rPr>
        <w:instrText xml:space="preserve"> HYPERLINK \l _Toc11806 </w:instrText>
      </w:r>
      <w:r>
        <w:rPr>
          <w:rFonts w:hint="eastAsia" w:ascii="宋体" w:hAnsi="宋体" w:eastAsia="宋体" w:cs="宋体"/>
          <w:b w:val="0"/>
          <w:bCs w:val="0"/>
          <w:caps w:val="0"/>
          <w:color w:val="auto"/>
          <w:szCs w:val="28"/>
          <w:highlight w:val="none"/>
          <w:u w:val="none"/>
        </w:rPr>
        <w:fldChar w:fldCharType="separate"/>
      </w:r>
      <w:r>
        <w:rPr>
          <w:rFonts w:hint="eastAsia" w:ascii="宋体" w:hAnsi="宋体" w:eastAsia="宋体" w:cs="宋体"/>
          <w:b w:val="0"/>
          <w:bCs w:val="0"/>
          <w:color w:val="auto"/>
          <w:highlight w:val="none"/>
          <w:u w:val="none"/>
        </w:rPr>
        <w:t>第七章质疑、投诉证明材料格式</w:t>
      </w:r>
      <w:r>
        <w:rPr>
          <w:rFonts w:hint="eastAsia" w:ascii="宋体" w:hAnsi="宋体" w:eastAsia="宋体" w:cs="宋体"/>
          <w:b w:val="0"/>
          <w:bCs w:val="0"/>
          <w:color w:val="auto"/>
          <w:highlight w:val="none"/>
          <w:u w:val="none"/>
        </w:rPr>
        <w:tab/>
      </w:r>
      <w:r>
        <w:rPr>
          <w:rFonts w:hint="eastAsia" w:ascii="宋体" w:hAnsi="宋体" w:eastAsia="宋体" w:cs="宋体"/>
          <w:b w:val="0"/>
          <w:bCs w:val="0"/>
          <w:color w:val="auto"/>
          <w:highlight w:val="none"/>
          <w:u w:val="none"/>
        </w:rPr>
        <w:fldChar w:fldCharType="begin"/>
      </w:r>
      <w:r>
        <w:rPr>
          <w:rFonts w:hint="eastAsia" w:ascii="宋体" w:hAnsi="宋体" w:eastAsia="宋体" w:cs="宋体"/>
          <w:b w:val="0"/>
          <w:bCs w:val="0"/>
          <w:color w:val="auto"/>
          <w:highlight w:val="none"/>
          <w:u w:val="none"/>
        </w:rPr>
        <w:instrText xml:space="preserve"> PAGEREF _Toc11806 \h </w:instrText>
      </w:r>
      <w:r>
        <w:rPr>
          <w:rFonts w:hint="eastAsia" w:ascii="宋体" w:hAnsi="宋体" w:eastAsia="宋体" w:cs="宋体"/>
          <w:b w:val="0"/>
          <w:bCs w:val="0"/>
          <w:color w:val="auto"/>
          <w:highlight w:val="none"/>
          <w:u w:val="none"/>
        </w:rPr>
        <w:fldChar w:fldCharType="separate"/>
      </w:r>
      <w:r>
        <w:rPr>
          <w:rFonts w:hint="eastAsia" w:ascii="宋体" w:hAnsi="宋体" w:eastAsia="宋体" w:cs="宋体"/>
          <w:b w:val="0"/>
          <w:bCs w:val="0"/>
          <w:color w:val="auto"/>
          <w:highlight w:val="none"/>
          <w:u w:val="none"/>
        </w:rPr>
        <w:t>108</w:t>
      </w:r>
      <w:r>
        <w:rPr>
          <w:rFonts w:hint="eastAsia" w:ascii="宋体" w:hAnsi="宋体" w:eastAsia="宋体" w:cs="宋体"/>
          <w:b w:val="0"/>
          <w:bCs w:val="0"/>
          <w:color w:val="auto"/>
          <w:highlight w:val="none"/>
          <w:u w:val="none"/>
        </w:rPr>
        <w:fldChar w:fldCharType="end"/>
      </w:r>
      <w:r>
        <w:rPr>
          <w:rFonts w:hint="eastAsia" w:ascii="宋体" w:hAnsi="宋体" w:eastAsia="宋体" w:cs="宋体"/>
          <w:b w:val="0"/>
          <w:bCs w:val="0"/>
          <w:caps w:val="0"/>
          <w:color w:val="auto"/>
          <w:szCs w:val="28"/>
          <w:highlight w:val="none"/>
          <w:u w:val="none"/>
        </w:rPr>
        <w:fldChar w:fldCharType="end"/>
      </w:r>
    </w:p>
    <w:p w14:paraId="2402F35E">
      <w:pPr>
        <w:pStyle w:val="29"/>
        <w:tabs>
          <w:tab w:val="right" w:leader="dot" w:pos="9638"/>
        </w:tabs>
        <w:spacing w:line="400" w:lineRule="exact"/>
        <w:rPr>
          <w:rFonts w:hint="eastAsia" w:ascii="宋体" w:hAnsi="宋体" w:eastAsia="宋体" w:cs="宋体"/>
          <w:b w:val="0"/>
          <w:bCs w:val="0"/>
          <w:color w:val="auto"/>
          <w:highlight w:val="none"/>
          <w:u w:val="none"/>
        </w:rPr>
      </w:pPr>
      <w:r>
        <w:rPr>
          <w:rFonts w:hint="eastAsia" w:ascii="宋体" w:hAnsi="宋体" w:eastAsia="宋体" w:cs="宋体"/>
          <w:b w:val="0"/>
          <w:bCs w:val="0"/>
          <w:caps/>
          <w:color w:val="auto"/>
          <w:szCs w:val="28"/>
          <w:highlight w:val="none"/>
          <w:u w:val="none"/>
        </w:rPr>
        <w:fldChar w:fldCharType="begin"/>
      </w:r>
      <w:r>
        <w:rPr>
          <w:rFonts w:hint="eastAsia" w:ascii="宋体" w:hAnsi="宋体" w:eastAsia="宋体" w:cs="宋体"/>
          <w:b w:val="0"/>
          <w:bCs w:val="0"/>
          <w:caps/>
          <w:color w:val="auto"/>
          <w:szCs w:val="28"/>
          <w:highlight w:val="none"/>
          <w:u w:val="none"/>
        </w:rPr>
        <w:instrText xml:space="preserve"> HYPERLINK \l _Toc15308 </w:instrText>
      </w:r>
      <w:r>
        <w:rPr>
          <w:rFonts w:hint="eastAsia" w:ascii="宋体" w:hAnsi="宋体" w:eastAsia="宋体" w:cs="宋体"/>
          <w:b w:val="0"/>
          <w:bCs w:val="0"/>
          <w:caps/>
          <w:color w:val="auto"/>
          <w:szCs w:val="28"/>
          <w:highlight w:val="none"/>
          <w:u w:val="none"/>
        </w:rPr>
        <w:fldChar w:fldCharType="separate"/>
      </w:r>
      <w:r>
        <w:rPr>
          <w:rFonts w:hint="eastAsia" w:ascii="宋体" w:hAnsi="宋体" w:eastAsia="宋体" w:cs="宋体"/>
          <w:b w:val="0"/>
          <w:bCs w:val="0"/>
          <w:color w:val="auto"/>
          <w:highlight w:val="none"/>
          <w:u w:val="none"/>
        </w:rPr>
        <w:t>第一节质疑函（格式）</w:t>
      </w:r>
      <w:r>
        <w:rPr>
          <w:rFonts w:hint="eastAsia" w:ascii="宋体" w:hAnsi="宋体" w:eastAsia="宋体" w:cs="宋体"/>
          <w:b w:val="0"/>
          <w:bCs w:val="0"/>
          <w:color w:val="auto"/>
          <w:highlight w:val="none"/>
          <w:u w:val="none"/>
        </w:rPr>
        <w:tab/>
      </w:r>
      <w:r>
        <w:rPr>
          <w:rFonts w:hint="eastAsia" w:ascii="宋体" w:hAnsi="宋体" w:eastAsia="宋体" w:cs="宋体"/>
          <w:b w:val="0"/>
          <w:bCs w:val="0"/>
          <w:color w:val="auto"/>
          <w:highlight w:val="none"/>
          <w:u w:val="none"/>
        </w:rPr>
        <w:fldChar w:fldCharType="begin"/>
      </w:r>
      <w:r>
        <w:rPr>
          <w:rFonts w:hint="eastAsia" w:ascii="宋体" w:hAnsi="宋体" w:eastAsia="宋体" w:cs="宋体"/>
          <w:b w:val="0"/>
          <w:bCs w:val="0"/>
          <w:color w:val="auto"/>
          <w:highlight w:val="none"/>
          <w:u w:val="none"/>
        </w:rPr>
        <w:instrText xml:space="preserve"> PAGEREF _Toc15308 \h </w:instrText>
      </w:r>
      <w:r>
        <w:rPr>
          <w:rFonts w:hint="eastAsia" w:ascii="宋体" w:hAnsi="宋体" w:eastAsia="宋体" w:cs="宋体"/>
          <w:b w:val="0"/>
          <w:bCs w:val="0"/>
          <w:color w:val="auto"/>
          <w:highlight w:val="none"/>
          <w:u w:val="none"/>
        </w:rPr>
        <w:fldChar w:fldCharType="separate"/>
      </w:r>
      <w:r>
        <w:rPr>
          <w:rFonts w:hint="eastAsia" w:ascii="宋体" w:hAnsi="宋体" w:eastAsia="宋体" w:cs="宋体"/>
          <w:b w:val="0"/>
          <w:bCs w:val="0"/>
          <w:color w:val="auto"/>
          <w:highlight w:val="none"/>
          <w:u w:val="none"/>
        </w:rPr>
        <w:t>109</w:t>
      </w:r>
      <w:r>
        <w:rPr>
          <w:rFonts w:hint="eastAsia" w:ascii="宋体" w:hAnsi="宋体" w:eastAsia="宋体" w:cs="宋体"/>
          <w:b w:val="0"/>
          <w:bCs w:val="0"/>
          <w:color w:val="auto"/>
          <w:highlight w:val="none"/>
          <w:u w:val="none"/>
        </w:rPr>
        <w:fldChar w:fldCharType="end"/>
      </w:r>
      <w:r>
        <w:rPr>
          <w:rFonts w:hint="eastAsia" w:ascii="宋体" w:hAnsi="宋体" w:eastAsia="宋体" w:cs="宋体"/>
          <w:b w:val="0"/>
          <w:bCs w:val="0"/>
          <w:caps/>
          <w:color w:val="auto"/>
          <w:szCs w:val="28"/>
          <w:highlight w:val="none"/>
          <w:u w:val="none"/>
        </w:rPr>
        <w:fldChar w:fldCharType="end"/>
      </w:r>
    </w:p>
    <w:p w14:paraId="6BD31BC6">
      <w:pPr>
        <w:pStyle w:val="29"/>
        <w:tabs>
          <w:tab w:val="right" w:leader="dot" w:pos="9638"/>
        </w:tabs>
        <w:spacing w:line="400" w:lineRule="exact"/>
        <w:rPr>
          <w:rFonts w:hint="eastAsia" w:ascii="宋体" w:hAnsi="宋体" w:eastAsia="宋体" w:cs="宋体"/>
          <w:b w:val="0"/>
          <w:bCs w:val="0"/>
          <w:color w:val="auto"/>
          <w:highlight w:val="none"/>
          <w:u w:val="none"/>
        </w:rPr>
      </w:pPr>
      <w:r>
        <w:rPr>
          <w:rFonts w:hint="eastAsia" w:ascii="宋体" w:hAnsi="宋体" w:eastAsia="宋体" w:cs="宋体"/>
          <w:b w:val="0"/>
          <w:bCs w:val="0"/>
          <w:caps/>
          <w:color w:val="auto"/>
          <w:szCs w:val="28"/>
          <w:highlight w:val="none"/>
          <w:u w:val="none"/>
        </w:rPr>
        <w:fldChar w:fldCharType="begin"/>
      </w:r>
      <w:r>
        <w:rPr>
          <w:rFonts w:hint="eastAsia" w:ascii="宋体" w:hAnsi="宋体" w:eastAsia="宋体" w:cs="宋体"/>
          <w:b w:val="0"/>
          <w:bCs w:val="0"/>
          <w:caps/>
          <w:color w:val="auto"/>
          <w:szCs w:val="28"/>
          <w:highlight w:val="none"/>
          <w:u w:val="none"/>
        </w:rPr>
        <w:instrText xml:space="preserve"> HYPERLINK \l _Toc31876 </w:instrText>
      </w:r>
      <w:r>
        <w:rPr>
          <w:rFonts w:hint="eastAsia" w:ascii="宋体" w:hAnsi="宋体" w:eastAsia="宋体" w:cs="宋体"/>
          <w:b w:val="0"/>
          <w:bCs w:val="0"/>
          <w:caps/>
          <w:color w:val="auto"/>
          <w:szCs w:val="28"/>
          <w:highlight w:val="none"/>
          <w:u w:val="none"/>
        </w:rPr>
        <w:fldChar w:fldCharType="separate"/>
      </w:r>
      <w:r>
        <w:rPr>
          <w:rFonts w:hint="eastAsia" w:ascii="宋体" w:hAnsi="宋体" w:eastAsia="宋体" w:cs="宋体"/>
          <w:b w:val="0"/>
          <w:bCs w:val="0"/>
          <w:color w:val="auto"/>
          <w:highlight w:val="none"/>
          <w:u w:val="none"/>
        </w:rPr>
        <w:t>第二节投诉书（格式）</w:t>
      </w:r>
      <w:r>
        <w:rPr>
          <w:rFonts w:hint="eastAsia" w:ascii="宋体" w:hAnsi="宋体" w:eastAsia="宋体" w:cs="宋体"/>
          <w:b w:val="0"/>
          <w:bCs w:val="0"/>
          <w:color w:val="auto"/>
          <w:highlight w:val="none"/>
          <w:u w:val="none"/>
        </w:rPr>
        <w:tab/>
      </w:r>
      <w:r>
        <w:rPr>
          <w:rFonts w:hint="eastAsia" w:ascii="宋体" w:hAnsi="宋体" w:eastAsia="宋体" w:cs="宋体"/>
          <w:b w:val="0"/>
          <w:bCs w:val="0"/>
          <w:color w:val="auto"/>
          <w:highlight w:val="none"/>
          <w:u w:val="none"/>
        </w:rPr>
        <w:fldChar w:fldCharType="begin"/>
      </w:r>
      <w:r>
        <w:rPr>
          <w:rFonts w:hint="eastAsia" w:ascii="宋体" w:hAnsi="宋体" w:eastAsia="宋体" w:cs="宋体"/>
          <w:b w:val="0"/>
          <w:bCs w:val="0"/>
          <w:color w:val="auto"/>
          <w:highlight w:val="none"/>
          <w:u w:val="none"/>
        </w:rPr>
        <w:instrText xml:space="preserve"> PAGEREF _Toc31876 \h </w:instrText>
      </w:r>
      <w:r>
        <w:rPr>
          <w:rFonts w:hint="eastAsia" w:ascii="宋体" w:hAnsi="宋体" w:eastAsia="宋体" w:cs="宋体"/>
          <w:b w:val="0"/>
          <w:bCs w:val="0"/>
          <w:color w:val="auto"/>
          <w:highlight w:val="none"/>
          <w:u w:val="none"/>
        </w:rPr>
        <w:fldChar w:fldCharType="separate"/>
      </w:r>
      <w:r>
        <w:rPr>
          <w:rFonts w:hint="eastAsia" w:ascii="宋体" w:hAnsi="宋体" w:eastAsia="宋体" w:cs="宋体"/>
          <w:b w:val="0"/>
          <w:bCs w:val="0"/>
          <w:color w:val="auto"/>
          <w:highlight w:val="none"/>
          <w:u w:val="none"/>
        </w:rPr>
        <w:t>110</w:t>
      </w:r>
      <w:r>
        <w:rPr>
          <w:rFonts w:hint="eastAsia" w:ascii="宋体" w:hAnsi="宋体" w:eastAsia="宋体" w:cs="宋体"/>
          <w:b w:val="0"/>
          <w:bCs w:val="0"/>
          <w:color w:val="auto"/>
          <w:highlight w:val="none"/>
          <w:u w:val="none"/>
        </w:rPr>
        <w:fldChar w:fldCharType="end"/>
      </w:r>
      <w:r>
        <w:rPr>
          <w:rFonts w:hint="eastAsia" w:ascii="宋体" w:hAnsi="宋体" w:eastAsia="宋体" w:cs="宋体"/>
          <w:b w:val="0"/>
          <w:bCs w:val="0"/>
          <w:caps/>
          <w:color w:val="auto"/>
          <w:szCs w:val="28"/>
          <w:highlight w:val="none"/>
          <w:u w:val="none"/>
        </w:rPr>
        <w:fldChar w:fldCharType="end"/>
      </w:r>
    </w:p>
    <w:p w14:paraId="730EA660">
      <w:pPr>
        <w:bidi w:val="0"/>
        <w:rPr>
          <w:rFonts w:hint="eastAsia" w:ascii="宋体" w:hAnsi="宋体" w:eastAsia="宋体" w:cs="宋体"/>
          <w:color w:val="auto"/>
          <w:highlight w:val="none"/>
        </w:rPr>
      </w:pPr>
      <w:r>
        <w:rPr>
          <w:rFonts w:hint="eastAsia" w:ascii="宋体" w:hAnsi="宋体" w:eastAsia="宋体" w:cs="宋体"/>
          <w:b w:val="0"/>
          <w:bCs w:val="0"/>
          <w:color w:val="auto"/>
          <w:highlight w:val="none"/>
          <w:u w:val="none"/>
        </w:rPr>
        <w:fldChar w:fldCharType="end"/>
      </w:r>
      <w:bookmarkStart w:id="0" w:name="_Toc29755"/>
    </w:p>
    <w:p w14:paraId="3DD22178">
      <w:pPr>
        <w:pStyle w:val="18"/>
        <w:jc w:val="center"/>
        <w:outlineLvl w:val="0"/>
        <w:rPr>
          <w:rFonts w:hint="eastAsia" w:ascii="宋体" w:hAnsi="宋体" w:eastAsia="宋体" w:cs="宋体"/>
          <w:b/>
          <w:color w:val="auto"/>
          <w:sz w:val="36"/>
          <w:highlight w:val="none"/>
        </w:rPr>
      </w:pPr>
      <w:r>
        <w:rPr>
          <w:rFonts w:hint="eastAsia" w:ascii="宋体" w:hAnsi="宋体" w:eastAsia="宋体" w:cs="宋体"/>
          <w:bCs/>
          <w:caps/>
          <w:color w:val="auto"/>
          <w:szCs w:val="28"/>
          <w:highlight w:val="none"/>
          <w:u w:val="single"/>
        </w:rPr>
        <w:br w:type="page"/>
      </w:r>
      <w:r>
        <w:rPr>
          <w:rFonts w:hint="eastAsia" w:ascii="宋体" w:hAnsi="宋体" w:eastAsia="宋体" w:cs="宋体"/>
          <w:b/>
          <w:color w:val="auto"/>
          <w:sz w:val="36"/>
          <w:highlight w:val="none"/>
        </w:rPr>
        <w:t>第一章</w:t>
      </w:r>
      <w:r>
        <w:rPr>
          <w:rFonts w:hint="eastAsia" w:hAnsi="宋体" w:cs="宋体"/>
          <w:b/>
          <w:color w:val="auto"/>
          <w:sz w:val="36"/>
          <w:highlight w:val="none"/>
          <w:lang w:val="en-US" w:eastAsia="zh-CN"/>
        </w:rPr>
        <w:t xml:space="preserve"> </w:t>
      </w:r>
      <w:r>
        <w:rPr>
          <w:rFonts w:hint="eastAsia" w:ascii="宋体" w:hAnsi="宋体" w:eastAsia="宋体" w:cs="宋体"/>
          <w:b/>
          <w:color w:val="auto"/>
          <w:sz w:val="36"/>
          <w:highlight w:val="none"/>
        </w:rPr>
        <w:t>招标公告</w:t>
      </w:r>
      <w:bookmarkEnd w:id="0"/>
    </w:p>
    <w:p w14:paraId="176CC04E">
      <w:pPr>
        <w:pStyle w:val="18"/>
        <w:jc w:val="center"/>
        <w:rPr>
          <w:rFonts w:hint="eastAsia" w:ascii="宋体" w:hAnsi="宋体" w:eastAsia="宋体" w:cs="宋体"/>
          <w:b/>
          <w:color w:val="auto"/>
          <w:sz w:val="30"/>
          <w:szCs w:val="30"/>
          <w:highlight w:val="none"/>
        </w:rPr>
      </w:pPr>
      <w:r>
        <w:rPr>
          <w:rFonts w:hint="eastAsia" w:ascii="宋体" w:hAnsi="宋体" w:eastAsia="宋体" w:cs="宋体"/>
          <w:b/>
          <w:color w:val="auto"/>
          <w:sz w:val="30"/>
          <w:szCs w:val="30"/>
          <w:highlight w:val="none"/>
        </w:rPr>
        <w:t>公开招标公告</w:t>
      </w:r>
    </w:p>
    <w:p w14:paraId="0B32D7DD">
      <w:pPr>
        <w:pBdr>
          <w:top w:val="single" w:color="auto" w:sz="4" w:space="1"/>
          <w:left w:val="single" w:color="auto" w:sz="4" w:space="4"/>
          <w:bottom w:val="single" w:color="auto" w:sz="4" w:space="1"/>
          <w:right w:val="single" w:color="auto" w:sz="4" w:space="4"/>
        </w:pBdr>
        <w:spacing w:line="24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项目概况</w:t>
      </w:r>
    </w:p>
    <w:p w14:paraId="018E34A5">
      <w:pPr>
        <w:pBdr>
          <w:top w:val="single" w:color="auto" w:sz="4" w:space="1"/>
          <w:left w:val="single" w:color="auto" w:sz="4" w:space="4"/>
          <w:bottom w:val="single" w:color="auto" w:sz="4" w:space="1"/>
          <w:right w:val="single" w:color="auto" w:sz="4" w:space="4"/>
        </w:pBdr>
        <w:spacing w:line="240" w:lineRule="auto"/>
        <w:ind w:firstLine="525" w:firstLineChars="250"/>
        <w:rPr>
          <w:rFonts w:hint="eastAsia" w:ascii="宋体" w:hAnsi="宋体" w:eastAsia="宋体" w:cs="宋体"/>
          <w:color w:val="auto"/>
          <w:sz w:val="21"/>
          <w:szCs w:val="21"/>
          <w:highlight w:val="none"/>
          <w:u w:val="single"/>
        </w:rPr>
      </w:pPr>
      <w:r>
        <w:rPr>
          <w:rFonts w:hint="eastAsia" w:ascii="宋体" w:hAnsi="宋体" w:cs="宋体"/>
          <w:color w:val="auto"/>
          <w:sz w:val="21"/>
          <w:szCs w:val="21"/>
          <w:highlight w:val="none"/>
          <w:u w:val="single"/>
          <w:lang w:eastAsia="zh-CN"/>
        </w:rPr>
        <w:t>2026年度中央财政林业草原生态保护恢复资金一广西横州市西津国家重要湿地保护与恢复项目（干扰及成效监测、科普宣教）</w:t>
      </w:r>
      <w:r>
        <w:rPr>
          <w:rFonts w:hint="eastAsia" w:ascii="宋体" w:hAnsi="宋体" w:eastAsia="宋体" w:cs="宋体"/>
          <w:color w:val="auto"/>
          <w:sz w:val="21"/>
          <w:szCs w:val="21"/>
          <w:highlight w:val="none"/>
        </w:rPr>
        <w:t>招标项目的潜在投标人应在</w:t>
      </w:r>
      <w:r>
        <w:rPr>
          <w:rFonts w:hint="eastAsia" w:ascii="宋体" w:hAnsi="宋体" w:eastAsia="宋体" w:cs="宋体"/>
          <w:color w:val="auto"/>
          <w:sz w:val="21"/>
          <w:szCs w:val="21"/>
          <w:highlight w:val="none"/>
          <w:lang w:eastAsia="zh-CN"/>
        </w:rPr>
        <w:t>广西政府采购云平台</w:t>
      </w: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lang w:eastAsia="zh-CN"/>
        </w:rPr>
        <w:t>https://www.gcy.zfcg.gxzf.gov.cn/</w:t>
      </w:r>
      <w:r>
        <w:rPr>
          <w:rFonts w:hint="eastAsia" w:ascii="宋体" w:hAnsi="宋体" w:eastAsia="宋体" w:cs="宋体"/>
          <w:color w:val="auto"/>
          <w:sz w:val="21"/>
          <w:szCs w:val="21"/>
          <w:highlight w:val="none"/>
        </w:rPr>
        <w:t>）获取（下载）招标文件，并于</w:t>
      </w:r>
      <w:r>
        <w:rPr>
          <w:rFonts w:hint="eastAsia" w:ascii="宋体" w:hAnsi="宋体" w:cs="宋体"/>
          <w:color w:val="auto"/>
          <w:sz w:val="21"/>
          <w:szCs w:val="21"/>
          <w:highlight w:val="none"/>
          <w:u w:val="single"/>
          <w:lang w:eastAsia="zh-CN"/>
        </w:rPr>
        <w:t>2026年</w:t>
      </w:r>
      <w:r>
        <w:rPr>
          <w:rFonts w:hint="eastAsia" w:ascii="宋体" w:hAnsi="宋体" w:cs="宋体"/>
          <w:color w:val="auto"/>
          <w:sz w:val="21"/>
          <w:szCs w:val="21"/>
          <w:highlight w:val="none"/>
          <w:u w:val="single"/>
          <w:lang w:val="en-US" w:eastAsia="zh-CN"/>
        </w:rPr>
        <w:t>10</w:t>
      </w:r>
      <w:r>
        <w:rPr>
          <w:rFonts w:hint="eastAsia" w:ascii="宋体" w:hAnsi="宋体" w:cs="宋体"/>
          <w:color w:val="auto"/>
          <w:sz w:val="21"/>
          <w:szCs w:val="21"/>
          <w:highlight w:val="none"/>
          <w:u w:val="single"/>
          <w:lang w:eastAsia="zh-CN"/>
        </w:rPr>
        <w:t>月</w:t>
      </w:r>
      <w:r>
        <w:rPr>
          <w:rFonts w:hint="eastAsia" w:ascii="宋体" w:hAnsi="宋体" w:cs="宋体"/>
          <w:color w:val="auto"/>
          <w:sz w:val="21"/>
          <w:szCs w:val="21"/>
          <w:highlight w:val="none"/>
          <w:u w:val="single"/>
          <w:lang w:val="en-US" w:eastAsia="zh-CN"/>
        </w:rPr>
        <w:t>20</w:t>
      </w:r>
      <w:r>
        <w:rPr>
          <w:rFonts w:hint="eastAsia" w:ascii="宋体" w:hAnsi="宋体" w:cs="宋体"/>
          <w:color w:val="auto"/>
          <w:sz w:val="21"/>
          <w:szCs w:val="21"/>
          <w:highlight w:val="none"/>
          <w:u w:val="single"/>
          <w:lang w:eastAsia="zh-CN"/>
        </w:rPr>
        <w:t>日09时30分</w:t>
      </w:r>
      <w:r>
        <w:rPr>
          <w:rFonts w:hint="eastAsia" w:ascii="宋体" w:hAnsi="宋体" w:eastAsia="宋体" w:cs="宋体"/>
          <w:bCs/>
          <w:color w:val="auto"/>
          <w:sz w:val="21"/>
          <w:szCs w:val="21"/>
          <w:highlight w:val="none"/>
        </w:rPr>
        <w:t>（北京时间）前</w:t>
      </w:r>
      <w:r>
        <w:rPr>
          <w:rFonts w:hint="eastAsia" w:ascii="宋体" w:hAnsi="宋体" w:eastAsia="宋体" w:cs="宋体"/>
          <w:color w:val="auto"/>
          <w:sz w:val="21"/>
          <w:szCs w:val="21"/>
          <w:highlight w:val="none"/>
        </w:rPr>
        <w:t>递交（上传）投标文件。</w:t>
      </w:r>
    </w:p>
    <w:p w14:paraId="52F2E0DB">
      <w:pPr>
        <w:spacing w:line="360" w:lineRule="auto"/>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一、项目基本情况</w:t>
      </w:r>
    </w:p>
    <w:p w14:paraId="58C5123A">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rPr>
        <w:t>项目编号：</w:t>
      </w:r>
      <w:r>
        <w:rPr>
          <w:rFonts w:hint="eastAsia" w:ascii="宋体" w:hAnsi="宋体" w:cs="宋体"/>
          <w:color w:val="auto"/>
          <w:szCs w:val="21"/>
          <w:highlight w:val="none"/>
          <w:lang w:eastAsia="zh-CN"/>
        </w:rPr>
        <w:t>NNZC2026-G3-270174-GXZT</w:t>
      </w:r>
    </w:p>
    <w:p w14:paraId="175D1F12">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采购计划编号：HZZC2026-G3-02379-001</w:t>
      </w:r>
      <w:r>
        <w:rPr>
          <w:rFonts w:hint="eastAsia" w:ascii="宋体" w:hAnsi="宋体" w:cs="宋体"/>
          <w:color w:val="auto"/>
          <w:szCs w:val="21"/>
          <w:highlight w:val="none"/>
          <w:lang w:val="en-US" w:eastAsia="zh-CN"/>
        </w:rPr>
        <w:t>、HZZC2026-G3-02379-002</w:t>
      </w:r>
    </w:p>
    <w:p w14:paraId="24540597">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rPr>
        <w:t>项目名称：</w:t>
      </w:r>
      <w:r>
        <w:rPr>
          <w:rFonts w:hint="eastAsia" w:ascii="宋体" w:hAnsi="宋体" w:cs="宋体"/>
          <w:color w:val="auto"/>
          <w:szCs w:val="21"/>
          <w:highlight w:val="none"/>
          <w:lang w:eastAsia="zh-CN"/>
        </w:rPr>
        <w:t>2026年度中央财政林业草原生态保护恢复资金一广西横州市西津国家重要湿地保护与恢复项目（干扰及成效监测、科普宣教）</w:t>
      </w:r>
    </w:p>
    <w:p w14:paraId="26483CF3">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rPr>
        <w:t>预算金额：</w:t>
      </w:r>
      <w:r>
        <w:rPr>
          <w:rFonts w:hint="eastAsia" w:ascii="宋体" w:hAnsi="宋体" w:cs="宋体"/>
          <w:color w:val="auto"/>
          <w:szCs w:val="21"/>
          <w:highlight w:val="none"/>
          <w:lang w:val="en-US" w:eastAsia="zh-CN"/>
        </w:rPr>
        <w:t>424.00</w:t>
      </w:r>
      <w:r>
        <w:rPr>
          <w:rFonts w:hint="eastAsia" w:ascii="宋体" w:hAnsi="宋体" w:eastAsia="宋体" w:cs="宋体"/>
          <w:color w:val="auto"/>
          <w:szCs w:val="21"/>
          <w:highlight w:val="none"/>
        </w:rPr>
        <w:t>万元</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lang w:val="en-US" w:eastAsia="zh-CN"/>
        </w:rPr>
        <w:t>其中分标1</w:t>
      </w:r>
      <w:r>
        <w:rPr>
          <w:rFonts w:hint="eastAsia" w:ascii="宋体" w:hAnsi="宋体" w:eastAsia="宋体" w:cs="宋体"/>
          <w:color w:val="auto"/>
          <w:szCs w:val="21"/>
          <w:highlight w:val="none"/>
          <w:lang w:eastAsia="zh-CN"/>
        </w:rPr>
        <w:t>：343</w:t>
      </w:r>
      <w:r>
        <w:rPr>
          <w:rFonts w:hint="eastAsia" w:ascii="宋体" w:hAnsi="宋体" w:cs="宋体"/>
          <w:color w:val="auto"/>
          <w:szCs w:val="21"/>
          <w:highlight w:val="none"/>
          <w:lang w:val="en-US" w:eastAsia="zh-CN"/>
        </w:rPr>
        <w:t>.00</w:t>
      </w:r>
      <w:r>
        <w:rPr>
          <w:rFonts w:hint="eastAsia" w:ascii="宋体" w:hAnsi="宋体" w:eastAsia="宋体" w:cs="宋体"/>
          <w:color w:val="auto"/>
          <w:szCs w:val="21"/>
          <w:highlight w:val="none"/>
          <w:lang w:val="en-US" w:eastAsia="zh-CN"/>
        </w:rPr>
        <w:t>万元，分标2：81</w:t>
      </w:r>
      <w:r>
        <w:rPr>
          <w:rFonts w:hint="eastAsia" w:ascii="宋体" w:hAnsi="宋体" w:cs="宋体"/>
          <w:color w:val="auto"/>
          <w:szCs w:val="21"/>
          <w:highlight w:val="none"/>
          <w:lang w:val="en-US" w:eastAsia="zh-CN"/>
        </w:rPr>
        <w:t>.00</w:t>
      </w:r>
      <w:r>
        <w:rPr>
          <w:rFonts w:hint="eastAsia" w:ascii="宋体" w:hAnsi="宋体" w:eastAsia="宋体" w:cs="宋体"/>
          <w:color w:val="auto"/>
          <w:szCs w:val="21"/>
          <w:highlight w:val="none"/>
          <w:lang w:val="en-US" w:eastAsia="zh-CN"/>
        </w:rPr>
        <w:t>万元</w:t>
      </w:r>
      <w:r>
        <w:rPr>
          <w:rFonts w:hint="eastAsia" w:ascii="宋体" w:hAnsi="宋体" w:eastAsia="宋体" w:cs="宋体"/>
          <w:color w:val="auto"/>
          <w:szCs w:val="21"/>
          <w:highlight w:val="none"/>
          <w:lang w:eastAsia="zh-CN"/>
        </w:rPr>
        <w:t>）</w:t>
      </w:r>
    </w:p>
    <w:p w14:paraId="0110A34A">
      <w:pPr>
        <w:keepNext w:val="0"/>
        <w:keepLines w:val="0"/>
        <w:pageBreakBefore w:val="0"/>
        <w:widowControl/>
        <w:kinsoku/>
        <w:wordWrap/>
        <w:overflowPunct/>
        <w:topLinePunct w:val="0"/>
        <w:autoSpaceDE/>
        <w:autoSpaceDN/>
        <w:bidi w:val="0"/>
        <w:adjustRightInd/>
        <w:snapToGrid/>
        <w:spacing w:line="240" w:lineRule="auto"/>
        <w:ind w:firstLine="420" w:firstLineChars="200"/>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rPr>
        <w:t>采购需求：</w:t>
      </w:r>
    </w:p>
    <w:tbl>
      <w:tblPr>
        <w:tblStyle w:val="35"/>
        <w:tblW w:w="9061"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1032"/>
        <w:gridCol w:w="2158"/>
        <w:gridCol w:w="700"/>
        <w:gridCol w:w="752"/>
        <w:gridCol w:w="4419"/>
      </w:tblGrid>
      <w:tr w14:paraId="298DB7F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1032" w:type="dxa"/>
            <w:tcBorders>
              <w:top w:val="single" w:color="auto" w:sz="4" w:space="0"/>
              <w:left w:val="single" w:color="auto" w:sz="4" w:space="0"/>
              <w:bottom w:val="single" w:color="auto" w:sz="4" w:space="0"/>
              <w:right w:val="single" w:color="auto" w:sz="4" w:space="0"/>
            </w:tcBorders>
            <w:noWrap w:val="0"/>
            <w:vAlign w:val="center"/>
          </w:tcPr>
          <w:p w14:paraId="3FE60846">
            <w:pPr>
              <w:snapToGrid w:val="0"/>
              <w:spacing w:line="400" w:lineRule="exact"/>
              <w:jc w:val="center"/>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分标号</w:t>
            </w:r>
          </w:p>
        </w:tc>
        <w:tc>
          <w:tcPr>
            <w:tcW w:w="2158" w:type="dxa"/>
            <w:tcBorders>
              <w:top w:val="single" w:color="auto" w:sz="4" w:space="0"/>
              <w:left w:val="single" w:color="auto" w:sz="4" w:space="0"/>
              <w:bottom w:val="single" w:color="auto" w:sz="4" w:space="0"/>
              <w:right w:val="single" w:color="auto" w:sz="4" w:space="0"/>
            </w:tcBorders>
            <w:noWrap w:val="0"/>
            <w:vAlign w:val="center"/>
          </w:tcPr>
          <w:p w14:paraId="4EC4BD93">
            <w:pPr>
              <w:snapToGrid w:val="0"/>
              <w:spacing w:line="400" w:lineRule="exact"/>
              <w:jc w:val="center"/>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标的的名称</w:t>
            </w:r>
          </w:p>
        </w:tc>
        <w:tc>
          <w:tcPr>
            <w:tcW w:w="700" w:type="dxa"/>
            <w:tcBorders>
              <w:top w:val="single" w:color="auto" w:sz="4" w:space="0"/>
              <w:left w:val="single" w:color="auto" w:sz="4" w:space="0"/>
              <w:bottom w:val="single" w:color="auto" w:sz="4" w:space="0"/>
              <w:right w:val="single" w:color="auto" w:sz="4" w:space="0"/>
            </w:tcBorders>
            <w:noWrap w:val="0"/>
            <w:vAlign w:val="center"/>
          </w:tcPr>
          <w:p w14:paraId="5E1C27EB">
            <w:pPr>
              <w:snapToGrid w:val="0"/>
              <w:spacing w:line="400" w:lineRule="exact"/>
              <w:jc w:val="center"/>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单位</w:t>
            </w:r>
          </w:p>
        </w:tc>
        <w:tc>
          <w:tcPr>
            <w:tcW w:w="752" w:type="dxa"/>
            <w:tcBorders>
              <w:top w:val="single" w:color="auto" w:sz="4" w:space="0"/>
              <w:left w:val="single" w:color="auto" w:sz="4" w:space="0"/>
              <w:bottom w:val="single" w:color="auto" w:sz="4" w:space="0"/>
              <w:right w:val="single" w:color="auto" w:sz="4" w:space="0"/>
            </w:tcBorders>
            <w:noWrap w:val="0"/>
            <w:vAlign w:val="center"/>
          </w:tcPr>
          <w:p w14:paraId="585B37B9">
            <w:pPr>
              <w:snapToGrid w:val="0"/>
              <w:spacing w:line="400" w:lineRule="exact"/>
              <w:jc w:val="center"/>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数量</w:t>
            </w:r>
          </w:p>
        </w:tc>
        <w:tc>
          <w:tcPr>
            <w:tcW w:w="4419" w:type="dxa"/>
            <w:tcBorders>
              <w:top w:val="single" w:color="auto" w:sz="4" w:space="0"/>
              <w:left w:val="single" w:color="auto" w:sz="4" w:space="0"/>
              <w:bottom w:val="single" w:color="auto" w:sz="4" w:space="0"/>
              <w:right w:val="single" w:color="auto" w:sz="4" w:space="0"/>
            </w:tcBorders>
            <w:noWrap w:val="0"/>
            <w:vAlign w:val="center"/>
          </w:tcPr>
          <w:p w14:paraId="23051E54">
            <w:pPr>
              <w:snapToGrid w:val="0"/>
              <w:spacing w:line="400" w:lineRule="exact"/>
              <w:jc w:val="center"/>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简要服务要求或者技术需求</w:t>
            </w:r>
          </w:p>
        </w:tc>
      </w:tr>
      <w:tr w14:paraId="25461FC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1032" w:type="dxa"/>
            <w:tcBorders>
              <w:top w:val="single" w:color="auto" w:sz="4" w:space="0"/>
              <w:left w:val="single" w:color="auto" w:sz="4" w:space="0"/>
              <w:bottom w:val="single" w:color="auto" w:sz="4" w:space="0"/>
              <w:right w:val="single" w:color="auto" w:sz="4" w:space="0"/>
            </w:tcBorders>
            <w:noWrap w:val="0"/>
            <w:vAlign w:val="center"/>
          </w:tcPr>
          <w:p w14:paraId="6D520F45">
            <w:pPr>
              <w:snapToGrid w:val="0"/>
              <w:spacing w:line="400" w:lineRule="exact"/>
              <w:jc w:val="center"/>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分标1</w:t>
            </w:r>
          </w:p>
        </w:tc>
        <w:tc>
          <w:tcPr>
            <w:tcW w:w="2158" w:type="dxa"/>
            <w:tcBorders>
              <w:top w:val="single" w:color="auto" w:sz="4" w:space="0"/>
              <w:left w:val="single" w:color="auto" w:sz="4" w:space="0"/>
              <w:bottom w:val="single" w:color="auto" w:sz="4" w:space="0"/>
              <w:right w:val="single" w:color="auto" w:sz="4" w:space="0"/>
            </w:tcBorders>
            <w:noWrap w:val="0"/>
            <w:vAlign w:val="center"/>
          </w:tcPr>
          <w:p w14:paraId="342F2510">
            <w:pPr>
              <w:spacing w:line="340" w:lineRule="exact"/>
              <w:jc w:val="center"/>
              <w:rPr>
                <w:rFonts w:hint="eastAsia" w:ascii="宋体" w:hAnsi="宋体" w:eastAsia="宋体" w:cs="宋体"/>
                <w:b w:val="0"/>
                <w:bCs w:val="0"/>
                <w:color w:val="auto"/>
                <w:sz w:val="21"/>
                <w:szCs w:val="21"/>
                <w:highlight w:val="none"/>
                <w:lang w:val="en-US" w:eastAsia="zh-CN"/>
              </w:rPr>
            </w:pPr>
            <w:r>
              <w:rPr>
                <w:rFonts w:hint="eastAsia" w:ascii="宋体" w:hAnsi="宋体" w:cs="宋体"/>
                <w:color w:val="auto"/>
                <w:szCs w:val="21"/>
                <w:highlight w:val="none"/>
                <w:lang w:eastAsia="zh-CN"/>
              </w:rPr>
              <w:t>2026年度中央财政林业草原生态保护恢复资金-广西横州市西津国家重要湿地保护与恢复项目</w:t>
            </w:r>
            <w:r>
              <w:rPr>
                <w:rFonts w:hint="eastAsia" w:ascii="宋体" w:hAnsi="宋体" w:eastAsia="宋体" w:cs="宋体"/>
                <w:color w:val="auto"/>
                <w:szCs w:val="21"/>
                <w:highlight w:val="none"/>
              </w:rPr>
              <w:t>（干扰及成效监测</w:t>
            </w:r>
            <w:r>
              <w:rPr>
                <w:rFonts w:hint="eastAsia" w:ascii="宋体" w:hAnsi="宋体" w:eastAsia="宋体" w:cs="宋体"/>
                <w:color w:val="auto"/>
                <w:szCs w:val="21"/>
                <w:highlight w:val="none"/>
                <w:lang w:eastAsia="zh-CN"/>
              </w:rPr>
              <w:t>）</w:t>
            </w:r>
          </w:p>
        </w:tc>
        <w:tc>
          <w:tcPr>
            <w:tcW w:w="700" w:type="dxa"/>
            <w:tcBorders>
              <w:top w:val="single" w:color="auto" w:sz="4" w:space="0"/>
              <w:left w:val="single" w:color="auto" w:sz="4" w:space="0"/>
              <w:bottom w:val="single" w:color="auto" w:sz="4" w:space="0"/>
              <w:right w:val="single" w:color="auto" w:sz="4" w:space="0"/>
            </w:tcBorders>
            <w:noWrap w:val="0"/>
            <w:vAlign w:val="center"/>
          </w:tcPr>
          <w:p w14:paraId="0F2DDC25">
            <w:pPr>
              <w:spacing w:line="340" w:lineRule="exact"/>
              <w:jc w:val="center"/>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项</w:t>
            </w:r>
          </w:p>
        </w:tc>
        <w:tc>
          <w:tcPr>
            <w:tcW w:w="752" w:type="dxa"/>
            <w:tcBorders>
              <w:top w:val="single" w:color="auto" w:sz="4" w:space="0"/>
              <w:left w:val="single" w:color="auto" w:sz="4" w:space="0"/>
              <w:bottom w:val="single" w:color="auto" w:sz="4" w:space="0"/>
              <w:right w:val="single" w:color="auto" w:sz="4" w:space="0"/>
            </w:tcBorders>
            <w:noWrap w:val="0"/>
            <w:vAlign w:val="center"/>
          </w:tcPr>
          <w:p w14:paraId="4E99B3D2">
            <w:pPr>
              <w:spacing w:line="340" w:lineRule="exact"/>
              <w:jc w:val="center"/>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1</w:t>
            </w:r>
          </w:p>
        </w:tc>
        <w:tc>
          <w:tcPr>
            <w:tcW w:w="4419" w:type="dxa"/>
            <w:tcBorders>
              <w:top w:val="single" w:color="auto" w:sz="4" w:space="0"/>
              <w:left w:val="single" w:color="auto" w:sz="4" w:space="0"/>
              <w:bottom w:val="single" w:color="auto" w:sz="4" w:space="0"/>
              <w:right w:val="single" w:color="auto" w:sz="4" w:space="0"/>
            </w:tcBorders>
            <w:noWrap w:val="0"/>
            <w:vAlign w:val="top"/>
          </w:tcPr>
          <w:p w14:paraId="19D5CD64">
            <w:pPr>
              <w:keepNext w:val="0"/>
              <w:keepLines w:val="0"/>
              <w:pageBreakBefore w:val="0"/>
              <w:widowControl/>
              <w:tabs>
                <w:tab w:val="left" w:pos="900"/>
                <w:tab w:val="left" w:pos="1080"/>
              </w:tabs>
              <w:kinsoku/>
              <w:wordWrap/>
              <w:overflowPunct/>
              <w:topLinePunct w:val="0"/>
              <w:autoSpaceDE/>
              <w:autoSpaceDN/>
              <w:bidi w:val="0"/>
              <w:adjustRightInd/>
              <w:snapToGrid/>
              <w:spacing w:line="360" w:lineRule="exact"/>
              <w:ind w:firstLine="422" w:firstLineChars="200"/>
              <w:textAlignment w:val="auto"/>
              <w:rPr>
                <w:rFonts w:hint="default" w:ascii="宋体" w:hAnsi="宋体" w:eastAsia="宋体" w:cs="宋体"/>
                <w:b/>
                <w:bCs/>
                <w:color w:val="auto"/>
                <w:kern w:val="2"/>
                <w:sz w:val="21"/>
                <w:szCs w:val="21"/>
                <w:highlight w:val="none"/>
                <w:lang w:val="en-US" w:eastAsia="zh-CN" w:bidi="ar-SA"/>
              </w:rPr>
            </w:pPr>
            <w:r>
              <w:rPr>
                <w:rFonts w:hint="eastAsia" w:ascii="宋体" w:hAnsi="宋体" w:eastAsia="宋体" w:cs="宋体"/>
                <w:b/>
                <w:bCs/>
                <w:color w:val="auto"/>
                <w:szCs w:val="21"/>
                <w:highlight w:val="none"/>
              </w:rPr>
              <w:t>一、</w:t>
            </w:r>
            <w:r>
              <w:rPr>
                <w:rFonts w:hint="eastAsia" w:ascii="宋体" w:hAnsi="宋体" w:cs="宋体"/>
                <w:b/>
                <w:bCs/>
                <w:color w:val="auto"/>
                <w:kern w:val="2"/>
                <w:sz w:val="21"/>
                <w:szCs w:val="21"/>
                <w:highlight w:val="none"/>
                <w:lang w:val="en-US" w:eastAsia="zh-CN" w:bidi="ar-SA"/>
              </w:rPr>
              <w:t>项目概况</w:t>
            </w:r>
          </w:p>
          <w:p w14:paraId="72969767">
            <w:pPr>
              <w:keepNext w:val="0"/>
              <w:keepLines w:val="0"/>
              <w:pageBreakBefore w:val="0"/>
              <w:widowControl/>
              <w:numPr>
                <w:ilvl w:val="0"/>
                <w:numId w:val="0"/>
              </w:numPr>
              <w:tabs>
                <w:tab w:val="left" w:pos="900"/>
                <w:tab w:val="left" w:pos="1080"/>
              </w:tabs>
              <w:kinsoku/>
              <w:wordWrap/>
              <w:overflowPunct/>
              <w:topLinePunct w:val="0"/>
              <w:autoSpaceDE/>
              <w:autoSpaceDN/>
              <w:bidi w:val="0"/>
              <w:adjustRightInd/>
              <w:snapToGrid/>
              <w:spacing w:line="360" w:lineRule="exact"/>
              <w:ind w:left="0" w:leftChars="0" w:firstLine="420" w:firstLineChars="200"/>
              <w:textAlignment w:val="auto"/>
              <w:rPr>
                <w:rFonts w:hint="eastAsia" w:ascii="宋体" w:hAnsi="宋体" w:eastAsia="宋体" w:cs="宋体"/>
                <w:b w:val="0"/>
                <w:bCs w:val="0"/>
                <w:color w:val="auto"/>
                <w:kern w:val="2"/>
                <w:sz w:val="21"/>
                <w:szCs w:val="21"/>
                <w:highlight w:val="none"/>
                <w:lang w:val="en-US" w:eastAsia="zh-CN" w:bidi="ar-SA"/>
              </w:rPr>
            </w:pPr>
            <w:r>
              <w:rPr>
                <w:rFonts w:hint="eastAsia" w:ascii="宋体" w:hAnsi="宋体" w:eastAsia="宋体" w:cs="宋体"/>
                <w:b w:val="0"/>
                <w:bCs w:val="0"/>
                <w:color w:val="auto"/>
                <w:kern w:val="2"/>
                <w:sz w:val="21"/>
                <w:szCs w:val="21"/>
                <w:highlight w:val="none"/>
                <w:lang w:val="en-US" w:eastAsia="zh-CN" w:bidi="ar-SA"/>
              </w:rPr>
              <w:t>1.人为干扰监测</w:t>
            </w:r>
            <w:r>
              <w:rPr>
                <w:rFonts w:hint="eastAsia" w:ascii="宋体" w:hAnsi="宋体" w:cs="宋体"/>
                <w:b w:val="0"/>
                <w:bCs w:val="0"/>
                <w:color w:val="auto"/>
                <w:kern w:val="2"/>
                <w:sz w:val="21"/>
                <w:szCs w:val="21"/>
                <w:highlight w:val="none"/>
                <w:lang w:val="en-US" w:eastAsia="zh-CN" w:bidi="ar-SA"/>
              </w:rPr>
              <w:t>：</w:t>
            </w:r>
            <w:r>
              <w:rPr>
                <w:rFonts w:hint="eastAsia" w:ascii="宋体" w:hAnsi="宋体" w:eastAsia="宋体" w:cs="宋体"/>
                <w:b w:val="0"/>
                <w:bCs w:val="0"/>
                <w:color w:val="auto"/>
                <w:kern w:val="2"/>
                <w:sz w:val="21"/>
                <w:szCs w:val="21"/>
                <w:highlight w:val="none"/>
                <w:lang w:val="en-US" w:eastAsia="zh-CN" w:bidi="ar-SA"/>
              </w:rPr>
              <w:t>在原有26处监测卡口的基础上，拟增加23处监测卡口，主要布设在人为干扰较为严重的坑塘区域，监控追踪破坏湿地生态的人为活动。</w:t>
            </w:r>
          </w:p>
          <w:p w14:paraId="0EEADEA8">
            <w:pPr>
              <w:spacing w:line="340" w:lineRule="exact"/>
              <w:ind w:firstLine="420" w:firstLineChars="200"/>
              <w:jc w:val="left"/>
              <w:rPr>
                <w:rFonts w:hint="default"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kern w:val="2"/>
                <w:sz w:val="21"/>
                <w:szCs w:val="21"/>
                <w:highlight w:val="none"/>
                <w:lang w:val="en-US" w:eastAsia="zh-CN" w:bidi="ar-SA"/>
              </w:rPr>
              <w:t>2.恢复成效评估监测</w:t>
            </w:r>
            <w:r>
              <w:rPr>
                <w:rFonts w:hint="eastAsia" w:ascii="宋体" w:hAnsi="宋体" w:cs="宋体"/>
                <w:b w:val="0"/>
                <w:bCs w:val="0"/>
                <w:color w:val="auto"/>
                <w:kern w:val="2"/>
                <w:sz w:val="21"/>
                <w:szCs w:val="21"/>
                <w:highlight w:val="none"/>
                <w:lang w:val="en-US" w:eastAsia="zh-CN" w:bidi="ar-SA"/>
              </w:rPr>
              <w:t>：</w:t>
            </w:r>
            <w:r>
              <w:rPr>
                <w:rFonts w:hint="eastAsia" w:ascii="宋体" w:hAnsi="宋体" w:eastAsia="宋体" w:cs="宋体"/>
                <w:b w:val="0"/>
                <w:bCs w:val="0"/>
                <w:color w:val="auto"/>
                <w:kern w:val="2"/>
                <w:sz w:val="21"/>
                <w:szCs w:val="21"/>
                <w:highlight w:val="none"/>
                <w:lang w:val="en-US" w:eastAsia="zh-CN" w:bidi="ar-SA"/>
              </w:rPr>
              <w:t>监测范围涵盖已往实施植被恢复、水系连通等工程的区域，以及今年新实施植被恢复的15.2公顷区域，监测面积共计598.82公顷。监测内容包括湿地基本状况、水环境、动物、植物、植被、外来物种入侵、受威胁状况等因子。...具体详见“第二章 采购需求”。</w:t>
            </w:r>
          </w:p>
        </w:tc>
      </w:tr>
      <w:tr w14:paraId="1CAF8A4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1032" w:type="dxa"/>
            <w:tcBorders>
              <w:top w:val="single" w:color="auto" w:sz="4" w:space="0"/>
              <w:left w:val="single" w:color="auto" w:sz="4" w:space="0"/>
              <w:bottom w:val="single" w:color="auto" w:sz="4" w:space="0"/>
              <w:right w:val="single" w:color="auto" w:sz="4" w:space="0"/>
            </w:tcBorders>
            <w:noWrap w:val="0"/>
            <w:vAlign w:val="center"/>
          </w:tcPr>
          <w:p w14:paraId="76719873">
            <w:pPr>
              <w:snapToGrid w:val="0"/>
              <w:spacing w:line="400" w:lineRule="exact"/>
              <w:jc w:val="center"/>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分标2</w:t>
            </w:r>
          </w:p>
        </w:tc>
        <w:tc>
          <w:tcPr>
            <w:tcW w:w="2158" w:type="dxa"/>
            <w:tcBorders>
              <w:top w:val="single" w:color="auto" w:sz="4" w:space="0"/>
              <w:left w:val="single" w:color="auto" w:sz="4" w:space="0"/>
              <w:bottom w:val="single" w:color="auto" w:sz="4" w:space="0"/>
              <w:right w:val="single" w:color="auto" w:sz="4" w:space="0"/>
            </w:tcBorders>
            <w:noWrap w:val="0"/>
            <w:vAlign w:val="center"/>
          </w:tcPr>
          <w:p w14:paraId="17679B54">
            <w:pPr>
              <w:spacing w:line="340" w:lineRule="exact"/>
              <w:jc w:val="center"/>
              <w:rPr>
                <w:rFonts w:hint="eastAsia" w:ascii="宋体" w:hAnsi="宋体" w:eastAsia="宋体" w:cs="宋体"/>
                <w:b w:val="0"/>
                <w:bCs w:val="0"/>
                <w:color w:val="auto"/>
                <w:sz w:val="21"/>
                <w:szCs w:val="21"/>
                <w:highlight w:val="none"/>
                <w:lang w:val="en-US" w:eastAsia="zh-CN"/>
              </w:rPr>
            </w:pPr>
            <w:r>
              <w:rPr>
                <w:rFonts w:hint="eastAsia" w:ascii="宋体" w:hAnsi="宋体" w:cs="宋体"/>
                <w:color w:val="auto"/>
                <w:szCs w:val="21"/>
                <w:highlight w:val="none"/>
                <w:u w:val="none"/>
                <w:lang w:eastAsia="zh-CN"/>
              </w:rPr>
              <w:t>2026年度中央财政林业草原生态保护恢复资金-广西横州市西津国家重要湿地保护与恢复项目</w:t>
            </w:r>
            <w:r>
              <w:rPr>
                <w:rFonts w:hint="eastAsia" w:ascii="宋体" w:hAnsi="宋体" w:eastAsia="宋体" w:cs="宋体"/>
                <w:color w:val="auto"/>
                <w:szCs w:val="21"/>
                <w:highlight w:val="none"/>
                <w:u w:val="none"/>
              </w:rPr>
              <w:t>（</w:t>
            </w:r>
            <w:r>
              <w:rPr>
                <w:rFonts w:hint="eastAsia" w:ascii="宋体" w:hAnsi="宋体" w:eastAsia="宋体" w:cs="宋体"/>
                <w:color w:val="auto"/>
                <w:szCs w:val="21"/>
                <w:highlight w:val="none"/>
                <w:u w:val="none"/>
                <w:lang w:eastAsia="zh-CN"/>
              </w:rPr>
              <w:t>科普宣教）</w:t>
            </w:r>
          </w:p>
        </w:tc>
        <w:tc>
          <w:tcPr>
            <w:tcW w:w="700" w:type="dxa"/>
            <w:tcBorders>
              <w:top w:val="single" w:color="auto" w:sz="4" w:space="0"/>
              <w:left w:val="single" w:color="auto" w:sz="4" w:space="0"/>
              <w:bottom w:val="single" w:color="auto" w:sz="4" w:space="0"/>
              <w:right w:val="single" w:color="auto" w:sz="4" w:space="0"/>
            </w:tcBorders>
            <w:noWrap w:val="0"/>
            <w:vAlign w:val="center"/>
          </w:tcPr>
          <w:p w14:paraId="4978B5EF">
            <w:pPr>
              <w:spacing w:line="340" w:lineRule="exact"/>
              <w:jc w:val="center"/>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lang w:val="en-US" w:eastAsia="zh-CN"/>
              </w:rPr>
              <w:t>项</w:t>
            </w:r>
          </w:p>
        </w:tc>
        <w:tc>
          <w:tcPr>
            <w:tcW w:w="752" w:type="dxa"/>
            <w:tcBorders>
              <w:top w:val="single" w:color="auto" w:sz="4" w:space="0"/>
              <w:left w:val="single" w:color="auto" w:sz="4" w:space="0"/>
              <w:bottom w:val="single" w:color="auto" w:sz="4" w:space="0"/>
              <w:right w:val="single" w:color="auto" w:sz="4" w:space="0"/>
            </w:tcBorders>
            <w:noWrap w:val="0"/>
            <w:vAlign w:val="center"/>
          </w:tcPr>
          <w:p w14:paraId="563B9A87">
            <w:pPr>
              <w:spacing w:line="340" w:lineRule="exact"/>
              <w:jc w:val="center"/>
              <w:rPr>
                <w:rFonts w:hint="eastAsia" w:ascii="宋体" w:hAnsi="宋体" w:eastAsia="宋体" w:cs="宋体"/>
                <w:b w:val="0"/>
                <w:bCs w:val="0"/>
                <w:color w:val="auto"/>
                <w:sz w:val="21"/>
                <w:szCs w:val="21"/>
                <w:highlight w:val="none"/>
                <w:lang w:eastAsia="zh-CN"/>
              </w:rPr>
            </w:pPr>
            <w:r>
              <w:rPr>
                <w:rFonts w:hint="eastAsia" w:ascii="宋体" w:hAnsi="宋体" w:eastAsia="宋体" w:cs="宋体"/>
                <w:b w:val="0"/>
                <w:bCs w:val="0"/>
                <w:color w:val="auto"/>
                <w:sz w:val="21"/>
                <w:szCs w:val="21"/>
                <w:highlight w:val="none"/>
                <w:lang w:val="en-US" w:eastAsia="zh-CN"/>
              </w:rPr>
              <w:t>1</w:t>
            </w:r>
          </w:p>
        </w:tc>
        <w:tc>
          <w:tcPr>
            <w:tcW w:w="4419" w:type="dxa"/>
            <w:tcBorders>
              <w:top w:val="single" w:color="auto" w:sz="4" w:space="0"/>
              <w:left w:val="single" w:color="auto" w:sz="4" w:space="0"/>
              <w:bottom w:val="single" w:color="auto" w:sz="4" w:space="0"/>
              <w:right w:val="single" w:color="auto" w:sz="4" w:space="0"/>
            </w:tcBorders>
            <w:noWrap w:val="0"/>
            <w:vAlign w:val="top"/>
          </w:tcPr>
          <w:p w14:paraId="61E4F255">
            <w:pPr>
              <w:keepNext w:val="0"/>
              <w:keepLines w:val="0"/>
              <w:pageBreakBefore w:val="0"/>
              <w:widowControl/>
              <w:tabs>
                <w:tab w:val="left" w:pos="900"/>
                <w:tab w:val="left" w:pos="1080"/>
              </w:tabs>
              <w:kinsoku/>
              <w:wordWrap/>
              <w:overflowPunct/>
              <w:topLinePunct w:val="0"/>
              <w:autoSpaceDE/>
              <w:autoSpaceDN/>
              <w:bidi w:val="0"/>
              <w:adjustRightInd/>
              <w:snapToGrid/>
              <w:spacing w:line="360" w:lineRule="exact"/>
              <w:ind w:firstLine="422" w:firstLineChars="200"/>
              <w:textAlignment w:val="auto"/>
              <w:rPr>
                <w:rFonts w:hint="default" w:ascii="宋体" w:hAnsi="宋体" w:eastAsia="宋体" w:cs="宋体"/>
                <w:b/>
                <w:bCs/>
                <w:color w:val="auto"/>
                <w:kern w:val="2"/>
                <w:sz w:val="21"/>
                <w:szCs w:val="21"/>
                <w:highlight w:val="none"/>
                <w:lang w:val="en-US" w:eastAsia="zh-CN" w:bidi="ar-SA"/>
              </w:rPr>
            </w:pPr>
            <w:r>
              <w:rPr>
                <w:rFonts w:hint="eastAsia" w:ascii="宋体" w:hAnsi="宋体" w:eastAsia="宋体" w:cs="宋体"/>
                <w:b/>
                <w:bCs/>
                <w:color w:val="auto"/>
                <w:szCs w:val="21"/>
                <w:highlight w:val="none"/>
              </w:rPr>
              <w:t>一、</w:t>
            </w:r>
            <w:r>
              <w:rPr>
                <w:rFonts w:hint="eastAsia" w:ascii="宋体" w:hAnsi="宋体" w:cs="宋体"/>
                <w:b/>
                <w:bCs/>
                <w:color w:val="auto"/>
                <w:kern w:val="2"/>
                <w:sz w:val="21"/>
                <w:szCs w:val="21"/>
                <w:highlight w:val="none"/>
                <w:lang w:val="en-US" w:eastAsia="zh-CN" w:bidi="ar-SA"/>
              </w:rPr>
              <w:t>项目概况</w:t>
            </w:r>
          </w:p>
          <w:p w14:paraId="030175C8">
            <w:pPr>
              <w:keepNext w:val="0"/>
              <w:keepLines w:val="0"/>
              <w:pageBreakBefore w:val="0"/>
              <w:widowControl/>
              <w:numPr>
                <w:ilvl w:val="0"/>
                <w:numId w:val="0"/>
              </w:numPr>
              <w:tabs>
                <w:tab w:val="left" w:pos="900"/>
                <w:tab w:val="left" w:pos="1080"/>
              </w:tabs>
              <w:kinsoku/>
              <w:wordWrap/>
              <w:overflowPunct/>
              <w:topLinePunct w:val="0"/>
              <w:autoSpaceDE/>
              <w:autoSpaceDN/>
              <w:bidi w:val="0"/>
              <w:adjustRightInd/>
              <w:snapToGrid/>
              <w:spacing w:line="360" w:lineRule="exact"/>
              <w:ind w:leftChars="0" w:firstLine="420" w:firstLineChars="200"/>
              <w:textAlignment w:val="auto"/>
              <w:rPr>
                <w:rFonts w:hint="default"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Cs w:val="21"/>
                <w:highlight w:val="none"/>
                <w:lang w:val="en-US" w:eastAsia="zh-CN"/>
              </w:rPr>
              <w:t>1.多类群标本系统化采集与制作：制作植物标本20份、昆虫标本80份、鱼类标本(20份)以及数字化与互动升级一套。2.湿地科普宣传系列活动：开展10期湿地科普宣传活动、增设1套自助导览系统，同步增配2套无线讲解接收器。</w:t>
            </w:r>
            <w:r>
              <w:rPr>
                <w:rFonts w:hint="eastAsia" w:ascii="宋体" w:hAnsi="宋体" w:eastAsia="宋体" w:cs="宋体"/>
                <w:b w:val="0"/>
                <w:bCs w:val="0"/>
                <w:color w:val="auto"/>
                <w:kern w:val="2"/>
                <w:sz w:val="21"/>
                <w:szCs w:val="21"/>
                <w:highlight w:val="none"/>
                <w:lang w:val="en-US" w:eastAsia="zh-CN" w:bidi="ar-SA"/>
              </w:rPr>
              <w:t>...具体详见“第二章 采购需求”。</w:t>
            </w:r>
          </w:p>
        </w:tc>
      </w:tr>
    </w:tbl>
    <w:p w14:paraId="76717EB3">
      <w:pPr>
        <w:keepNext w:val="0"/>
        <w:keepLines w:val="0"/>
        <w:pageBreakBefore w:val="0"/>
        <w:kinsoku/>
        <w:wordWrap/>
        <w:overflowPunct/>
        <w:topLinePunct w:val="0"/>
        <w:autoSpaceDE/>
        <w:autoSpaceDN/>
        <w:bidi w:val="0"/>
        <w:adjustRightInd/>
        <w:spacing w:line="400" w:lineRule="exact"/>
        <w:ind w:firstLine="420" w:firstLineChars="200"/>
        <w:textAlignment w:val="auto"/>
        <w:rPr>
          <w:rFonts w:hint="eastAsia" w:ascii="宋体" w:hAnsi="宋体" w:eastAsia="宋体" w:cs="宋体"/>
          <w:color w:val="auto"/>
          <w:szCs w:val="21"/>
          <w:highlight w:val="none"/>
          <w:u w:val="single"/>
          <w:lang w:val="en-US" w:eastAsia="zh-CN"/>
        </w:rPr>
      </w:pPr>
      <w:r>
        <w:rPr>
          <w:rFonts w:hint="eastAsia" w:ascii="宋体" w:hAnsi="宋体" w:eastAsia="宋体" w:cs="宋体"/>
          <w:color w:val="auto"/>
          <w:szCs w:val="21"/>
          <w:highlight w:val="none"/>
        </w:rPr>
        <w:t>合同履行期限：</w:t>
      </w:r>
      <w:r>
        <w:rPr>
          <w:rFonts w:hint="eastAsia" w:ascii="宋体" w:hAnsi="宋体" w:eastAsia="宋体" w:cs="宋体"/>
          <w:color w:val="auto"/>
          <w:szCs w:val="21"/>
          <w:highlight w:val="none"/>
          <w:lang w:val="en-US" w:eastAsia="zh-CN"/>
        </w:rPr>
        <w:t>详见</w:t>
      </w:r>
      <w:r>
        <w:rPr>
          <w:rFonts w:hint="eastAsia" w:ascii="宋体" w:hAnsi="宋体" w:eastAsia="宋体" w:cs="宋体"/>
          <w:b w:val="0"/>
          <w:bCs w:val="0"/>
          <w:color w:val="auto"/>
          <w:sz w:val="21"/>
          <w:szCs w:val="21"/>
          <w:highlight w:val="none"/>
          <w:lang w:val="en-US" w:eastAsia="zh-CN"/>
        </w:rPr>
        <w:t>“</w:t>
      </w:r>
      <w:r>
        <w:rPr>
          <w:rFonts w:hint="eastAsia" w:ascii="宋体" w:hAnsi="宋体" w:eastAsia="宋体" w:cs="宋体"/>
          <w:b w:val="0"/>
          <w:bCs w:val="0"/>
          <w:color w:val="auto"/>
          <w:highlight w:val="none"/>
          <w:u w:val="none"/>
        </w:rPr>
        <w:t>第二章采购需求</w:t>
      </w:r>
      <w:r>
        <w:rPr>
          <w:rFonts w:hint="eastAsia" w:ascii="宋体" w:hAnsi="宋体" w:eastAsia="宋体" w:cs="宋体"/>
          <w:b w:val="0"/>
          <w:bCs w:val="0"/>
          <w:color w:val="auto"/>
          <w:sz w:val="21"/>
          <w:szCs w:val="21"/>
          <w:highlight w:val="none"/>
          <w:lang w:val="en-US" w:eastAsia="zh-CN"/>
        </w:rPr>
        <w:t>”。</w:t>
      </w:r>
    </w:p>
    <w:p w14:paraId="4E9E9DB5">
      <w:pPr>
        <w:keepNext w:val="0"/>
        <w:keepLines w:val="0"/>
        <w:pageBreakBefore w:val="0"/>
        <w:kinsoku/>
        <w:wordWrap/>
        <w:overflowPunct/>
        <w:topLinePunct w:val="0"/>
        <w:autoSpaceDE/>
        <w:autoSpaceDN/>
        <w:bidi w:val="0"/>
        <w:adjustRightInd/>
        <w:spacing w:line="400" w:lineRule="exact"/>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本项目是否接受</w:t>
      </w:r>
      <w:bookmarkStart w:id="1" w:name="OLE_LINK1"/>
      <w:r>
        <w:rPr>
          <w:rFonts w:hint="eastAsia" w:ascii="宋体" w:hAnsi="宋体" w:eastAsia="宋体" w:cs="宋体"/>
          <w:color w:val="auto"/>
          <w:szCs w:val="21"/>
          <w:highlight w:val="none"/>
        </w:rPr>
        <w:t>联合体投标</w:t>
      </w:r>
      <w:bookmarkEnd w:id="1"/>
      <w:r>
        <w:rPr>
          <w:rFonts w:hint="eastAsia" w:ascii="宋体" w:hAnsi="宋体" w:eastAsia="宋体" w:cs="宋体"/>
          <w:color w:val="auto"/>
          <w:szCs w:val="21"/>
          <w:highlight w:val="none"/>
        </w:rPr>
        <w:t>：</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是/</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否。</w:t>
      </w:r>
    </w:p>
    <w:p w14:paraId="44297F27">
      <w:pPr>
        <w:keepNext w:val="0"/>
        <w:keepLines w:val="0"/>
        <w:pageBreakBefore w:val="0"/>
        <w:kinsoku/>
        <w:wordWrap/>
        <w:overflowPunct/>
        <w:topLinePunct w:val="0"/>
        <w:autoSpaceDE/>
        <w:autoSpaceDN/>
        <w:bidi w:val="0"/>
        <w:adjustRightInd/>
        <w:spacing w:line="400" w:lineRule="exact"/>
        <w:textAlignment w:val="auto"/>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二、投标人的资格要求：</w:t>
      </w:r>
    </w:p>
    <w:p w14:paraId="6EDC2555">
      <w:pPr>
        <w:keepNext w:val="0"/>
        <w:keepLines w:val="0"/>
        <w:pageBreakBefore w:val="0"/>
        <w:kinsoku/>
        <w:wordWrap/>
        <w:overflowPunct/>
        <w:topLinePunct w:val="0"/>
        <w:autoSpaceDE/>
        <w:autoSpaceDN/>
        <w:bidi w:val="0"/>
        <w:adjustRightInd/>
        <w:spacing w:line="400" w:lineRule="exact"/>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1.满足《中华人民共和国政府采购法》第二十二条规定；</w:t>
      </w:r>
    </w:p>
    <w:p w14:paraId="5A5EA2FB">
      <w:pPr>
        <w:spacing w:line="440" w:lineRule="exact"/>
        <w:ind w:firstLine="420" w:firstLineChars="200"/>
        <w:rPr>
          <w:rFonts w:hint="eastAsia" w:ascii="宋体" w:hAnsi="宋体" w:eastAsia="宋体" w:cs="宋体"/>
          <w:b/>
          <w:bCs/>
          <w:color w:val="auto"/>
          <w:szCs w:val="21"/>
          <w:highlight w:val="none"/>
          <w:lang w:val="en-US" w:eastAsia="zh-CN"/>
        </w:rPr>
      </w:pPr>
      <w:r>
        <w:rPr>
          <w:rFonts w:hint="eastAsia" w:ascii="宋体" w:hAnsi="宋体" w:eastAsia="宋体" w:cs="宋体"/>
          <w:color w:val="auto"/>
          <w:szCs w:val="21"/>
          <w:highlight w:val="none"/>
        </w:rPr>
        <w:t>2.落实政府采购政策需满足的资格要求：</w:t>
      </w:r>
      <w:r>
        <w:rPr>
          <w:rFonts w:hint="eastAsia" w:ascii="宋体" w:hAnsi="宋体" w:cs="宋体"/>
          <w:b/>
          <w:bCs/>
          <w:color w:val="auto"/>
          <w:szCs w:val="21"/>
          <w:highlight w:val="none"/>
          <w:lang w:val="en-US" w:eastAsia="zh-CN"/>
        </w:rPr>
        <w:t>1、</w:t>
      </w:r>
      <w:r>
        <w:rPr>
          <w:rFonts w:hint="eastAsia" w:ascii="宋体" w:hAnsi="宋体" w:eastAsia="宋体" w:cs="宋体"/>
          <w:b/>
          <w:bCs/>
          <w:color w:val="auto"/>
          <w:szCs w:val="21"/>
          <w:highlight w:val="none"/>
        </w:rPr>
        <w:t>非专门面向中小企业采购（分标1适用）</w:t>
      </w:r>
      <w:r>
        <w:rPr>
          <w:rFonts w:hint="eastAsia" w:ascii="宋体" w:hAnsi="宋体" w:cs="宋体"/>
          <w:b/>
          <w:bCs/>
          <w:color w:val="auto"/>
          <w:szCs w:val="21"/>
          <w:highlight w:val="none"/>
          <w:lang w:val="en-US" w:eastAsia="zh-CN"/>
        </w:rPr>
        <w:t>；2、</w:t>
      </w:r>
      <w:r>
        <w:rPr>
          <w:rFonts w:hint="eastAsia" w:ascii="宋体" w:hAnsi="宋体" w:eastAsia="宋体" w:cs="宋体"/>
          <w:b/>
          <w:bCs/>
          <w:color w:val="auto"/>
          <w:szCs w:val="21"/>
          <w:highlight w:val="none"/>
          <w:lang w:val="en-US" w:eastAsia="zh-CN"/>
        </w:rPr>
        <w:t>专门面向中小企业采购的项目（供应商应为中小微企业或监狱企业或残疾人福利性单位)</w:t>
      </w:r>
      <w:r>
        <w:rPr>
          <w:rFonts w:hint="eastAsia" w:ascii="宋体" w:hAnsi="宋体" w:cs="宋体"/>
          <w:b/>
          <w:bCs/>
          <w:color w:val="auto"/>
          <w:szCs w:val="21"/>
          <w:highlight w:val="none"/>
          <w:lang w:eastAsia="zh-CN"/>
        </w:rPr>
        <w:t>（</w:t>
      </w:r>
      <w:r>
        <w:rPr>
          <w:rFonts w:hint="eastAsia" w:ascii="宋体" w:hAnsi="宋体" w:eastAsia="宋体" w:cs="宋体"/>
          <w:b/>
          <w:bCs/>
          <w:color w:val="auto"/>
          <w:szCs w:val="21"/>
          <w:highlight w:val="none"/>
        </w:rPr>
        <w:t>分标2适用）</w:t>
      </w:r>
    </w:p>
    <w:p w14:paraId="1ED70A84">
      <w:pPr>
        <w:keepNext w:val="0"/>
        <w:keepLines w:val="0"/>
        <w:pageBreakBefore w:val="0"/>
        <w:kinsoku/>
        <w:wordWrap/>
        <w:overflowPunct/>
        <w:topLinePunct w:val="0"/>
        <w:autoSpaceDE/>
        <w:autoSpaceDN/>
        <w:bidi w:val="0"/>
        <w:adjustRightInd/>
        <w:spacing w:line="400" w:lineRule="exact"/>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3.本项目的特定资格要求：</w:t>
      </w:r>
      <w:r>
        <w:rPr>
          <w:rFonts w:hint="eastAsia" w:ascii="宋体" w:hAnsi="宋体" w:eastAsia="宋体" w:cs="宋体"/>
          <w:color w:val="auto"/>
          <w:szCs w:val="21"/>
          <w:highlight w:val="none"/>
          <w:lang w:val="en-US" w:eastAsia="zh-CN"/>
        </w:rPr>
        <w:t>无。</w:t>
      </w:r>
    </w:p>
    <w:p w14:paraId="4D28B2CA">
      <w:pPr>
        <w:keepNext w:val="0"/>
        <w:keepLines w:val="0"/>
        <w:pageBreakBefore w:val="0"/>
        <w:widowControl w:val="0"/>
        <w:kinsoku/>
        <w:wordWrap/>
        <w:overflowPunct/>
        <w:topLinePunct w:val="0"/>
        <w:autoSpaceDE/>
        <w:autoSpaceDN/>
        <w:bidi w:val="0"/>
        <w:adjustRightInd/>
        <w:spacing w:line="400" w:lineRule="exact"/>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4.本项目的特定条件：</w:t>
      </w:r>
      <w:r>
        <w:rPr>
          <w:rFonts w:hint="eastAsia" w:ascii="宋体" w:hAnsi="宋体" w:eastAsia="宋体" w:cs="宋体"/>
          <w:color w:val="auto"/>
          <w:szCs w:val="21"/>
          <w:highlight w:val="none"/>
          <w:lang w:val="en-US" w:eastAsia="zh-CN"/>
        </w:rPr>
        <w:t>无。</w:t>
      </w:r>
    </w:p>
    <w:p w14:paraId="03DFBD93">
      <w:pPr>
        <w:keepNext w:val="0"/>
        <w:keepLines w:val="0"/>
        <w:pageBreakBefore w:val="0"/>
        <w:kinsoku/>
        <w:wordWrap/>
        <w:overflowPunct/>
        <w:topLinePunct w:val="0"/>
        <w:autoSpaceDE/>
        <w:autoSpaceDN/>
        <w:bidi w:val="0"/>
        <w:adjustRightInd/>
        <w:spacing w:line="400" w:lineRule="exact"/>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5.单位负责人为同一人或者存在直接控股、管理关系的不同供应商，不得参加同一合同项下的政府采购活动。为本项目提供过整体设计、规范编制或者项目管理、监理、检测等服务的供应商，不得再参加本项目上述服务以外的其他采购活动。</w:t>
      </w:r>
    </w:p>
    <w:p w14:paraId="567E8059">
      <w:pPr>
        <w:keepNext w:val="0"/>
        <w:keepLines w:val="0"/>
        <w:pageBreakBefore w:val="0"/>
        <w:kinsoku/>
        <w:wordWrap/>
        <w:overflowPunct/>
        <w:topLinePunct w:val="0"/>
        <w:autoSpaceDE/>
        <w:autoSpaceDN/>
        <w:bidi w:val="0"/>
        <w:adjustRightInd/>
        <w:spacing w:line="400" w:lineRule="exact"/>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6.对在“信用中国”网站(www.creditchina.gov.cn)、中国政府采购网(www.ccgp.gov.cn)被列入失信被执行人、重大税收违法案件当事人名单、政府采购严重违法失信行为记录名单及其他不符合《中华人民共和国政府采购法》第二十二条规定条件的供应商，不得参与政府采购活动。</w:t>
      </w:r>
    </w:p>
    <w:p w14:paraId="6D2FEFBC">
      <w:pPr>
        <w:keepNext w:val="0"/>
        <w:keepLines w:val="0"/>
        <w:pageBreakBefore w:val="0"/>
        <w:kinsoku/>
        <w:wordWrap/>
        <w:overflowPunct/>
        <w:topLinePunct w:val="0"/>
        <w:autoSpaceDE/>
        <w:autoSpaceDN/>
        <w:bidi w:val="0"/>
        <w:adjustRightInd/>
        <w:spacing w:line="400" w:lineRule="exact"/>
        <w:textAlignment w:val="auto"/>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三、获取招标文件</w:t>
      </w:r>
    </w:p>
    <w:p w14:paraId="25E6E797">
      <w:pPr>
        <w:keepNext w:val="0"/>
        <w:keepLines w:val="0"/>
        <w:pageBreakBefore w:val="0"/>
        <w:kinsoku/>
        <w:wordWrap/>
        <w:overflowPunct/>
        <w:topLinePunct w:val="0"/>
        <w:autoSpaceDE/>
        <w:autoSpaceDN/>
        <w:bidi w:val="0"/>
        <w:adjustRightInd/>
        <w:snapToGrid w:val="0"/>
        <w:spacing w:line="400" w:lineRule="exact"/>
        <w:ind w:firstLine="472" w:firstLineChars="225"/>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时间：自公告发布之日起。</w:t>
      </w:r>
    </w:p>
    <w:p w14:paraId="78A0E9E1">
      <w:pPr>
        <w:keepNext w:val="0"/>
        <w:keepLines w:val="0"/>
        <w:pageBreakBefore w:val="0"/>
        <w:kinsoku/>
        <w:wordWrap/>
        <w:overflowPunct/>
        <w:topLinePunct w:val="0"/>
        <w:autoSpaceDE/>
        <w:autoSpaceDN/>
        <w:bidi w:val="0"/>
        <w:adjustRightInd/>
        <w:spacing w:line="400" w:lineRule="exact"/>
        <w:ind w:firstLine="420" w:firstLineChars="200"/>
        <w:textAlignment w:val="auto"/>
        <w:rPr>
          <w:rFonts w:hint="eastAsia" w:ascii="宋体" w:hAnsi="宋体" w:eastAsia="宋体" w:cs="宋体"/>
          <w:b/>
          <w:bCs/>
          <w:color w:val="auto"/>
          <w:sz w:val="24"/>
          <w:highlight w:val="none"/>
        </w:rPr>
      </w:pPr>
      <w:r>
        <w:rPr>
          <w:rFonts w:hint="eastAsia" w:ascii="宋体" w:hAnsi="宋体" w:eastAsia="宋体" w:cs="宋体"/>
          <w:color w:val="auto"/>
          <w:szCs w:val="21"/>
          <w:highlight w:val="none"/>
        </w:rPr>
        <w:t>获取方式：网上下载。本项目不发放纸质文件，供应商可自行在</w:t>
      </w:r>
      <w:r>
        <w:rPr>
          <w:rFonts w:hint="eastAsia" w:ascii="宋体" w:hAnsi="宋体" w:eastAsia="宋体" w:cs="宋体"/>
          <w:color w:val="auto"/>
          <w:szCs w:val="21"/>
          <w:highlight w:val="none"/>
          <w:lang w:eastAsia="zh-CN"/>
        </w:rPr>
        <w:t>广西政府采购云平台</w:t>
      </w:r>
      <w:r>
        <w:rPr>
          <w:rFonts w:hint="eastAsia" w:ascii="宋体" w:hAnsi="宋体" w:eastAsia="宋体" w:cs="宋体"/>
          <w:color w:val="auto"/>
          <w:szCs w:val="21"/>
          <w:highlight w:val="none"/>
        </w:rPr>
        <w:t>（</w:t>
      </w:r>
      <w:r>
        <w:rPr>
          <w:rFonts w:hint="eastAsia" w:ascii="宋体" w:hAnsi="宋体" w:eastAsia="宋体" w:cs="宋体"/>
          <w:color w:val="auto"/>
          <w:szCs w:val="21"/>
          <w:highlight w:val="none"/>
          <w:lang w:eastAsia="zh-CN"/>
        </w:rPr>
        <w:t>https://www.gcy.zfcg.gxzf.gov.cn/</w:t>
      </w:r>
      <w:r>
        <w:rPr>
          <w:rFonts w:hint="eastAsia" w:ascii="宋体" w:hAnsi="宋体" w:eastAsia="宋体" w:cs="宋体"/>
          <w:color w:val="auto"/>
          <w:szCs w:val="21"/>
          <w:highlight w:val="none"/>
        </w:rPr>
        <w:t>）下载招标文件（操作路径：登录</w:t>
      </w:r>
      <w:r>
        <w:rPr>
          <w:rFonts w:hint="eastAsia" w:ascii="宋体" w:hAnsi="宋体" w:eastAsia="宋体" w:cs="宋体"/>
          <w:color w:val="auto"/>
          <w:szCs w:val="21"/>
          <w:highlight w:val="none"/>
          <w:lang w:eastAsia="zh-CN"/>
        </w:rPr>
        <w:t>广西政府采购云平台</w:t>
      </w:r>
      <w:r>
        <w:rPr>
          <w:rFonts w:hint="eastAsia" w:ascii="宋体" w:hAnsi="宋体" w:eastAsia="宋体" w:cs="宋体"/>
          <w:color w:val="auto"/>
          <w:szCs w:val="21"/>
          <w:highlight w:val="none"/>
        </w:rPr>
        <w:t>-项目采购-获取采购文件-找到本项目-点击“申请获取采购文件”），电子投标文件制作需要基于</w:t>
      </w:r>
      <w:r>
        <w:rPr>
          <w:rFonts w:hint="eastAsia" w:ascii="宋体" w:hAnsi="宋体" w:eastAsia="宋体" w:cs="宋体"/>
          <w:color w:val="auto"/>
          <w:szCs w:val="21"/>
          <w:highlight w:val="none"/>
          <w:lang w:eastAsia="zh-CN"/>
        </w:rPr>
        <w:t>广西政府采购云平台</w:t>
      </w:r>
      <w:r>
        <w:rPr>
          <w:rFonts w:hint="eastAsia" w:ascii="宋体" w:hAnsi="宋体" w:eastAsia="宋体" w:cs="宋体"/>
          <w:color w:val="auto"/>
          <w:szCs w:val="21"/>
          <w:highlight w:val="none"/>
        </w:rPr>
        <w:t>获取的招标文件编制。</w:t>
      </w:r>
    </w:p>
    <w:p w14:paraId="2E4F6258">
      <w:pPr>
        <w:keepNext w:val="0"/>
        <w:keepLines w:val="0"/>
        <w:pageBreakBefore w:val="0"/>
        <w:kinsoku/>
        <w:wordWrap/>
        <w:overflowPunct/>
        <w:topLinePunct w:val="0"/>
        <w:autoSpaceDE/>
        <w:autoSpaceDN/>
        <w:bidi w:val="0"/>
        <w:adjustRightInd/>
        <w:snapToGrid w:val="0"/>
        <w:spacing w:line="400" w:lineRule="exact"/>
        <w:ind w:firstLine="472" w:firstLineChars="225"/>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售价：0元。</w:t>
      </w:r>
    </w:p>
    <w:p w14:paraId="7D2FA261">
      <w:pPr>
        <w:keepNext w:val="0"/>
        <w:keepLines w:val="0"/>
        <w:pageBreakBefore w:val="0"/>
        <w:kinsoku/>
        <w:wordWrap/>
        <w:overflowPunct/>
        <w:topLinePunct w:val="0"/>
        <w:autoSpaceDE/>
        <w:autoSpaceDN/>
        <w:bidi w:val="0"/>
        <w:adjustRightInd/>
        <w:spacing w:line="400" w:lineRule="exact"/>
        <w:textAlignment w:val="auto"/>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四、提交投标文件截止时间、开标时间和地点</w:t>
      </w:r>
    </w:p>
    <w:p w14:paraId="226CA8CB">
      <w:pPr>
        <w:keepNext w:val="0"/>
        <w:keepLines w:val="0"/>
        <w:pageBreakBefore w:val="0"/>
        <w:kinsoku/>
        <w:wordWrap/>
        <w:overflowPunct/>
        <w:topLinePunct w:val="0"/>
        <w:autoSpaceDE/>
        <w:autoSpaceDN/>
        <w:bidi w:val="0"/>
        <w:adjustRightInd/>
        <w:spacing w:line="400" w:lineRule="exact"/>
        <w:ind w:firstLine="420" w:firstLineChars="200"/>
        <w:textAlignment w:val="auto"/>
        <w:rPr>
          <w:rFonts w:hint="eastAsia" w:ascii="宋体" w:hAnsi="宋体" w:eastAsia="宋体" w:cs="宋体"/>
          <w:color w:val="auto"/>
          <w:szCs w:val="21"/>
          <w:highlight w:val="none"/>
          <w:u w:val="single"/>
        </w:rPr>
      </w:pPr>
      <w:r>
        <w:rPr>
          <w:rFonts w:hint="eastAsia" w:ascii="宋体" w:hAnsi="宋体" w:eastAsia="宋体" w:cs="宋体"/>
          <w:bCs/>
          <w:color w:val="auto"/>
          <w:szCs w:val="21"/>
          <w:highlight w:val="none"/>
        </w:rPr>
        <w:t>1、提交投标文件截止时间和开标时间：</w:t>
      </w:r>
      <w:r>
        <w:rPr>
          <w:rFonts w:hint="eastAsia" w:ascii="宋体" w:hAnsi="宋体" w:cs="宋体"/>
          <w:color w:val="auto"/>
          <w:sz w:val="21"/>
          <w:szCs w:val="21"/>
          <w:highlight w:val="none"/>
          <w:u w:val="single"/>
          <w:lang w:eastAsia="zh-CN"/>
        </w:rPr>
        <w:t>2026年</w:t>
      </w:r>
      <w:r>
        <w:rPr>
          <w:rFonts w:hint="eastAsia" w:ascii="宋体" w:hAnsi="宋体" w:cs="宋体"/>
          <w:color w:val="auto"/>
          <w:sz w:val="21"/>
          <w:szCs w:val="21"/>
          <w:highlight w:val="none"/>
          <w:u w:val="single"/>
          <w:lang w:val="en-US" w:eastAsia="zh-CN"/>
        </w:rPr>
        <w:t>10</w:t>
      </w:r>
      <w:r>
        <w:rPr>
          <w:rFonts w:hint="eastAsia" w:ascii="宋体" w:hAnsi="宋体" w:cs="宋体"/>
          <w:color w:val="auto"/>
          <w:sz w:val="21"/>
          <w:szCs w:val="21"/>
          <w:highlight w:val="none"/>
          <w:u w:val="single"/>
          <w:lang w:eastAsia="zh-CN"/>
        </w:rPr>
        <w:t>月</w:t>
      </w:r>
      <w:r>
        <w:rPr>
          <w:rFonts w:hint="eastAsia" w:ascii="宋体" w:hAnsi="宋体" w:cs="宋体"/>
          <w:color w:val="auto"/>
          <w:sz w:val="21"/>
          <w:szCs w:val="21"/>
          <w:highlight w:val="none"/>
          <w:u w:val="single"/>
          <w:lang w:val="en-US" w:eastAsia="zh-CN"/>
        </w:rPr>
        <w:t>20</w:t>
      </w:r>
      <w:r>
        <w:rPr>
          <w:rFonts w:hint="eastAsia" w:ascii="宋体" w:hAnsi="宋体" w:cs="宋体"/>
          <w:color w:val="auto"/>
          <w:sz w:val="21"/>
          <w:szCs w:val="21"/>
          <w:highlight w:val="none"/>
          <w:u w:val="single"/>
          <w:lang w:eastAsia="zh-CN"/>
        </w:rPr>
        <w:t>日09时30分</w:t>
      </w:r>
      <w:r>
        <w:rPr>
          <w:rFonts w:hint="eastAsia" w:ascii="宋体" w:hAnsi="宋体" w:eastAsia="宋体" w:cs="宋体"/>
          <w:bCs/>
          <w:color w:val="auto"/>
          <w:szCs w:val="21"/>
          <w:highlight w:val="none"/>
        </w:rPr>
        <w:t>（北京时间）</w:t>
      </w:r>
    </w:p>
    <w:p w14:paraId="77C488E6">
      <w:pPr>
        <w:keepNext w:val="0"/>
        <w:keepLines w:val="0"/>
        <w:pageBreakBefore w:val="0"/>
        <w:kinsoku/>
        <w:wordWrap/>
        <w:overflowPunct/>
        <w:topLinePunct w:val="0"/>
        <w:autoSpaceDE/>
        <w:autoSpaceDN/>
        <w:bidi w:val="0"/>
        <w:adjustRightInd/>
        <w:spacing w:line="400" w:lineRule="exact"/>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2、投标和开标地点：</w:t>
      </w:r>
    </w:p>
    <w:p w14:paraId="559A7EC2">
      <w:pPr>
        <w:keepNext w:val="0"/>
        <w:keepLines w:val="0"/>
        <w:pageBreakBefore w:val="0"/>
        <w:widowControl/>
        <w:kinsoku/>
        <w:wordWrap/>
        <w:overflowPunct/>
        <w:topLinePunct w:val="0"/>
        <w:autoSpaceDE/>
        <w:autoSpaceDN/>
        <w:bidi w:val="0"/>
        <w:adjustRightInd/>
        <w:spacing w:line="400" w:lineRule="exact"/>
        <w:ind w:firstLine="420" w:firstLineChars="200"/>
        <w:jc w:val="lef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（1）投标文件提交方式：本项目为南宁市全流程电子化项目，通过</w:t>
      </w:r>
      <w:r>
        <w:rPr>
          <w:rFonts w:hint="eastAsia" w:ascii="宋体" w:hAnsi="宋体" w:eastAsia="宋体" w:cs="宋体"/>
          <w:color w:val="auto"/>
          <w:szCs w:val="21"/>
          <w:highlight w:val="none"/>
          <w:lang w:eastAsia="zh-CN"/>
        </w:rPr>
        <w:t>广西政府采购云平台</w:t>
      </w:r>
      <w:r>
        <w:rPr>
          <w:rFonts w:hint="eastAsia" w:ascii="宋体" w:hAnsi="宋体" w:eastAsia="宋体" w:cs="宋体"/>
          <w:color w:val="auto"/>
          <w:szCs w:val="21"/>
          <w:highlight w:val="none"/>
        </w:rPr>
        <w:t>（</w:t>
      </w:r>
      <w:r>
        <w:rPr>
          <w:rFonts w:hint="eastAsia" w:ascii="宋体" w:hAnsi="宋体" w:eastAsia="宋体" w:cs="宋体"/>
          <w:color w:val="auto"/>
          <w:szCs w:val="21"/>
          <w:highlight w:val="none"/>
          <w:lang w:eastAsia="zh-CN"/>
        </w:rPr>
        <w:t>https://www.gcy.zfcg.gxzf.gov.cn/</w:t>
      </w:r>
      <w:r>
        <w:rPr>
          <w:rFonts w:hint="eastAsia" w:ascii="宋体" w:hAnsi="宋体" w:eastAsia="宋体" w:cs="宋体"/>
          <w:color w:val="auto"/>
          <w:szCs w:val="21"/>
          <w:highlight w:val="none"/>
        </w:rPr>
        <w:t>）实行在线电子投标，供应商应先安装“政采云电子交易客户端”（请自行前往</w:t>
      </w:r>
      <w:r>
        <w:rPr>
          <w:rFonts w:hint="eastAsia" w:ascii="宋体" w:hAnsi="宋体" w:eastAsia="宋体" w:cs="宋体"/>
          <w:color w:val="auto"/>
          <w:szCs w:val="21"/>
          <w:highlight w:val="none"/>
          <w:lang w:eastAsia="zh-CN"/>
        </w:rPr>
        <w:t>广西政府采购云平台</w:t>
      </w:r>
      <w:r>
        <w:rPr>
          <w:rFonts w:hint="eastAsia" w:ascii="宋体" w:hAnsi="宋体" w:eastAsia="宋体" w:cs="宋体"/>
          <w:color w:val="auto"/>
          <w:szCs w:val="21"/>
          <w:highlight w:val="none"/>
        </w:rPr>
        <w:t>进行下载），并按照本项目招标文件和</w:t>
      </w:r>
      <w:r>
        <w:rPr>
          <w:rFonts w:hint="eastAsia" w:ascii="宋体" w:hAnsi="宋体" w:eastAsia="宋体" w:cs="宋体"/>
          <w:color w:val="auto"/>
          <w:szCs w:val="21"/>
          <w:highlight w:val="none"/>
          <w:lang w:eastAsia="zh-CN"/>
        </w:rPr>
        <w:t>广西政府采购云平台</w:t>
      </w:r>
      <w:r>
        <w:rPr>
          <w:rFonts w:hint="eastAsia" w:ascii="宋体" w:hAnsi="宋体" w:eastAsia="宋体" w:cs="宋体"/>
          <w:color w:val="auto"/>
          <w:szCs w:val="21"/>
          <w:highlight w:val="none"/>
        </w:rPr>
        <w:t>的要求编制、加密后在投标截止时间前通过网络上传至南宁市</w:t>
      </w:r>
      <w:r>
        <w:rPr>
          <w:rFonts w:hint="eastAsia" w:ascii="宋体" w:hAnsi="宋体" w:eastAsia="宋体" w:cs="宋体"/>
          <w:color w:val="auto"/>
          <w:szCs w:val="21"/>
          <w:highlight w:val="none"/>
          <w:lang w:eastAsia="zh-CN"/>
        </w:rPr>
        <w:t>广西政府采购云平台</w:t>
      </w:r>
      <w:r>
        <w:rPr>
          <w:rFonts w:hint="eastAsia" w:ascii="宋体" w:hAnsi="宋体" w:eastAsia="宋体" w:cs="宋体"/>
          <w:color w:val="auto"/>
          <w:szCs w:val="21"/>
          <w:highlight w:val="none"/>
        </w:rPr>
        <w:t>，</w:t>
      </w:r>
      <w:r>
        <w:rPr>
          <w:rFonts w:hint="eastAsia" w:ascii="宋体" w:hAnsi="宋体" w:eastAsia="宋体" w:cs="宋体"/>
          <w:b/>
          <w:color w:val="auto"/>
          <w:szCs w:val="21"/>
          <w:highlight w:val="none"/>
        </w:rPr>
        <w:t>供应商在</w:t>
      </w:r>
      <w:r>
        <w:rPr>
          <w:rFonts w:hint="eastAsia" w:ascii="宋体" w:hAnsi="宋体" w:eastAsia="宋体" w:cs="宋体"/>
          <w:b/>
          <w:color w:val="auto"/>
          <w:szCs w:val="21"/>
          <w:highlight w:val="none"/>
          <w:lang w:eastAsia="zh-CN"/>
        </w:rPr>
        <w:t>广西政府采购云平台</w:t>
      </w:r>
      <w:r>
        <w:rPr>
          <w:rFonts w:hint="eastAsia" w:ascii="宋体" w:hAnsi="宋体" w:eastAsia="宋体" w:cs="宋体"/>
          <w:b/>
          <w:color w:val="auto"/>
          <w:szCs w:val="21"/>
          <w:highlight w:val="none"/>
        </w:rPr>
        <w:t>提交电子版投标文件时，请填写参加远程开标活动经办人联系方式，</w:t>
      </w:r>
      <w:r>
        <w:rPr>
          <w:rFonts w:hint="eastAsia" w:ascii="宋体" w:hAnsi="宋体" w:eastAsia="宋体" w:cs="宋体"/>
          <w:color w:val="auto"/>
          <w:szCs w:val="21"/>
          <w:highlight w:val="none"/>
        </w:rPr>
        <w:t>电子投标具体操作流程详见本公告附件2。</w:t>
      </w:r>
    </w:p>
    <w:p w14:paraId="3E0E53FF">
      <w:pPr>
        <w:keepNext w:val="0"/>
        <w:keepLines w:val="0"/>
        <w:pageBreakBefore w:val="0"/>
        <w:widowControl/>
        <w:kinsoku/>
        <w:wordWrap/>
        <w:overflowPunct/>
        <w:topLinePunct w:val="0"/>
        <w:autoSpaceDE/>
        <w:autoSpaceDN/>
        <w:bidi w:val="0"/>
        <w:adjustRightInd/>
        <w:spacing w:line="400" w:lineRule="exact"/>
        <w:ind w:firstLine="420" w:firstLineChars="200"/>
        <w:jc w:val="lef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2）未进行网上注册并办理数字证书（CA认证）的供应商将无法参与本项目政府采购活动，潜在供应商应当在投标截止时间前，完成电子交易平台上的CA数字证书办理（申领流程见本公告附件1）及投标文件的提交。完成CA数字证书办理预计7日左右，投标人只需办理其中一家CA数字证书及签章，建议各投标人抓紧时间办理。</w:t>
      </w:r>
    </w:p>
    <w:p w14:paraId="08C73432">
      <w:pPr>
        <w:keepNext w:val="0"/>
        <w:keepLines w:val="0"/>
        <w:pageBreakBefore w:val="0"/>
        <w:widowControl/>
        <w:kinsoku/>
        <w:wordWrap/>
        <w:overflowPunct/>
        <w:topLinePunct w:val="0"/>
        <w:autoSpaceDE/>
        <w:autoSpaceDN/>
        <w:bidi w:val="0"/>
        <w:adjustRightInd/>
        <w:spacing w:line="400" w:lineRule="exact"/>
        <w:ind w:firstLine="420" w:firstLineChars="200"/>
        <w:jc w:val="lef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（3）为确保网上操作合法、有效和安全，请投标供应商确保在电子投标过程中能够对相关数据电文进行加密和使用电子签章，妥善保管CA数字证书并使用有效的CA数字证书参与整个招标活动。</w:t>
      </w:r>
    </w:p>
    <w:p w14:paraId="4D1E1A5D">
      <w:pPr>
        <w:keepNext w:val="0"/>
        <w:keepLines w:val="0"/>
        <w:pageBreakBefore w:val="0"/>
        <w:kinsoku/>
        <w:wordWrap/>
        <w:overflowPunct/>
        <w:topLinePunct w:val="0"/>
        <w:autoSpaceDE/>
        <w:autoSpaceDN/>
        <w:bidi w:val="0"/>
        <w:adjustRightInd/>
        <w:spacing w:line="400" w:lineRule="exact"/>
        <w:ind w:firstLine="420" w:firstLineChars="200"/>
        <w:textAlignment w:val="auto"/>
        <w:rPr>
          <w:rFonts w:hint="eastAsia" w:ascii="宋体" w:hAnsi="宋体" w:eastAsia="宋体" w:cs="宋体"/>
          <w:bCs/>
          <w:color w:val="auto"/>
          <w:szCs w:val="21"/>
          <w:highlight w:val="none"/>
          <w:u w:val="single"/>
        </w:rPr>
      </w:pPr>
      <w:r>
        <w:rPr>
          <w:rFonts w:hint="eastAsia" w:ascii="宋体" w:hAnsi="宋体" w:eastAsia="宋体" w:cs="宋体"/>
          <w:bCs/>
          <w:color w:val="auto"/>
          <w:szCs w:val="21"/>
          <w:highlight w:val="none"/>
          <w:u w:val="single"/>
        </w:rPr>
        <w:t>注：投标人应当在投标截止时间前完成电子投标文件的上传、递交，投标截止时间前可以补充、修改或者撤回投标文件。补充或者修改投标文件的，应当先行撤回原文件，补充、修改后重新上传、递交。投标截止时间前未完成上传、递交的，视为撤回投标文件。投标截止时间以后上传递交的投标文件</w:t>
      </w:r>
      <w:r>
        <w:rPr>
          <w:rFonts w:hint="eastAsia" w:ascii="宋体" w:hAnsi="宋体" w:eastAsia="宋体" w:cs="宋体"/>
          <w:bCs/>
          <w:color w:val="auto"/>
          <w:szCs w:val="21"/>
          <w:highlight w:val="none"/>
          <w:u w:val="single"/>
          <w:lang w:eastAsia="zh-CN"/>
        </w:rPr>
        <w:t>广西政府采购云平台</w:t>
      </w:r>
      <w:r>
        <w:rPr>
          <w:rFonts w:hint="eastAsia" w:ascii="宋体" w:hAnsi="宋体" w:eastAsia="宋体" w:cs="宋体"/>
          <w:bCs/>
          <w:color w:val="auto"/>
          <w:szCs w:val="21"/>
          <w:highlight w:val="none"/>
          <w:u w:val="single"/>
        </w:rPr>
        <w:t>将予以拒收。</w:t>
      </w:r>
    </w:p>
    <w:p w14:paraId="4745B727">
      <w:pPr>
        <w:keepNext w:val="0"/>
        <w:keepLines w:val="0"/>
        <w:pageBreakBefore w:val="0"/>
        <w:widowControl/>
        <w:kinsoku/>
        <w:wordWrap/>
        <w:overflowPunct/>
        <w:topLinePunct w:val="0"/>
        <w:autoSpaceDE/>
        <w:autoSpaceDN/>
        <w:bidi w:val="0"/>
        <w:adjustRightInd/>
        <w:spacing w:line="400" w:lineRule="exact"/>
        <w:ind w:firstLine="420" w:firstLineChars="200"/>
        <w:jc w:val="lef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（4）开标地点：本次招标将</w:t>
      </w:r>
      <w:r>
        <w:rPr>
          <w:rFonts w:hint="eastAsia" w:ascii="宋体" w:hAnsi="宋体" w:eastAsia="宋体" w:cs="宋体"/>
          <w:color w:val="auto"/>
          <w:szCs w:val="21"/>
          <w:highlight w:val="none"/>
          <w:u w:val="single"/>
        </w:rPr>
        <w:t>于</w:t>
      </w:r>
      <w:r>
        <w:rPr>
          <w:rFonts w:hint="eastAsia" w:ascii="宋体" w:hAnsi="宋体" w:cs="宋体"/>
          <w:color w:val="auto"/>
          <w:sz w:val="21"/>
          <w:szCs w:val="21"/>
          <w:highlight w:val="none"/>
          <w:u w:val="single"/>
          <w:lang w:eastAsia="zh-CN"/>
        </w:rPr>
        <w:t>2026年</w:t>
      </w:r>
      <w:r>
        <w:rPr>
          <w:rFonts w:hint="eastAsia" w:ascii="宋体" w:hAnsi="宋体" w:cs="宋体"/>
          <w:color w:val="auto"/>
          <w:sz w:val="21"/>
          <w:szCs w:val="21"/>
          <w:highlight w:val="none"/>
          <w:u w:val="single"/>
          <w:lang w:val="en-US" w:eastAsia="zh-CN"/>
        </w:rPr>
        <w:t>10</w:t>
      </w:r>
      <w:r>
        <w:rPr>
          <w:rFonts w:hint="eastAsia" w:ascii="宋体" w:hAnsi="宋体" w:cs="宋体"/>
          <w:color w:val="auto"/>
          <w:sz w:val="21"/>
          <w:szCs w:val="21"/>
          <w:highlight w:val="none"/>
          <w:u w:val="single"/>
          <w:lang w:eastAsia="zh-CN"/>
        </w:rPr>
        <w:t>月</w:t>
      </w:r>
      <w:r>
        <w:rPr>
          <w:rFonts w:hint="eastAsia" w:ascii="宋体" w:hAnsi="宋体" w:cs="宋体"/>
          <w:color w:val="auto"/>
          <w:sz w:val="21"/>
          <w:szCs w:val="21"/>
          <w:highlight w:val="none"/>
          <w:u w:val="single"/>
          <w:lang w:val="en-US" w:eastAsia="zh-CN"/>
        </w:rPr>
        <w:t>20</w:t>
      </w:r>
      <w:r>
        <w:rPr>
          <w:rFonts w:hint="eastAsia" w:ascii="宋体" w:hAnsi="宋体" w:cs="宋体"/>
          <w:color w:val="auto"/>
          <w:sz w:val="21"/>
          <w:szCs w:val="21"/>
          <w:highlight w:val="none"/>
          <w:u w:val="single"/>
          <w:lang w:eastAsia="zh-CN"/>
        </w:rPr>
        <w:t>日09时30分</w:t>
      </w:r>
      <w:r>
        <w:rPr>
          <w:rFonts w:hint="eastAsia" w:ascii="宋体" w:hAnsi="宋体" w:eastAsia="宋体" w:cs="宋体"/>
          <w:color w:val="auto"/>
          <w:szCs w:val="21"/>
          <w:highlight w:val="none"/>
        </w:rPr>
        <w:t>在</w:t>
      </w:r>
      <w:r>
        <w:rPr>
          <w:rFonts w:hint="eastAsia" w:ascii="宋体" w:hAnsi="宋体" w:eastAsia="宋体" w:cs="宋体"/>
          <w:color w:val="auto"/>
          <w:szCs w:val="21"/>
          <w:highlight w:val="none"/>
          <w:lang w:eastAsia="zh-CN"/>
        </w:rPr>
        <w:t>广西政府采购云平台</w:t>
      </w:r>
      <w:r>
        <w:rPr>
          <w:rFonts w:hint="eastAsia" w:ascii="宋体" w:hAnsi="宋体" w:eastAsia="宋体" w:cs="宋体"/>
          <w:color w:val="auto"/>
          <w:szCs w:val="21"/>
          <w:highlight w:val="none"/>
        </w:rPr>
        <w:t>电子开标大厅开标。</w:t>
      </w:r>
    </w:p>
    <w:p w14:paraId="04C92E97">
      <w:pPr>
        <w:keepNext w:val="0"/>
        <w:keepLines w:val="0"/>
        <w:pageBreakBefore w:val="0"/>
        <w:kinsoku/>
        <w:wordWrap/>
        <w:overflowPunct/>
        <w:topLinePunct w:val="0"/>
        <w:autoSpaceDE/>
        <w:autoSpaceDN/>
        <w:bidi w:val="0"/>
        <w:adjustRightInd/>
        <w:snapToGrid w:val="0"/>
        <w:spacing w:line="400" w:lineRule="exact"/>
        <w:ind w:firstLine="420" w:firstLineChars="200"/>
        <w:textAlignment w:val="auto"/>
        <w:rPr>
          <w:rFonts w:hint="eastAsia" w:ascii="宋体" w:hAnsi="宋体" w:eastAsia="宋体" w:cs="宋体"/>
          <w:color w:val="auto"/>
          <w:kern w:val="0"/>
          <w:szCs w:val="21"/>
          <w:highlight w:val="none"/>
        </w:rPr>
      </w:pPr>
      <w:r>
        <w:rPr>
          <w:rFonts w:hint="eastAsia" w:ascii="宋体" w:hAnsi="宋体" w:eastAsia="宋体" w:cs="宋体"/>
          <w:color w:val="auto"/>
          <w:szCs w:val="21"/>
          <w:highlight w:val="none"/>
        </w:rPr>
        <w:t>（5）CA证书在线解密</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供应商投标时，需携带制作投标文件时用来加密的有效数字证书(CA认证)登录</w:t>
      </w:r>
      <w:r>
        <w:rPr>
          <w:rFonts w:hint="eastAsia" w:ascii="宋体" w:hAnsi="宋体" w:eastAsia="宋体" w:cs="宋体"/>
          <w:color w:val="auto"/>
          <w:szCs w:val="21"/>
          <w:highlight w:val="none"/>
          <w:lang w:eastAsia="zh-CN"/>
        </w:rPr>
        <w:t>广西政府采购云平台</w:t>
      </w:r>
      <w:r>
        <w:rPr>
          <w:rFonts w:hint="eastAsia" w:ascii="宋体" w:hAnsi="宋体" w:eastAsia="宋体" w:cs="宋体"/>
          <w:color w:val="auto"/>
          <w:szCs w:val="21"/>
          <w:highlight w:val="none"/>
        </w:rPr>
        <w:t>电子开标大厅现场按规定时间对加密的投标文件进行解密，未能按要求进行解密的，由此产生的后果由投标人自行承担</w:t>
      </w:r>
      <w:r>
        <w:rPr>
          <w:rFonts w:hint="eastAsia" w:ascii="宋体" w:hAnsi="宋体" w:eastAsia="宋体" w:cs="宋体"/>
          <w:color w:val="auto"/>
          <w:kern w:val="0"/>
          <w:szCs w:val="21"/>
          <w:highlight w:val="none"/>
        </w:rPr>
        <w:t>。</w:t>
      </w:r>
    </w:p>
    <w:p w14:paraId="29561737">
      <w:pPr>
        <w:keepNext w:val="0"/>
        <w:keepLines w:val="0"/>
        <w:pageBreakBefore w:val="0"/>
        <w:kinsoku/>
        <w:wordWrap/>
        <w:overflowPunct/>
        <w:topLinePunct w:val="0"/>
        <w:autoSpaceDE/>
        <w:autoSpaceDN/>
        <w:bidi w:val="0"/>
        <w:adjustRightInd/>
        <w:spacing w:line="400" w:lineRule="exact"/>
        <w:textAlignment w:val="auto"/>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五、公告期限</w:t>
      </w:r>
    </w:p>
    <w:p w14:paraId="63C0196E">
      <w:pPr>
        <w:keepNext w:val="0"/>
        <w:keepLines w:val="0"/>
        <w:pageBreakBefore w:val="0"/>
        <w:kinsoku/>
        <w:wordWrap/>
        <w:overflowPunct/>
        <w:topLinePunct w:val="0"/>
        <w:autoSpaceDE/>
        <w:autoSpaceDN/>
        <w:bidi w:val="0"/>
        <w:adjustRightInd/>
        <w:spacing w:line="400" w:lineRule="exact"/>
        <w:ind w:firstLine="420" w:firstLineChars="200"/>
        <w:textAlignment w:val="auto"/>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自本公告发布之日起5个工作日。</w:t>
      </w:r>
    </w:p>
    <w:p w14:paraId="545804A8">
      <w:pPr>
        <w:keepNext w:val="0"/>
        <w:keepLines w:val="0"/>
        <w:pageBreakBefore w:val="0"/>
        <w:kinsoku/>
        <w:wordWrap/>
        <w:overflowPunct/>
        <w:topLinePunct w:val="0"/>
        <w:autoSpaceDE/>
        <w:autoSpaceDN/>
        <w:bidi w:val="0"/>
        <w:adjustRightInd/>
        <w:spacing w:line="400" w:lineRule="exact"/>
        <w:textAlignment w:val="auto"/>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六、其他补充事宜</w:t>
      </w:r>
    </w:p>
    <w:p w14:paraId="155ACFB9">
      <w:pPr>
        <w:keepNext w:val="0"/>
        <w:keepLines w:val="0"/>
        <w:pageBreakBefore w:val="0"/>
        <w:kinsoku/>
        <w:wordWrap/>
        <w:overflowPunct/>
        <w:topLinePunct w:val="0"/>
        <w:autoSpaceDE/>
        <w:autoSpaceDN/>
        <w:bidi w:val="0"/>
        <w:adjustRightInd/>
        <w:spacing w:line="400" w:lineRule="exact"/>
        <w:ind w:firstLine="315" w:firstLineChars="150"/>
        <w:textAlignment w:val="auto"/>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1.投标保证金：本项目不收取投标保证金</w:t>
      </w:r>
    </w:p>
    <w:p w14:paraId="60FF2413">
      <w:pPr>
        <w:keepNext w:val="0"/>
        <w:keepLines w:val="0"/>
        <w:pageBreakBefore w:val="0"/>
        <w:kinsoku/>
        <w:wordWrap/>
        <w:overflowPunct/>
        <w:topLinePunct w:val="0"/>
        <w:autoSpaceDE/>
        <w:autoSpaceDN/>
        <w:bidi w:val="0"/>
        <w:adjustRightInd/>
        <w:spacing w:line="400" w:lineRule="exact"/>
        <w:ind w:firstLine="315" w:firstLineChars="150"/>
        <w:textAlignment w:val="auto"/>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2.采购意向公开链接：</w:t>
      </w:r>
    </w:p>
    <w:p w14:paraId="742A26CC">
      <w:pPr>
        <w:keepNext w:val="0"/>
        <w:keepLines w:val="0"/>
        <w:pageBreakBefore w:val="0"/>
        <w:kinsoku/>
        <w:wordWrap/>
        <w:overflowPunct/>
        <w:topLinePunct w:val="0"/>
        <w:autoSpaceDE/>
        <w:autoSpaceDN/>
        <w:bidi w:val="0"/>
        <w:adjustRightInd/>
        <w:spacing w:line="400" w:lineRule="exact"/>
        <w:ind w:firstLine="315" w:firstLineChars="150"/>
        <w:textAlignment w:val="auto"/>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fldChar w:fldCharType="begin"/>
      </w:r>
      <w:r>
        <w:rPr>
          <w:rFonts w:hint="eastAsia" w:ascii="宋体" w:hAnsi="宋体" w:eastAsia="宋体" w:cs="宋体"/>
          <w:color w:val="auto"/>
          <w:kern w:val="0"/>
          <w:szCs w:val="21"/>
          <w:highlight w:val="none"/>
        </w:rPr>
        <w:instrText xml:space="preserve"> HYPERLINK "http://www.ccgp-guangxi.gov.cn/site/detail?parentId=66485&amp;articleId=3lOXl/rj5WBuJHgJzzlnAQ==" </w:instrText>
      </w:r>
      <w:r>
        <w:rPr>
          <w:rFonts w:hint="eastAsia" w:ascii="宋体" w:hAnsi="宋体" w:eastAsia="宋体" w:cs="宋体"/>
          <w:color w:val="auto"/>
          <w:kern w:val="0"/>
          <w:szCs w:val="21"/>
          <w:highlight w:val="none"/>
        </w:rPr>
        <w:fldChar w:fldCharType="separate"/>
      </w:r>
      <w:r>
        <w:rPr>
          <w:rStyle w:val="42"/>
          <w:rFonts w:hint="eastAsia" w:ascii="宋体" w:hAnsi="宋体" w:eastAsia="宋体" w:cs="宋体"/>
          <w:color w:val="auto"/>
          <w:kern w:val="0"/>
          <w:szCs w:val="21"/>
          <w:highlight w:val="none"/>
        </w:rPr>
        <w:t>http://www.ccgp-guangxi.gov.cn/site/detail?parentId=66485&amp;articleId=3lOXl/rj5WBuJHgJzzlnAQ==</w:t>
      </w:r>
      <w:r>
        <w:rPr>
          <w:rFonts w:hint="eastAsia" w:ascii="宋体" w:hAnsi="宋体" w:eastAsia="宋体" w:cs="宋体"/>
          <w:color w:val="auto"/>
          <w:kern w:val="0"/>
          <w:szCs w:val="21"/>
          <w:highlight w:val="none"/>
        </w:rPr>
        <w:fldChar w:fldCharType="end"/>
      </w:r>
    </w:p>
    <w:p w14:paraId="0F9EC5D1">
      <w:pPr>
        <w:keepNext w:val="0"/>
        <w:keepLines w:val="0"/>
        <w:pageBreakBefore w:val="0"/>
        <w:kinsoku/>
        <w:wordWrap/>
        <w:overflowPunct/>
        <w:topLinePunct w:val="0"/>
        <w:autoSpaceDE/>
        <w:autoSpaceDN/>
        <w:bidi w:val="0"/>
        <w:adjustRightInd/>
        <w:spacing w:line="400" w:lineRule="exact"/>
        <w:ind w:firstLine="315" w:firstLineChars="150"/>
        <w:textAlignment w:val="auto"/>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3.网上查询地址</w:t>
      </w:r>
    </w:p>
    <w:p w14:paraId="03D76384">
      <w:pPr>
        <w:keepNext w:val="0"/>
        <w:keepLines w:val="0"/>
        <w:pageBreakBefore w:val="0"/>
        <w:kinsoku/>
        <w:wordWrap/>
        <w:overflowPunct/>
        <w:topLinePunct w:val="0"/>
        <w:autoSpaceDE/>
        <w:autoSpaceDN/>
        <w:bidi w:val="0"/>
        <w:adjustRightInd/>
        <w:spacing w:line="400" w:lineRule="exact"/>
        <w:ind w:firstLine="420" w:firstLineChars="200"/>
        <w:textAlignment w:val="auto"/>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http://www.ccgp.gov.cn(中国政府采购网)，http://zfcg.gxzf.gov.cn(广西政府采购网)，http://ggzy.jgswj.gxzf.gov.cn/nnggzy/（全国公共资源交易平台（广西·南宁））。</w:t>
      </w:r>
    </w:p>
    <w:p w14:paraId="4A340EC2">
      <w:pPr>
        <w:keepNext w:val="0"/>
        <w:keepLines w:val="0"/>
        <w:pageBreakBefore w:val="0"/>
        <w:kinsoku/>
        <w:wordWrap/>
        <w:overflowPunct/>
        <w:topLinePunct w:val="0"/>
        <w:autoSpaceDE/>
        <w:autoSpaceDN/>
        <w:bidi w:val="0"/>
        <w:adjustRightInd/>
        <w:spacing w:line="400" w:lineRule="exact"/>
        <w:ind w:firstLine="315" w:firstLineChars="150"/>
        <w:textAlignment w:val="auto"/>
        <w:rPr>
          <w:rFonts w:hint="eastAsia" w:ascii="宋体" w:hAnsi="宋体" w:eastAsia="宋体" w:cs="宋体"/>
          <w:color w:val="auto"/>
          <w:kern w:val="0"/>
          <w:szCs w:val="21"/>
          <w:highlight w:val="none"/>
        </w:rPr>
      </w:pPr>
      <w:r>
        <w:rPr>
          <w:rFonts w:hint="eastAsia" w:ascii="宋体" w:hAnsi="宋体" w:eastAsia="宋体" w:cs="宋体"/>
          <w:color w:val="auto"/>
          <w:szCs w:val="21"/>
          <w:highlight w:val="none"/>
        </w:rPr>
        <w:t>4.</w:t>
      </w:r>
      <w:r>
        <w:rPr>
          <w:rFonts w:hint="eastAsia" w:ascii="宋体" w:hAnsi="宋体" w:eastAsia="宋体" w:cs="宋体"/>
          <w:color w:val="auto"/>
          <w:kern w:val="0"/>
          <w:szCs w:val="21"/>
          <w:highlight w:val="none"/>
        </w:rPr>
        <w:t>本项目需要落实的政府采购政策：</w:t>
      </w:r>
    </w:p>
    <w:p w14:paraId="4981C7A5">
      <w:pPr>
        <w:keepNext w:val="0"/>
        <w:keepLines w:val="0"/>
        <w:pageBreakBefore w:val="0"/>
        <w:kinsoku/>
        <w:wordWrap/>
        <w:overflowPunct/>
        <w:topLinePunct w:val="0"/>
        <w:autoSpaceDE/>
        <w:autoSpaceDN/>
        <w:bidi w:val="0"/>
        <w:adjustRightInd/>
        <w:spacing w:line="400" w:lineRule="exact"/>
        <w:ind w:firstLine="420" w:firstLineChars="200"/>
        <w:textAlignment w:val="auto"/>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（1）政府采购促进中小企业发展。</w:t>
      </w:r>
    </w:p>
    <w:p w14:paraId="2BA3ACDF">
      <w:pPr>
        <w:keepNext w:val="0"/>
        <w:keepLines w:val="0"/>
        <w:pageBreakBefore w:val="0"/>
        <w:kinsoku/>
        <w:wordWrap/>
        <w:overflowPunct/>
        <w:topLinePunct w:val="0"/>
        <w:autoSpaceDE/>
        <w:autoSpaceDN/>
        <w:bidi w:val="0"/>
        <w:adjustRightInd/>
        <w:spacing w:line="400" w:lineRule="exact"/>
        <w:ind w:firstLine="420" w:firstLineChars="200"/>
        <w:textAlignment w:val="auto"/>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（2）政府采购支持采用本国产品的政策。</w:t>
      </w:r>
    </w:p>
    <w:p w14:paraId="174675C0">
      <w:pPr>
        <w:keepNext w:val="0"/>
        <w:keepLines w:val="0"/>
        <w:pageBreakBefore w:val="0"/>
        <w:kinsoku/>
        <w:wordWrap/>
        <w:overflowPunct/>
        <w:topLinePunct w:val="0"/>
        <w:autoSpaceDE/>
        <w:autoSpaceDN/>
        <w:bidi w:val="0"/>
        <w:adjustRightInd/>
        <w:spacing w:line="400" w:lineRule="exact"/>
        <w:ind w:firstLine="420" w:firstLineChars="200"/>
        <w:textAlignment w:val="auto"/>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w:t>
      </w:r>
      <w:r>
        <w:rPr>
          <w:rFonts w:hint="eastAsia" w:ascii="宋体" w:hAnsi="宋体" w:eastAsia="宋体" w:cs="宋体"/>
          <w:color w:val="auto"/>
          <w:kern w:val="0"/>
          <w:szCs w:val="21"/>
          <w:highlight w:val="none"/>
          <w:lang w:val="en-US" w:eastAsia="zh-CN"/>
        </w:rPr>
        <w:t>3</w:t>
      </w:r>
      <w:r>
        <w:rPr>
          <w:rFonts w:hint="eastAsia" w:ascii="宋体" w:hAnsi="宋体" w:eastAsia="宋体" w:cs="宋体"/>
          <w:color w:val="auto"/>
          <w:kern w:val="0"/>
          <w:szCs w:val="21"/>
          <w:highlight w:val="none"/>
        </w:rPr>
        <w:t>）政府采购促进残疾人就业政策。</w:t>
      </w:r>
    </w:p>
    <w:p w14:paraId="38D35DDB">
      <w:pPr>
        <w:keepNext w:val="0"/>
        <w:keepLines w:val="0"/>
        <w:pageBreakBefore w:val="0"/>
        <w:kinsoku/>
        <w:wordWrap/>
        <w:overflowPunct/>
        <w:topLinePunct w:val="0"/>
        <w:autoSpaceDE/>
        <w:autoSpaceDN/>
        <w:bidi w:val="0"/>
        <w:adjustRightInd/>
        <w:spacing w:line="400" w:lineRule="exact"/>
        <w:ind w:firstLine="420" w:firstLineChars="200"/>
        <w:textAlignment w:val="auto"/>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w:t>
      </w:r>
      <w:r>
        <w:rPr>
          <w:rFonts w:hint="eastAsia" w:ascii="宋体" w:hAnsi="宋体" w:eastAsia="宋体" w:cs="宋体"/>
          <w:color w:val="auto"/>
          <w:kern w:val="0"/>
          <w:szCs w:val="21"/>
          <w:highlight w:val="none"/>
          <w:lang w:val="en-US" w:eastAsia="zh-CN"/>
        </w:rPr>
        <w:t>4</w:t>
      </w:r>
      <w:r>
        <w:rPr>
          <w:rFonts w:hint="eastAsia" w:ascii="宋体" w:hAnsi="宋体" w:eastAsia="宋体" w:cs="宋体"/>
          <w:color w:val="auto"/>
          <w:kern w:val="0"/>
          <w:szCs w:val="21"/>
          <w:highlight w:val="none"/>
        </w:rPr>
        <w:t>）政府采购支持监狱企业发展。</w:t>
      </w:r>
    </w:p>
    <w:p w14:paraId="0995F918">
      <w:pPr>
        <w:keepNext w:val="0"/>
        <w:keepLines w:val="0"/>
        <w:pageBreakBefore w:val="0"/>
        <w:kinsoku/>
        <w:wordWrap/>
        <w:overflowPunct/>
        <w:topLinePunct w:val="0"/>
        <w:autoSpaceDE/>
        <w:autoSpaceDN/>
        <w:bidi w:val="0"/>
        <w:adjustRightInd/>
        <w:spacing w:line="400" w:lineRule="exact"/>
        <w:ind w:firstLine="315" w:firstLineChars="150"/>
        <w:textAlignment w:val="auto"/>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5.供应商认为采购文件使自己的权益受到损害的，可以在知道或者应知其权益受到损害之日起7个工作日内，以书面形式向采购人、采购代理机构提出质疑。质疑供应商对采购人、采购代理机构的答复不满意或者采购人、采购代理机构未在规定的时间内作出答复的，可以在答复期满后十五个工作日内向同级政府采购监督管理部门投诉。</w:t>
      </w:r>
    </w:p>
    <w:p w14:paraId="1F7DE381">
      <w:pPr>
        <w:keepNext w:val="0"/>
        <w:keepLines w:val="0"/>
        <w:pageBreakBefore w:val="0"/>
        <w:kinsoku/>
        <w:wordWrap/>
        <w:overflowPunct/>
        <w:topLinePunct w:val="0"/>
        <w:autoSpaceDE/>
        <w:autoSpaceDN/>
        <w:bidi w:val="0"/>
        <w:adjustRightInd/>
        <w:spacing w:line="400" w:lineRule="exact"/>
        <w:ind w:firstLine="420" w:firstLineChars="200"/>
        <w:textAlignment w:val="auto"/>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6.若对项目采购电子交易系统操作有疑问，可登录</w:t>
      </w:r>
      <w:r>
        <w:rPr>
          <w:rFonts w:hint="eastAsia" w:ascii="宋体" w:hAnsi="宋体" w:eastAsia="宋体" w:cs="宋体"/>
          <w:color w:val="auto"/>
          <w:kern w:val="0"/>
          <w:szCs w:val="21"/>
          <w:highlight w:val="none"/>
          <w:lang w:eastAsia="zh-CN"/>
        </w:rPr>
        <w:t>广西政府采购云平台</w:t>
      </w:r>
      <w:r>
        <w:rPr>
          <w:rFonts w:hint="eastAsia" w:ascii="宋体" w:hAnsi="宋体" w:eastAsia="宋体" w:cs="宋体"/>
          <w:color w:val="auto"/>
          <w:kern w:val="0"/>
          <w:szCs w:val="21"/>
          <w:highlight w:val="none"/>
        </w:rPr>
        <w:t>（</w:t>
      </w:r>
      <w:r>
        <w:rPr>
          <w:rFonts w:hint="eastAsia" w:ascii="宋体" w:hAnsi="宋体" w:eastAsia="宋体" w:cs="宋体"/>
          <w:color w:val="auto"/>
          <w:kern w:val="0"/>
          <w:szCs w:val="21"/>
          <w:highlight w:val="none"/>
          <w:lang w:eastAsia="zh-CN"/>
        </w:rPr>
        <w:t>https://www.gcy.zfcg.gxzf.gov.cn/</w:t>
      </w:r>
      <w:r>
        <w:rPr>
          <w:rFonts w:hint="eastAsia" w:ascii="宋体" w:hAnsi="宋体" w:eastAsia="宋体" w:cs="宋体"/>
          <w:color w:val="auto"/>
          <w:kern w:val="0"/>
          <w:szCs w:val="21"/>
          <w:highlight w:val="none"/>
        </w:rPr>
        <w:t>），点击右侧咨询小采，获取采小蜜智能服务管家帮助，或拨打政采云服务热线</w:t>
      </w:r>
      <w:r>
        <w:rPr>
          <w:rFonts w:hint="eastAsia" w:ascii="宋体" w:hAnsi="宋体" w:eastAsia="宋体" w:cs="宋体"/>
          <w:color w:val="auto"/>
          <w:kern w:val="0"/>
          <w:szCs w:val="21"/>
          <w:highlight w:val="none"/>
          <w:lang w:val="en-US" w:eastAsia="zh-CN"/>
        </w:rPr>
        <w:t>95763</w:t>
      </w:r>
      <w:r>
        <w:rPr>
          <w:rFonts w:hint="eastAsia" w:ascii="宋体" w:hAnsi="宋体" w:eastAsia="宋体" w:cs="宋体"/>
          <w:color w:val="auto"/>
          <w:kern w:val="0"/>
          <w:szCs w:val="21"/>
          <w:highlight w:val="none"/>
        </w:rPr>
        <w:t>获取热线服务帮助。</w:t>
      </w:r>
    </w:p>
    <w:p w14:paraId="3014CA86">
      <w:pPr>
        <w:keepNext w:val="0"/>
        <w:keepLines w:val="0"/>
        <w:pageBreakBefore w:val="0"/>
        <w:kinsoku/>
        <w:wordWrap/>
        <w:overflowPunct/>
        <w:topLinePunct w:val="0"/>
        <w:autoSpaceDE/>
        <w:autoSpaceDN/>
        <w:bidi w:val="0"/>
        <w:adjustRightInd/>
        <w:spacing w:line="400" w:lineRule="exact"/>
        <w:textAlignment w:val="auto"/>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七、对本次招标提出询问，请按以下方式联系。</w:t>
      </w:r>
    </w:p>
    <w:p w14:paraId="52EC0276">
      <w:pPr>
        <w:keepNext w:val="0"/>
        <w:keepLines w:val="0"/>
        <w:pageBreakBefore w:val="0"/>
        <w:widowControl w:val="0"/>
        <w:kinsoku/>
        <w:wordWrap/>
        <w:overflowPunct/>
        <w:topLinePunct w:val="0"/>
        <w:autoSpaceDE/>
        <w:autoSpaceDN/>
        <w:bidi w:val="0"/>
        <w:adjustRightInd/>
        <w:snapToGrid/>
        <w:spacing w:line="380" w:lineRule="exact"/>
        <w:ind w:firstLine="420" w:firstLineChars="200"/>
        <w:jc w:val="lef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1.采购人信息</w:t>
      </w:r>
    </w:p>
    <w:p w14:paraId="3AF96FE0">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rPr>
        <w:t>名称：</w:t>
      </w:r>
      <w:r>
        <w:rPr>
          <w:rFonts w:hint="eastAsia" w:ascii="宋体" w:hAnsi="宋体" w:eastAsia="宋体" w:cs="宋体"/>
          <w:color w:val="auto"/>
          <w:szCs w:val="21"/>
          <w:highlight w:val="none"/>
          <w:lang w:eastAsia="zh-CN"/>
        </w:rPr>
        <w:t>横州市西津国家湿地公园管理处</w:t>
      </w:r>
    </w:p>
    <w:p w14:paraId="6FC1FFF2">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rPr>
        <w:t>地址：南宁市横州市莲塘镇莲塘社区中西街298号</w:t>
      </w:r>
    </w:p>
    <w:p w14:paraId="0E23E7B7">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rPr>
        <w:t>项目联系人：陈定州</w:t>
      </w:r>
    </w:p>
    <w:p w14:paraId="3916E4F9">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rPr>
        <w:t>联系电话：0771</w:t>
      </w:r>
      <w:r>
        <w:rPr>
          <w:rFonts w:hint="eastAsia" w:ascii="宋体" w:hAnsi="宋体" w:eastAsia="宋体" w:cs="宋体"/>
          <w:color w:val="auto"/>
          <w:szCs w:val="21"/>
          <w:highlight w:val="none"/>
          <w:lang w:val="en-US" w:eastAsia="zh-CN"/>
        </w:rPr>
        <w:t>-</w:t>
      </w:r>
      <w:r>
        <w:rPr>
          <w:rFonts w:hint="eastAsia" w:ascii="宋体" w:hAnsi="宋体" w:eastAsia="宋体" w:cs="宋体"/>
          <w:color w:val="auto"/>
          <w:szCs w:val="21"/>
          <w:highlight w:val="none"/>
        </w:rPr>
        <w:t>7260773</w:t>
      </w:r>
    </w:p>
    <w:p w14:paraId="595E586E">
      <w:pPr>
        <w:keepNext w:val="0"/>
        <w:keepLines w:val="0"/>
        <w:pageBreakBefore w:val="0"/>
        <w:widowControl w:val="0"/>
        <w:kinsoku/>
        <w:wordWrap/>
        <w:overflowPunct/>
        <w:topLinePunct w:val="0"/>
        <w:autoSpaceDE/>
        <w:autoSpaceDN/>
        <w:bidi w:val="0"/>
        <w:adjustRightInd/>
        <w:snapToGrid/>
        <w:spacing w:line="380" w:lineRule="exact"/>
        <w:ind w:firstLine="420" w:firstLineChars="200"/>
        <w:jc w:val="lef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2.采购代理机构信息</w:t>
      </w:r>
    </w:p>
    <w:p w14:paraId="19871887">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rPr>
        <w:t>名称：</w:t>
      </w:r>
      <w:r>
        <w:rPr>
          <w:rFonts w:hint="eastAsia" w:ascii="宋体" w:hAnsi="宋体" w:eastAsia="宋体" w:cs="宋体"/>
          <w:color w:val="auto"/>
          <w:szCs w:val="21"/>
          <w:highlight w:val="none"/>
          <w:lang w:eastAsia="zh-CN"/>
        </w:rPr>
        <w:t>广西哲通项目管理有限公司</w:t>
      </w:r>
    </w:p>
    <w:p w14:paraId="0507CF72">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rPr>
        <w:t>地址：</w:t>
      </w:r>
      <w:r>
        <w:rPr>
          <w:rFonts w:hint="eastAsia" w:ascii="宋体" w:hAnsi="宋体" w:eastAsia="宋体" w:cs="宋体"/>
          <w:color w:val="auto"/>
          <w:szCs w:val="21"/>
          <w:highlight w:val="none"/>
          <w:lang w:eastAsia="zh-CN"/>
        </w:rPr>
        <w:t>广西南宁市青秀区嘉宾路嘉湖巷6号佳和大厦15层1503、1505-1507号</w:t>
      </w:r>
    </w:p>
    <w:p w14:paraId="2929456C">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rPr>
        <w:t>项目联系人：</w:t>
      </w:r>
      <w:r>
        <w:rPr>
          <w:rFonts w:hint="eastAsia" w:ascii="宋体" w:hAnsi="宋体" w:eastAsia="宋体" w:cs="宋体"/>
          <w:color w:val="auto"/>
          <w:szCs w:val="21"/>
          <w:highlight w:val="none"/>
          <w:lang w:eastAsia="zh-CN"/>
        </w:rPr>
        <w:t>李珊、张瑶瑶</w:t>
      </w:r>
    </w:p>
    <w:p w14:paraId="367F2578">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rPr>
        <w:t>联系电话：</w:t>
      </w:r>
      <w:r>
        <w:rPr>
          <w:rFonts w:hint="eastAsia" w:ascii="宋体" w:hAnsi="宋体" w:eastAsia="宋体" w:cs="宋体"/>
          <w:color w:val="auto"/>
          <w:szCs w:val="21"/>
          <w:highlight w:val="none"/>
          <w:lang w:eastAsia="zh-CN"/>
        </w:rPr>
        <w:t>0771-5822175</w:t>
      </w:r>
    </w:p>
    <w:p w14:paraId="2A442066">
      <w:pPr>
        <w:keepNext w:val="0"/>
        <w:keepLines w:val="0"/>
        <w:pageBreakBefore w:val="0"/>
        <w:widowControl w:val="0"/>
        <w:kinsoku/>
        <w:wordWrap/>
        <w:overflowPunct/>
        <w:topLinePunct w:val="0"/>
        <w:autoSpaceDE/>
        <w:autoSpaceDN/>
        <w:bidi w:val="0"/>
        <w:adjustRightInd/>
        <w:snapToGrid/>
        <w:spacing w:line="380" w:lineRule="exact"/>
        <w:ind w:firstLine="420" w:firstLineChars="200"/>
        <w:jc w:val="lef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3.项目联系方式</w:t>
      </w:r>
    </w:p>
    <w:p w14:paraId="762DBC79">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rPr>
        <w:t>项目联系人：</w:t>
      </w:r>
      <w:r>
        <w:rPr>
          <w:rFonts w:hint="eastAsia" w:ascii="宋体" w:hAnsi="宋体" w:eastAsia="宋体" w:cs="宋体"/>
          <w:color w:val="auto"/>
          <w:szCs w:val="21"/>
          <w:highlight w:val="none"/>
          <w:lang w:eastAsia="zh-CN"/>
        </w:rPr>
        <w:t>李珊、张瑶瑶</w:t>
      </w:r>
    </w:p>
    <w:p w14:paraId="7F51F037">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rPr>
        <w:t>电话：</w:t>
      </w:r>
      <w:r>
        <w:rPr>
          <w:rFonts w:hint="eastAsia" w:ascii="宋体" w:hAnsi="宋体" w:eastAsia="宋体" w:cs="宋体"/>
          <w:color w:val="auto"/>
          <w:szCs w:val="21"/>
          <w:highlight w:val="none"/>
          <w:lang w:eastAsia="zh-CN"/>
        </w:rPr>
        <w:t>0771-5822175</w:t>
      </w:r>
    </w:p>
    <w:p w14:paraId="4F30F3FC">
      <w:pPr>
        <w:keepNext w:val="0"/>
        <w:keepLines w:val="0"/>
        <w:pageBreakBefore w:val="0"/>
        <w:kinsoku/>
        <w:wordWrap/>
        <w:overflowPunct/>
        <w:topLinePunct w:val="0"/>
        <w:autoSpaceDE/>
        <w:autoSpaceDN/>
        <w:bidi w:val="0"/>
        <w:adjustRightInd/>
        <w:spacing w:line="400" w:lineRule="exact"/>
        <w:ind w:firstLine="735" w:firstLineChars="350"/>
        <w:textAlignment w:val="auto"/>
        <w:rPr>
          <w:rFonts w:hint="eastAsia" w:ascii="宋体" w:hAnsi="宋体" w:eastAsia="宋体" w:cs="宋体"/>
          <w:color w:val="auto"/>
          <w:szCs w:val="21"/>
          <w:highlight w:val="none"/>
        </w:rPr>
      </w:pPr>
    </w:p>
    <w:p w14:paraId="2FC4432E">
      <w:pPr>
        <w:pStyle w:val="12"/>
        <w:keepNext w:val="0"/>
        <w:keepLines w:val="0"/>
        <w:pageBreakBefore w:val="0"/>
        <w:kinsoku/>
        <w:wordWrap/>
        <w:overflowPunct/>
        <w:topLinePunct w:val="0"/>
        <w:autoSpaceDE/>
        <w:autoSpaceDN/>
        <w:bidi w:val="0"/>
        <w:adjustRightInd/>
        <w:spacing w:line="400" w:lineRule="exact"/>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附件：1.CA证书申请方式及操作指南下载地址(登录http://nncz.nanning.gov.cn/(南宁市财政局</w:t>
      </w:r>
      <w:r>
        <w:rPr>
          <w:rFonts w:hint="eastAsia" w:ascii="宋体" w:hAnsi="宋体" w:cs="宋体"/>
          <w:color w:val="auto"/>
          <w:szCs w:val="21"/>
          <w:highlight w:val="none"/>
          <w:lang w:val="en-US" w:eastAsia="zh-CN"/>
        </w:rPr>
        <w:t>官</w:t>
      </w:r>
      <w:r>
        <w:rPr>
          <w:rFonts w:hint="eastAsia" w:ascii="宋体" w:hAnsi="宋体" w:eastAsia="宋体" w:cs="宋体"/>
          <w:color w:val="auto"/>
          <w:szCs w:val="21"/>
          <w:highlight w:val="none"/>
        </w:rPr>
        <w:t>网业务专题-政府采购监督管理资料下载-“广西政采云西部CA办理方式”或“南宁市政采云CA证书办理操作指南”)</w:t>
      </w:r>
    </w:p>
    <w:p w14:paraId="74957E1B">
      <w:pPr>
        <w:pStyle w:val="12"/>
        <w:keepNext w:val="0"/>
        <w:keepLines w:val="0"/>
        <w:pageBreakBefore w:val="0"/>
        <w:kinsoku/>
        <w:wordWrap/>
        <w:overflowPunct/>
        <w:topLinePunct w:val="0"/>
        <w:autoSpaceDE/>
        <w:autoSpaceDN/>
        <w:bidi w:val="0"/>
        <w:adjustRightInd/>
        <w:spacing w:line="400" w:lineRule="exact"/>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2.电子投标文件制作与投送教程(在此网址下载http://nncz.nanning.gov.cn/(南宁市财政局官网)一业务专题-政府采购监督管理资料下载-南宁市政府采购项目全流程电子化交易操作指南)</w:t>
      </w:r>
    </w:p>
    <w:p w14:paraId="39C42219">
      <w:pPr>
        <w:keepNext w:val="0"/>
        <w:keepLines w:val="0"/>
        <w:pageBreakBefore w:val="0"/>
        <w:kinsoku/>
        <w:wordWrap/>
        <w:overflowPunct/>
        <w:topLinePunct w:val="0"/>
        <w:autoSpaceDE/>
        <w:autoSpaceDN/>
        <w:bidi w:val="0"/>
        <w:adjustRightInd/>
        <w:spacing w:line="400" w:lineRule="exact"/>
        <w:textAlignment w:val="auto"/>
        <w:rPr>
          <w:rFonts w:hint="eastAsia" w:ascii="宋体" w:hAnsi="宋体" w:eastAsia="宋体" w:cs="宋体"/>
          <w:color w:val="auto"/>
          <w:szCs w:val="21"/>
          <w:highlight w:val="none"/>
        </w:rPr>
      </w:pPr>
    </w:p>
    <w:p w14:paraId="2783C18C">
      <w:pPr>
        <w:keepNext w:val="0"/>
        <w:keepLines w:val="0"/>
        <w:pageBreakBefore w:val="0"/>
        <w:kinsoku/>
        <w:wordWrap/>
        <w:overflowPunct/>
        <w:topLinePunct w:val="0"/>
        <w:autoSpaceDE/>
        <w:autoSpaceDN/>
        <w:bidi w:val="0"/>
        <w:adjustRightInd/>
        <w:spacing w:line="400" w:lineRule="exact"/>
        <w:jc w:val="right"/>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广西哲通项目管理有限公司</w:t>
      </w:r>
    </w:p>
    <w:p w14:paraId="1140DD23">
      <w:pPr>
        <w:keepNext w:val="0"/>
        <w:keepLines w:val="0"/>
        <w:pageBreakBefore w:val="0"/>
        <w:kinsoku/>
        <w:wordWrap/>
        <w:overflowPunct/>
        <w:topLinePunct w:val="0"/>
        <w:autoSpaceDE/>
        <w:autoSpaceDN/>
        <w:bidi w:val="0"/>
        <w:adjustRightInd/>
        <w:spacing w:line="400" w:lineRule="exact"/>
        <w:ind w:firstLine="210" w:firstLineChars="100"/>
        <w:jc w:val="right"/>
        <w:textAlignment w:val="auto"/>
        <w:rPr>
          <w:rFonts w:hint="eastAsia" w:ascii="宋体" w:hAnsi="宋体" w:eastAsia="宋体" w:cs="宋体"/>
          <w:color w:val="auto"/>
          <w:highlight w:val="none"/>
          <w:u w:val="none"/>
          <w:lang w:eastAsia="zh-CN"/>
        </w:rPr>
      </w:pPr>
      <w:r>
        <w:rPr>
          <w:rFonts w:hint="eastAsia" w:ascii="宋体" w:hAnsi="宋体" w:eastAsia="宋体" w:cs="宋体"/>
          <w:color w:val="auto"/>
          <w:szCs w:val="21"/>
          <w:highlight w:val="none"/>
          <w:u w:val="none"/>
          <w:lang w:eastAsia="zh-CN"/>
        </w:rPr>
        <w:t>202</w:t>
      </w:r>
      <w:r>
        <w:rPr>
          <w:rFonts w:hint="eastAsia" w:ascii="宋体" w:hAnsi="宋体" w:cs="宋体"/>
          <w:color w:val="auto"/>
          <w:szCs w:val="21"/>
          <w:highlight w:val="none"/>
          <w:u w:val="none"/>
          <w:lang w:val="en-US" w:eastAsia="zh-CN"/>
        </w:rPr>
        <w:t>6</w:t>
      </w:r>
      <w:r>
        <w:rPr>
          <w:rFonts w:hint="eastAsia" w:ascii="宋体" w:hAnsi="宋体" w:eastAsia="宋体" w:cs="宋体"/>
          <w:color w:val="auto"/>
          <w:szCs w:val="21"/>
          <w:highlight w:val="none"/>
          <w:u w:val="none"/>
          <w:lang w:eastAsia="zh-CN"/>
        </w:rPr>
        <w:t>年</w:t>
      </w:r>
      <w:r>
        <w:rPr>
          <w:rFonts w:hint="eastAsia" w:ascii="宋体" w:hAnsi="宋体" w:cs="宋体"/>
          <w:color w:val="auto"/>
          <w:szCs w:val="21"/>
          <w:highlight w:val="none"/>
          <w:u w:val="none"/>
          <w:lang w:val="en-US" w:eastAsia="zh-CN"/>
        </w:rPr>
        <w:t>9</w:t>
      </w:r>
      <w:r>
        <w:rPr>
          <w:rFonts w:hint="eastAsia" w:ascii="宋体" w:hAnsi="宋体" w:eastAsia="宋体" w:cs="宋体"/>
          <w:color w:val="auto"/>
          <w:szCs w:val="21"/>
          <w:highlight w:val="none"/>
          <w:u w:val="none"/>
          <w:lang w:eastAsia="zh-CN"/>
        </w:rPr>
        <w:t>月</w:t>
      </w:r>
      <w:r>
        <w:rPr>
          <w:rFonts w:hint="eastAsia" w:ascii="宋体" w:hAnsi="宋体" w:cs="宋体"/>
          <w:color w:val="auto"/>
          <w:szCs w:val="21"/>
          <w:highlight w:val="none"/>
          <w:u w:val="none"/>
          <w:lang w:val="en-US" w:eastAsia="zh-CN"/>
        </w:rPr>
        <w:t>29</w:t>
      </w:r>
      <w:r>
        <w:rPr>
          <w:rFonts w:hint="eastAsia" w:ascii="宋体" w:hAnsi="宋体" w:eastAsia="宋体" w:cs="宋体"/>
          <w:color w:val="auto"/>
          <w:szCs w:val="21"/>
          <w:highlight w:val="none"/>
          <w:u w:val="none"/>
          <w:lang w:eastAsia="zh-CN"/>
        </w:rPr>
        <w:t>日</w:t>
      </w:r>
    </w:p>
    <w:p w14:paraId="503011EB">
      <w:pPr>
        <w:widowControl/>
        <w:spacing w:line="360" w:lineRule="auto"/>
        <w:jc w:val="left"/>
        <w:rPr>
          <w:rFonts w:hint="eastAsia" w:ascii="宋体" w:hAnsi="宋体" w:eastAsia="宋体" w:cs="宋体"/>
          <w:color w:val="auto"/>
          <w:sz w:val="24"/>
          <w:highlight w:val="none"/>
          <w:lang w:val="zh-CN"/>
        </w:rPr>
        <w:sectPr>
          <w:footerReference r:id="rId4" w:type="default"/>
          <w:pgSz w:w="11906" w:h="16838"/>
          <w:pgMar w:top="1134" w:right="1134" w:bottom="1134" w:left="1134" w:header="720" w:footer="720" w:gutter="0"/>
          <w:pgNumType w:start="1"/>
          <w:cols w:space="720" w:num="1"/>
          <w:docGrid w:type="lines" w:linePitch="331" w:charSpace="0"/>
        </w:sectPr>
      </w:pPr>
    </w:p>
    <w:p w14:paraId="6E6A5455">
      <w:pPr>
        <w:pStyle w:val="18"/>
        <w:jc w:val="center"/>
        <w:outlineLvl w:val="0"/>
        <w:rPr>
          <w:rFonts w:hint="eastAsia" w:ascii="宋体" w:hAnsi="宋体" w:eastAsia="宋体" w:cs="宋体"/>
          <w:b/>
          <w:color w:val="auto"/>
          <w:sz w:val="36"/>
          <w:highlight w:val="none"/>
        </w:rPr>
      </w:pPr>
      <w:bookmarkStart w:id="2" w:name="_Toc619"/>
      <w:r>
        <w:rPr>
          <w:rFonts w:hint="eastAsia" w:ascii="宋体" w:hAnsi="宋体" w:eastAsia="宋体" w:cs="宋体"/>
          <w:b/>
          <w:color w:val="auto"/>
          <w:sz w:val="36"/>
          <w:highlight w:val="none"/>
        </w:rPr>
        <w:t>第二章</w:t>
      </w:r>
      <w:r>
        <w:rPr>
          <w:rFonts w:hint="eastAsia" w:hAnsi="宋体" w:cs="宋体"/>
          <w:b/>
          <w:color w:val="auto"/>
          <w:sz w:val="36"/>
          <w:highlight w:val="none"/>
          <w:lang w:val="en-US" w:eastAsia="zh-CN"/>
        </w:rPr>
        <w:t xml:space="preserve"> </w:t>
      </w:r>
      <w:r>
        <w:rPr>
          <w:rFonts w:hint="eastAsia" w:ascii="宋体" w:hAnsi="宋体" w:eastAsia="宋体" w:cs="宋体"/>
          <w:b/>
          <w:color w:val="auto"/>
          <w:sz w:val="36"/>
          <w:highlight w:val="none"/>
        </w:rPr>
        <w:t>采购需求</w:t>
      </w:r>
      <w:bookmarkEnd w:id="2"/>
    </w:p>
    <w:p w14:paraId="509D06C5">
      <w:pPr>
        <w:keepNext w:val="0"/>
        <w:keepLines w:val="0"/>
        <w:pageBreakBefore w:val="0"/>
        <w:widowControl w:val="0"/>
        <w:kinsoku/>
        <w:wordWrap/>
        <w:overflowPunct/>
        <w:topLinePunct w:val="0"/>
        <w:autoSpaceDE/>
        <w:autoSpaceDN/>
        <w:bidi w:val="0"/>
        <w:adjustRightInd w:val="0"/>
        <w:snapToGrid/>
        <w:spacing w:line="360" w:lineRule="exact"/>
        <w:textAlignment w:val="auto"/>
        <w:rPr>
          <w:rFonts w:hint="eastAsia" w:ascii="宋体" w:hAnsi="宋体" w:eastAsia="宋体" w:cs="宋体"/>
          <w:b/>
          <w:color w:val="auto"/>
          <w:sz w:val="21"/>
          <w:szCs w:val="21"/>
          <w:highlight w:val="none"/>
        </w:rPr>
      </w:pPr>
    </w:p>
    <w:p w14:paraId="6A0FD7A1">
      <w:pPr>
        <w:keepNext w:val="0"/>
        <w:keepLines w:val="0"/>
        <w:pageBreakBefore w:val="0"/>
        <w:widowControl w:val="0"/>
        <w:kinsoku/>
        <w:wordWrap/>
        <w:overflowPunct/>
        <w:topLinePunct w:val="0"/>
        <w:autoSpaceDE/>
        <w:autoSpaceDN/>
        <w:bidi w:val="0"/>
        <w:adjustRightInd w:val="0"/>
        <w:snapToGrid/>
        <w:spacing w:line="360" w:lineRule="exact"/>
        <w:textAlignment w:val="auto"/>
        <w:rPr>
          <w:rFonts w:hint="eastAsia" w:ascii="宋体" w:hAnsi="宋体" w:eastAsia="宋体" w:cs="宋体"/>
          <w:b w:val="0"/>
          <w:bCs/>
          <w:color w:val="auto"/>
          <w:sz w:val="21"/>
          <w:szCs w:val="21"/>
          <w:highlight w:val="none"/>
        </w:rPr>
      </w:pPr>
      <w:r>
        <w:rPr>
          <w:rFonts w:hint="eastAsia" w:ascii="宋体" w:hAnsi="宋体" w:eastAsia="宋体" w:cs="宋体"/>
          <w:b w:val="0"/>
          <w:bCs/>
          <w:color w:val="auto"/>
          <w:sz w:val="21"/>
          <w:szCs w:val="21"/>
          <w:highlight w:val="none"/>
        </w:rPr>
        <w:t>说明：</w:t>
      </w:r>
    </w:p>
    <w:p w14:paraId="5F5C68B2">
      <w:pPr>
        <w:keepNext w:val="0"/>
        <w:keepLines w:val="0"/>
        <w:pageBreakBefore w:val="0"/>
        <w:widowControl w:val="0"/>
        <w:kinsoku/>
        <w:wordWrap/>
        <w:overflowPunct/>
        <w:topLinePunct w:val="0"/>
        <w:autoSpaceDE/>
        <w:autoSpaceDN/>
        <w:bidi w:val="0"/>
        <w:snapToGrid/>
        <w:spacing w:line="36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1.为落实政府采购政策需满足的要求</w:t>
      </w:r>
    </w:p>
    <w:p w14:paraId="0528E413">
      <w:pPr>
        <w:keepNext w:val="0"/>
        <w:keepLines w:val="0"/>
        <w:pageBreakBefore w:val="0"/>
        <w:widowControl w:val="0"/>
        <w:kinsoku/>
        <w:wordWrap/>
        <w:overflowPunct/>
        <w:topLinePunct w:val="0"/>
        <w:autoSpaceDE/>
        <w:autoSpaceDN/>
        <w:bidi w:val="0"/>
        <w:snapToGrid/>
        <w:spacing w:line="36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（1）本招标文件所称中小企业必须符合《政府采购促进中小企业发展管理办法》（财库〔2020〕46号）的规定。</w:t>
      </w:r>
    </w:p>
    <w:p w14:paraId="77C3AD70">
      <w:pPr>
        <w:keepNext w:val="0"/>
        <w:keepLines w:val="0"/>
        <w:pageBreakBefore w:val="0"/>
        <w:widowControl w:val="0"/>
        <w:kinsoku/>
        <w:wordWrap/>
        <w:overflowPunct/>
        <w:topLinePunct w:val="0"/>
        <w:autoSpaceDE/>
        <w:autoSpaceDN/>
        <w:bidi w:val="0"/>
        <w:snapToGrid/>
        <w:spacing w:line="360" w:lineRule="exact"/>
        <w:ind w:firstLine="424" w:firstLineChars="202"/>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服务项目中伴随货物的，根据《财政部发展改革委生态环境部市场监管总局关于调整优化节能产品、环境标志产品政府采购执行机制的通知》（财库〔2019〕9号）和《关于印发节能产品政府采购品目清单的通知》（财库〔2019〕19号）的规定，采购需求中的产品属于节能产品政府采购品目清单内标注“★”的（详见本章附件1），投标人的投标货物必须使用政府强制采购的节能产品，投标人必须在投标文件中提供所投标产品的节能产品认证证书</w:t>
      </w:r>
      <w:r>
        <w:rPr>
          <w:rFonts w:hint="eastAsia" w:ascii="宋体" w:hAnsi="宋体" w:eastAsia="宋体" w:cs="宋体"/>
          <w:b/>
          <w:color w:val="auto"/>
          <w:sz w:val="21"/>
          <w:szCs w:val="21"/>
          <w:highlight w:val="none"/>
        </w:rPr>
        <w:t>原件扫描件或其他电子文件</w:t>
      </w:r>
      <w:r>
        <w:rPr>
          <w:rFonts w:hint="eastAsia" w:ascii="宋体" w:hAnsi="宋体" w:eastAsia="宋体" w:cs="宋体"/>
          <w:color w:val="auto"/>
          <w:sz w:val="21"/>
          <w:szCs w:val="21"/>
          <w:highlight w:val="none"/>
        </w:rPr>
        <w:t>（加盖投标人电子公章），</w:t>
      </w:r>
      <w:r>
        <w:rPr>
          <w:rFonts w:hint="eastAsia" w:ascii="宋体" w:hAnsi="宋体" w:eastAsia="宋体" w:cs="宋体"/>
          <w:b/>
          <w:bCs/>
          <w:color w:val="auto"/>
          <w:sz w:val="21"/>
          <w:szCs w:val="21"/>
          <w:highlight w:val="none"/>
        </w:rPr>
        <w:t>否则投标文件作无效处理。</w:t>
      </w:r>
      <w:r>
        <w:rPr>
          <w:rFonts w:hint="eastAsia" w:ascii="宋体" w:hAnsi="宋体" w:eastAsia="宋体" w:cs="宋体"/>
          <w:color w:val="auto"/>
          <w:sz w:val="21"/>
          <w:szCs w:val="21"/>
          <w:highlight w:val="none"/>
        </w:rPr>
        <w:t>如本项目包含的货物属于品目清单内非标注“★”的产品时，应优先采购，具体详见“第四章评标方法和评标标准”。</w:t>
      </w:r>
    </w:p>
    <w:p w14:paraId="71DE5861">
      <w:pPr>
        <w:keepNext w:val="0"/>
        <w:keepLines w:val="0"/>
        <w:pageBreakBefore w:val="0"/>
        <w:widowControl w:val="0"/>
        <w:kinsoku/>
        <w:wordWrap/>
        <w:overflowPunct/>
        <w:topLinePunct w:val="0"/>
        <w:autoSpaceDE/>
        <w:autoSpaceDN/>
        <w:bidi w:val="0"/>
        <w:snapToGrid/>
        <w:spacing w:line="360" w:lineRule="exact"/>
        <w:ind w:firstLine="424" w:firstLineChars="202"/>
        <w:jc w:val="left"/>
        <w:textAlignment w:val="auto"/>
        <w:rPr>
          <w:rFonts w:hint="eastAsia" w:ascii="宋体" w:hAnsi="宋体" w:eastAsia="宋体" w:cs="宋体"/>
          <w:b/>
          <w:color w:val="auto"/>
          <w:sz w:val="21"/>
          <w:szCs w:val="21"/>
          <w:highlight w:val="none"/>
        </w:rPr>
      </w:pPr>
      <w:r>
        <w:rPr>
          <w:rFonts w:hint="eastAsia" w:ascii="宋体" w:hAnsi="宋体" w:eastAsia="宋体" w:cs="宋体"/>
          <w:color w:val="auto"/>
          <w:sz w:val="21"/>
          <w:szCs w:val="21"/>
          <w:highlight w:val="none"/>
        </w:rPr>
        <w:t>（3）服务项目中包含货物的，根据《关于调整网络安全专用产品安全管理有关事项的公告》（2023年1号）规定，本项目采购需求中的产品如果包括《网络关键设备和网络安全专用产品目录》的网络安全专用产品，供应商在响应文件中应主动列明供货范围中属于网络安全专用产品的竞标产品，并在响应文件（商务及技术文件）中提供由中国网信网（http://www.cac.gov.cn/index.htm）最新发布的《网络关键设备和网络安全专用产品安全认证和安全检测结果》截图证明材料，不在《网络关键设备和网络安全专用产品安全认证和安全检测结果》中或不在有效期内或未提供有效的《计算机信息系统安全专用产品销售许可证》的，响应无效。如属于《网络关键设备和网络安全专用产品目录》中“二、网络安全专用产品”内“产品类别”中的所描述的产品，但不属于所列“产品描述”情形的，应提供相应的说明及证明材料。</w:t>
      </w:r>
    </w:p>
    <w:p w14:paraId="36137414">
      <w:pPr>
        <w:keepNext w:val="0"/>
        <w:keepLines w:val="0"/>
        <w:pageBreakBefore w:val="0"/>
        <w:widowControl w:val="0"/>
        <w:kinsoku/>
        <w:wordWrap/>
        <w:overflowPunct/>
        <w:topLinePunct w:val="0"/>
        <w:autoSpaceDE/>
        <w:autoSpaceDN/>
        <w:bidi w:val="0"/>
        <w:snapToGrid/>
        <w:spacing w:line="360" w:lineRule="exact"/>
        <w:ind w:firstLine="426" w:firstLineChars="202"/>
        <w:jc w:val="left"/>
        <w:textAlignment w:val="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2.“实质性要求”是指招标文件中已经指明不满足则投标无效的条款，或者不能负偏离的条款，或者采购需求中带“▲”的条款。</w:t>
      </w:r>
    </w:p>
    <w:p w14:paraId="14ADE01F">
      <w:pPr>
        <w:keepNext w:val="0"/>
        <w:keepLines w:val="0"/>
        <w:pageBreakBefore w:val="0"/>
        <w:widowControl w:val="0"/>
        <w:kinsoku/>
        <w:wordWrap/>
        <w:overflowPunct/>
        <w:topLinePunct w:val="0"/>
        <w:autoSpaceDE/>
        <w:autoSpaceDN/>
        <w:bidi w:val="0"/>
        <w:snapToGrid/>
        <w:spacing w:line="360" w:lineRule="exact"/>
        <w:ind w:firstLine="426" w:firstLineChars="202"/>
        <w:jc w:val="left"/>
        <w:textAlignment w:val="auto"/>
        <w:rPr>
          <w:rFonts w:hint="eastAsia"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3.带“●”号的为重要技术指标、功能项。</w:t>
      </w:r>
    </w:p>
    <w:p w14:paraId="1AFDFA1E">
      <w:pPr>
        <w:keepNext w:val="0"/>
        <w:keepLines w:val="0"/>
        <w:pageBreakBefore w:val="0"/>
        <w:widowControl w:val="0"/>
        <w:kinsoku/>
        <w:wordWrap/>
        <w:overflowPunct/>
        <w:topLinePunct w:val="0"/>
        <w:autoSpaceDE/>
        <w:autoSpaceDN/>
        <w:bidi w:val="0"/>
        <w:snapToGrid/>
        <w:spacing w:line="36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4</w:t>
      </w:r>
      <w:r>
        <w:rPr>
          <w:rFonts w:hint="eastAsia" w:ascii="宋体" w:hAnsi="宋体" w:eastAsia="宋体" w:cs="宋体"/>
          <w:color w:val="auto"/>
          <w:sz w:val="21"/>
          <w:szCs w:val="21"/>
          <w:highlight w:val="none"/>
        </w:rPr>
        <w:t>.如投标人投标产品存在侵犯他人的知识产权或者专利成果行为的，应承担相应法律责任。</w:t>
      </w:r>
    </w:p>
    <w:p w14:paraId="13080C2F">
      <w:pPr>
        <w:bidi w:val="0"/>
        <w:rPr>
          <w:rFonts w:hint="eastAsia" w:ascii="宋体" w:hAnsi="宋体" w:eastAsia="宋体" w:cs="宋体"/>
          <w:color w:val="auto"/>
          <w:highlight w:val="none"/>
        </w:rPr>
      </w:pPr>
    </w:p>
    <w:tbl>
      <w:tblPr>
        <w:tblStyle w:val="35"/>
        <w:tblW w:w="10121"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545"/>
        <w:gridCol w:w="545"/>
        <w:gridCol w:w="1240"/>
        <w:gridCol w:w="640"/>
        <w:gridCol w:w="583"/>
        <w:gridCol w:w="5395"/>
        <w:gridCol w:w="1173"/>
      </w:tblGrid>
      <w:tr w14:paraId="4841E5D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16" w:hRule="atLeast"/>
          <w:jc w:val="center"/>
        </w:trPr>
        <w:tc>
          <w:tcPr>
            <w:tcW w:w="10121" w:type="dxa"/>
            <w:gridSpan w:val="7"/>
            <w:tcBorders>
              <w:top w:val="single" w:color="auto" w:sz="4" w:space="0"/>
              <w:left w:val="single" w:color="auto" w:sz="4" w:space="0"/>
              <w:bottom w:val="nil"/>
              <w:right w:val="single" w:color="auto" w:sz="4" w:space="0"/>
            </w:tcBorders>
            <w:noWrap w:val="0"/>
            <w:vAlign w:val="center"/>
          </w:tcPr>
          <w:p w14:paraId="5FBCB0DD">
            <w:pPr>
              <w:keepNext w:val="0"/>
              <w:keepLines w:val="0"/>
              <w:pageBreakBefore w:val="0"/>
              <w:kinsoku/>
              <w:wordWrap/>
              <w:overflowPunct/>
              <w:topLinePunct w:val="0"/>
              <w:autoSpaceDE/>
              <w:autoSpaceDN/>
              <w:bidi w:val="0"/>
              <w:adjustRightInd/>
              <w:snapToGrid/>
              <w:spacing w:line="360" w:lineRule="exact"/>
              <w:jc w:val="center"/>
              <w:textAlignment w:val="auto"/>
              <w:rPr>
                <w:rFonts w:hint="eastAsia" w:ascii="宋体" w:hAnsi="宋体" w:eastAsia="宋体" w:cs="宋体"/>
                <w:b/>
                <w:bCs w:val="0"/>
                <w:color w:val="auto"/>
                <w:sz w:val="30"/>
                <w:szCs w:val="30"/>
                <w:highlight w:val="none"/>
              </w:rPr>
            </w:pPr>
            <w:r>
              <w:rPr>
                <w:rFonts w:hint="eastAsia" w:ascii="宋体" w:hAnsi="宋体" w:eastAsia="宋体" w:cs="宋体"/>
                <w:b/>
                <w:bCs w:val="0"/>
                <w:color w:val="auto"/>
                <w:sz w:val="30"/>
                <w:szCs w:val="30"/>
                <w:highlight w:val="none"/>
              </w:rPr>
              <w:t>服务需求一览表</w:t>
            </w:r>
          </w:p>
        </w:tc>
      </w:tr>
      <w:tr w14:paraId="52CD44B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16" w:hRule="atLeast"/>
          <w:jc w:val="center"/>
        </w:trPr>
        <w:tc>
          <w:tcPr>
            <w:tcW w:w="1090" w:type="dxa"/>
            <w:gridSpan w:val="2"/>
            <w:tcBorders>
              <w:top w:val="single" w:color="auto" w:sz="4" w:space="0"/>
              <w:left w:val="single" w:color="auto" w:sz="4" w:space="0"/>
              <w:bottom w:val="nil"/>
              <w:right w:val="single" w:color="auto" w:sz="4" w:space="0"/>
            </w:tcBorders>
            <w:noWrap w:val="0"/>
            <w:vAlign w:val="center"/>
          </w:tcPr>
          <w:p w14:paraId="67F3A0F6">
            <w:pPr>
              <w:keepNext w:val="0"/>
              <w:keepLines w:val="0"/>
              <w:pageBreakBefore w:val="0"/>
              <w:kinsoku/>
              <w:wordWrap/>
              <w:overflowPunct/>
              <w:topLinePunct w:val="0"/>
              <w:autoSpaceDE/>
              <w:autoSpaceDN/>
              <w:bidi w:val="0"/>
              <w:adjustRightInd/>
              <w:snapToGrid/>
              <w:spacing w:line="360" w:lineRule="exact"/>
              <w:jc w:val="center"/>
              <w:textAlignment w:val="auto"/>
              <w:rPr>
                <w:rFonts w:hint="eastAsia" w:ascii="宋体" w:hAnsi="宋体" w:eastAsia="宋体" w:cs="宋体"/>
                <w:b/>
                <w:bCs w:val="0"/>
                <w:color w:val="auto"/>
                <w:sz w:val="30"/>
                <w:szCs w:val="30"/>
                <w:highlight w:val="none"/>
              </w:rPr>
            </w:pPr>
            <w:r>
              <w:rPr>
                <w:rFonts w:hint="eastAsia" w:ascii="宋体" w:hAnsi="宋体" w:eastAsia="宋体" w:cs="宋体"/>
                <w:b/>
                <w:bCs w:val="0"/>
                <w:color w:val="auto"/>
                <w:sz w:val="30"/>
                <w:szCs w:val="30"/>
                <w:highlight w:val="none"/>
              </w:rPr>
              <w:t>标段</w:t>
            </w:r>
          </w:p>
        </w:tc>
        <w:tc>
          <w:tcPr>
            <w:tcW w:w="9031" w:type="dxa"/>
            <w:gridSpan w:val="5"/>
            <w:tcBorders>
              <w:top w:val="single" w:color="auto" w:sz="4" w:space="0"/>
              <w:left w:val="single" w:color="auto" w:sz="4" w:space="0"/>
              <w:bottom w:val="nil"/>
              <w:right w:val="single" w:color="auto" w:sz="4" w:space="0"/>
            </w:tcBorders>
            <w:noWrap w:val="0"/>
            <w:vAlign w:val="center"/>
          </w:tcPr>
          <w:p w14:paraId="3B2453C7">
            <w:pPr>
              <w:keepNext w:val="0"/>
              <w:keepLines w:val="0"/>
              <w:pageBreakBefore w:val="0"/>
              <w:kinsoku/>
              <w:wordWrap/>
              <w:overflowPunct/>
              <w:topLinePunct w:val="0"/>
              <w:autoSpaceDE/>
              <w:autoSpaceDN/>
              <w:bidi w:val="0"/>
              <w:adjustRightInd/>
              <w:snapToGrid/>
              <w:spacing w:line="360" w:lineRule="exact"/>
              <w:jc w:val="left"/>
              <w:textAlignment w:val="auto"/>
              <w:rPr>
                <w:rFonts w:hint="default" w:ascii="宋体" w:hAnsi="宋体" w:eastAsia="宋体" w:cs="宋体"/>
                <w:b/>
                <w:bCs w:val="0"/>
                <w:color w:val="auto"/>
                <w:sz w:val="30"/>
                <w:szCs w:val="30"/>
                <w:highlight w:val="none"/>
                <w:lang w:val="en-US"/>
              </w:rPr>
            </w:pPr>
            <w:r>
              <w:rPr>
                <w:rFonts w:hint="eastAsia" w:ascii="宋体" w:hAnsi="宋体" w:eastAsia="宋体" w:cs="宋体"/>
                <w:b/>
                <w:bCs w:val="0"/>
                <w:color w:val="auto"/>
                <w:sz w:val="30"/>
                <w:szCs w:val="30"/>
                <w:highlight w:val="none"/>
                <w:lang w:val="en-US" w:eastAsia="zh-CN"/>
              </w:rPr>
              <w:t>分标1</w:t>
            </w:r>
          </w:p>
        </w:tc>
      </w:tr>
      <w:tr w14:paraId="69DC2BA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16" w:hRule="atLeast"/>
          <w:jc w:val="center"/>
        </w:trPr>
        <w:tc>
          <w:tcPr>
            <w:tcW w:w="545" w:type="dxa"/>
            <w:vMerge w:val="restart"/>
            <w:tcBorders>
              <w:top w:val="single" w:color="auto" w:sz="4" w:space="0"/>
              <w:left w:val="single" w:color="auto" w:sz="4" w:space="0"/>
              <w:right w:val="single" w:color="auto" w:sz="4" w:space="0"/>
            </w:tcBorders>
            <w:noWrap w:val="0"/>
            <w:vAlign w:val="center"/>
          </w:tcPr>
          <w:p w14:paraId="616B317F">
            <w:pPr>
              <w:keepNext w:val="0"/>
              <w:keepLines w:val="0"/>
              <w:pageBreakBefore w:val="0"/>
              <w:kinsoku/>
              <w:wordWrap/>
              <w:overflowPunct/>
              <w:topLinePunct w:val="0"/>
              <w:autoSpaceDE/>
              <w:autoSpaceDN/>
              <w:bidi w:val="0"/>
              <w:adjustRightInd/>
              <w:snapToGrid/>
              <w:spacing w:line="360" w:lineRule="exact"/>
              <w:jc w:val="center"/>
              <w:textAlignment w:val="auto"/>
              <w:rPr>
                <w:rFonts w:hint="eastAsia" w:ascii="宋体" w:hAnsi="宋体" w:eastAsia="宋体" w:cs="宋体"/>
                <w:color w:val="auto"/>
                <w:sz w:val="24"/>
                <w:highlight w:val="none"/>
              </w:rPr>
            </w:pPr>
            <w:r>
              <w:rPr>
                <w:rFonts w:hint="eastAsia" w:ascii="宋体" w:hAnsi="宋体" w:eastAsia="宋体" w:cs="宋体"/>
                <w:color w:val="auto"/>
                <w:highlight w:val="none"/>
              </w:rPr>
              <w:t>采购清单及服务数</w:t>
            </w:r>
          </w:p>
        </w:tc>
        <w:tc>
          <w:tcPr>
            <w:tcW w:w="545" w:type="dxa"/>
            <w:tcBorders>
              <w:top w:val="single" w:color="auto" w:sz="4" w:space="0"/>
              <w:left w:val="single" w:color="auto" w:sz="4" w:space="0"/>
              <w:bottom w:val="single" w:color="auto" w:sz="4" w:space="0"/>
              <w:right w:val="single" w:color="auto" w:sz="4" w:space="0"/>
            </w:tcBorders>
            <w:noWrap w:val="0"/>
            <w:tcMar>
              <w:top w:w="0" w:type="dxa"/>
              <w:left w:w="0" w:type="dxa"/>
              <w:bottom w:w="0" w:type="dxa"/>
              <w:right w:w="0" w:type="dxa"/>
            </w:tcMar>
            <w:vAlign w:val="center"/>
          </w:tcPr>
          <w:p w14:paraId="39D0ACE5">
            <w:pPr>
              <w:keepNext w:val="0"/>
              <w:keepLines w:val="0"/>
              <w:pageBreakBefore w:val="0"/>
              <w:kinsoku/>
              <w:wordWrap/>
              <w:overflowPunct/>
              <w:topLinePunct w:val="0"/>
              <w:autoSpaceDE/>
              <w:autoSpaceDN/>
              <w:bidi w:val="0"/>
              <w:adjustRightInd/>
              <w:snapToGrid/>
              <w:spacing w:line="36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序号</w:t>
            </w:r>
          </w:p>
        </w:tc>
        <w:tc>
          <w:tcPr>
            <w:tcW w:w="1240" w:type="dxa"/>
            <w:tcBorders>
              <w:top w:val="single" w:color="auto" w:sz="4" w:space="0"/>
              <w:left w:val="single" w:color="auto" w:sz="4" w:space="0"/>
              <w:bottom w:val="single" w:color="auto" w:sz="4" w:space="0"/>
              <w:right w:val="single" w:color="auto" w:sz="4" w:space="0"/>
            </w:tcBorders>
            <w:noWrap w:val="0"/>
            <w:vAlign w:val="center"/>
          </w:tcPr>
          <w:p w14:paraId="59A5024A">
            <w:pPr>
              <w:keepNext w:val="0"/>
              <w:keepLines w:val="0"/>
              <w:pageBreakBefore w:val="0"/>
              <w:kinsoku/>
              <w:wordWrap/>
              <w:overflowPunct/>
              <w:topLinePunct w:val="0"/>
              <w:autoSpaceDE/>
              <w:autoSpaceDN/>
              <w:bidi w:val="0"/>
              <w:adjustRightInd/>
              <w:snapToGrid/>
              <w:spacing w:line="36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标的</w:t>
            </w:r>
            <w:r>
              <w:rPr>
                <w:rFonts w:hint="eastAsia" w:ascii="宋体" w:hAnsi="宋体" w:eastAsia="宋体" w:cs="宋体"/>
                <w:color w:val="auto"/>
                <w:sz w:val="21"/>
                <w:szCs w:val="21"/>
                <w:highlight w:val="none"/>
              </w:rPr>
              <w:t>名称</w:t>
            </w:r>
          </w:p>
        </w:tc>
        <w:tc>
          <w:tcPr>
            <w:tcW w:w="640" w:type="dxa"/>
            <w:tcBorders>
              <w:top w:val="single" w:color="auto" w:sz="4" w:space="0"/>
              <w:left w:val="single" w:color="auto" w:sz="4" w:space="0"/>
              <w:bottom w:val="single" w:color="auto" w:sz="4" w:space="0"/>
              <w:right w:val="single" w:color="auto" w:sz="4" w:space="0"/>
            </w:tcBorders>
            <w:noWrap w:val="0"/>
            <w:vAlign w:val="center"/>
          </w:tcPr>
          <w:p w14:paraId="75AD8201">
            <w:pPr>
              <w:keepNext w:val="0"/>
              <w:keepLines w:val="0"/>
              <w:pageBreakBefore w:val="0"/>
              <w:kinsoku/>
              <w:wordWrap/>
              <w:overflowPunct/>
              <w:topLinePunct w:val="0"/>
              <w:autoSpaceDE/>
              <w:autoSpaceDN/>
              <w:bidi w:val="0"/>
              <w:adjustRightInd/>
              <w:snapToGrid/>
              <w:spacing w:line="36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单位</w:t>
            </w:r>
          </w:p>
        </w:tc>
        <w:tc>
          <w:tcPr>
            <w:tcW w:w="583" w:type="dxa"/>
            <w:tcBorders>
              <w:top w:val="single" w:color="auto" w:sz="4" w:space="0"/>
              <w:left w:val="single" w:color="auto" w:sz="4" w:space="0"/>
              <w:bottom w:val="single" w:color="auto" w:sz="4" w:space="0"/>
              <w:right w:val="single" w:color="auto" w:sz="4" w:space="0"/>
            </w:tcBorders>
            <w:noWrap w:val="0"/>
            <w:vAlign w:val="center"/>
          </w:tcPr>
          <w:p w14:paraId="7DE967A9">
            <w:pPr>
              <w:keepNext w:val="0"/>
              <w:keepLines w:val="0"/>
              <w:pageBreakBefore w:val="0"/>
              <w:kinsoku/>
              <w:wordWrap/>
              <w:overflowPunct/>
              <w:topLinePunct w:val="0"/>
              <w:autoSpaceDE/>
              <w:autoSpaceDN/>
              <w:bidi w:val="0"/>
              <w:adjustRightInd/>
              <w:snapToGrid/>
              <w:spacing w:line="36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数量</w:t>
            </w:r>
          </w:p>
        </w:tc>
        <w:tc>
          <w:tcPr>
            <w:tcW w:w="5395" w:type="dxa"/>
            <w:tcBorders>
              <w:top w:val="single" w:color="auto" w:sz="4" w:space="0"/>
              <w:left w:val="single" w:color="auto" w:sz="4" w:space="0"/>
              <w:bottom w:val="single" w:color="auto" w:sz="4" w:space="0"/>
              <w:right w:val="single" w:color="auto" w:sz="4" w:space="0"/>
            </w:tcBorders>
            <w:noWrap w:val="0"/>
            <w:vAlign w:val="center"/>
          </w:tcPr>
          <w:p w14:paraId="51AD0D6D">
            <w:pPr>
              <w:keepNext w:val="0"/>
              <w:keepLines w:val="0"/>
              <w:pageBreakBefore w:val="0"/>
              <w:kinsoku/>
              <w:wordWrap/>
              <w:overflowPunct/>
              <w:topLinePunct w:val="0"/>
              <w:autoSpaceDE/>
              <w:autoSpaceDN/>
              <w:bidi w:val="0"/>
              <w:adjustRightInd/>
              <w:snapToGrid/>
              <w:spacing w:line="36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服务参数</w:t>
            </w:r>
          </w:p>
        </w:tc>
        <w:tc>
          <w:tcPr>
            <w:tcW w:w="1173" w:type="dxa"/>
            <w:tcBorders>
              <w:top w:val="single" w:color="auto" w:sz="4" w:space="0"/>
              <w:left w:val="single" w:color="auto" w:sz="4" w:space="0"/>
              <w:bottom w:val="single" w:color="auto" w:sz="4" w:space="0"/>
              <w:right w:val="single" w:color="auto" w:sz="4" w:space="0"/>
            </w:tcBorders>
            <w:noWrap w:val="0"/>
            <w:vAlign w:val="center"/>
          </w:tcPr>
          <w:p w14:paraId="7B88487E">
            <w:pPr>
              <w:keepNext w:val="0"/>
              <w:keepLines w:val="0"/>
              <w:pageBreakBefore w:val="0"/>
              <w:kinsoku/>
              <w:wordWrap/>
              <w:overflowPunct/>
              <w:topLinePunct w:val="0"/>
              <w:autoSpaceDE/>
              <w:autoSpaceDN/>
              <w:bidi w:val="0"/>
              <w:adjustRightInd/>
              <w:snapToGrid/>
              <w:spacing w:line="36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中小企业划分标准所属行业名称（行业名称及划分见本章附件2）</w:t>
            </w:r>
          </w:p>
        </w:tc>
      </w:tr>
      <w:tr w14:paraId="776FB9D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07" w:hRule="atLeast"/>
          <w:jc w:val="center"/>
        </w:trPr>
        <w:tc>
          <w:tcPr>
            <w:tcW w:w="545" w:type="dxa"/>
            <w:vMerge w:val="continue"/>
            <w:tcBorders>
              <w:left w:val="single" w:color="auto" w:sz="4" w:space="0"/>
              <w:right w:val="single" w:color="auto" w:sz="4" w:space="0"/>
            </w:tcBorders>
            <w:noWrap w:val="0"/>
            <w:vAlign w:val="center"/>
          </w:tcPr>
          <w:p w14:paraId="2F84AB68">
            <w:pPr>
              <w:keepNext w:val="0"/>
              <w:keepLines w:val="0"/>
              <w:pageBreakBefore w:val="0"/>
              <w:widowControl/>
              <w:kinsoku/>
              <w:wordWrap/>
              <w:overflowPunct/>
              <w:topLinePunct w:val="0"/>
              <w:autoSpaceDE/>
              <w:autoSpaceDN/>
              <w:bidi w:val="0"/>
              <w:adjustRightInd/>
              <w:snapToGrid/>
              <w:spacing w:line="360" w:lineRule="exact"/>
              <w:jc w:val="left"/>
              <w:textAlignment w:val="auto"/>
              <w:rPr>
                <w:rFonts w:hint="eastAsia" w:ascii="宋体" w:hAnsi="宋体" w:eastAsia="宋体" w:cs="宋体"/>
                <w:color w:val="auto"/>
                <w:sz w:val="24"/>
                <w:highlight w:val="none"/>
              </w:rPr>
            </w:pPr>
          </w:p>
        </w:tc>
        <w:tc>
          <w:tcPr>
            <w:tcW w:w="545" w:type="dxa"/>
            <w:tcBorders>
              <w:top w:val="single" w:color="auto" w:sz="4" w:space="0"/>
              <w:left w:val="single" w:color="auto" w:sz="4" w:space="0"/>
              <w:bottom w:val="single" w:color="auto" w:sz="4" w:space="0"/>
              <w:right w:val="single" w:color="auto" w:sz="4" w:space="0"/>
            </w:tcBorders>
            <w:noWrap w:val="0"/>
            <w:vAlign w:val="center"/>
          </w:tcPr>
          <w:p w14:paraId="6CE69F8C">
            <w:pPr>
              <w:keepNext w:val="0"/>
              <w:keepLines w:val="0"/>
              <w:pageBreakBefore w:val="0"/>
              <w:kinsoku/>
              <w:wordWrap/>
              <w:overflowPunct/>
              <w:topLinePunct w:val="0"/>
              <w:autoSpaceDE/>
              <w:autoSpaceDN/>
              <w:bidi w:val="0"/>
              <w:adjustRightInd/>
              <w:snapToGrid/>
              <w:spacing w:line="360" w:lineRule="exact"/>
              <w:jc w:val="center"/>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1</w:t>
            </w:r>
          </w:p>
        </w:tc>
        <w:tc>
          <w:tcPr>
            <w:tcW w:w="1240" w:type="dxa"/>
            <w:tcBorders>
              <w:top w:val="single" w:color="auto" w:sz="4" w:space="0"/>
              <w:left w:val="single" w:color="auto" w:sz="4" w:space="0"/>
              <w:bottom w:val="single" w:color="auto" w:sz="4" w:space="0"/>
              <w:right w:val="single" w:color="auto" w:sz="4" w:space="0"/>
            </w:tcBorders>
            <w:noWrap w:val="0"/>
            <w:vAlign w:val="center"/>
          </w:tcPr>
          <w:p w14:paraId="14123D85">
            <w:pPr>
              <w:keepNext w:val="0"/>
              <w:keepLines w:val="0"/>
              <w:pageBreakBefore w:val="0"/>
              <w:kinsoku/>
              <w:wordWrap/>
              <w:overflowPunct/>
              <w:topLinePunct w:val="0"/>
              <w:autoSpaceDE/>
              <w:autoSpaceDN/>
              <w:bidi w:val="0"/>
              <w:adjustRightInd/>
              <w:snapToGrid/>
              <w:spacing w:line="360" w:lineRule="exact"/>
              <w:jc w:val="center"/>
              <w:textAlignment w:val="auto"/>
              <w:rPr>
                <w:rFonts w:hint="eastAsia" w:ascii="宋体" w:hAnsi="宋体" w:eastAsia="宋体" w:cs="宋体"/>
                <w:color w:val="auto"/>
                <w:szCs w:val="21"/>
                <w:highlight w:val="none"/>
                <w:lang w:eastAsia="zh-CN"/>
              </w:rPr>
            </w:pPr>
            <w:r>
              <w:rPr>
                <w:rFonts w:hint="eastAsia" w:ascii="宋体" w:hAnsi="宋体" w:cs="宋体"/>
                <w:color w:val="auto"/>
                <w:szCs w:val="21"/>
                <w:highlight w:val="none"/>
                <w:lang w:eastAsia="zh-CN"/>
              </w:rPr>
              <w:t>2026年度中央财政林业草原生态保护恢复资金-广西横州市西津国家重要湿地保护与恢复项目</w:t>
            </w:r>
            <w:r>
              <w:rPr>
                <w:rFonts w:hint="eastAsia" w:ascii="宋体" w:hAnsi="宋体" w:eastAsia="宋体" w:cs="宋体"/>
                <w:color w:val="auto"/>
                <w:szCs w:val="21"/>
                <w:highlight w:val="none"/>
                <w:lang w:eastAsia="zh-CN"/>
              </w:rPr>
              <w:t>（干扰及成效监测）</w:t>
            </w:r>
          </w:p>
        </w:tc>
        <w:tc>
          <w:tcPr>
            <w:tcW w:w="640" w:type="dxa"/>
            <w:tcBorders>
              <w:top w:val="single" w:color="auto" w:sz="4" w:space="0"/>
              <w:left w:val="single" w:color="auto" w:sz="4" w:space="0"/>
              <w:bottom w:val="single" w:color="auto" w:sz="4" w:space="0"/>
              <w:right w:val="single" w:color="auto" w:sz="4" w:space="0"/>
            </w:tcBorders>
            <w:noWrap w:val="0"/>
            <w:vAlign w:val="center"/>
          </w:tcPr>
          <w:p w14:paraId="7E835B90">
            <w:pPr>
              <w:keepNext w:val="0"/>
              <w:keepLines w:val="0"/>
              <w:pageBreakBefore w:val="0"/>
              <w:kinsoku/>
              <w:wordWrap/>
              <w:overflowPunct/>
              <w:topLinePunct w:val="0"/>
              <w:autoSpaceDE/>
              <w:autoSpaceDN/>
              <w:bidi w:val="0"/>
              <w:adjustRightInd/>
              <w:snapToGrid/>
              <w:spacing w:line="360" w:lineRule="exact"/>
              <w:jc w:val="center"/>
              <w:textAlignment w:val="auto"/>
              <w:rPr>
                <w:rFonts w:hint="eastAsia" w:ascii="宋体" w:hAnsi="宋体" w:eastAsia="宋体" w:cs="宋体"/>
                <w:color w:val="auto"/>
                <w:szCs w:val="21"/>
                <w:highlight w:val="none"/>
                <w:lang w:val="en-US" w:eastAsia="zh-CN"/>
              </w:rPr>
            </w:pPr>
            <w:r>
              <w:rPr>
                <w:rFonts w:hint="eastAsia" w:ascii="宋体" w:hAnsi="宋体" w:eastAsia="宋体" w:cs="宋体"/>
                <w:b w:val="0"/>
                <w:bCs w:val="0"/>
                <w:color w:val="auto"/>
                <w:sz w:val="21"/>
                <w:szCs w:val="21"/>
                <w:highlight w:val="none"/>
                <w:lang w:val="en-US" w:eastAsia="zh-CN"/>
              </w:rPr>
              <w:t>项</w:t>
            </w:r>
          </w:p>
        </w:tc>
        <w:tc>
          <w:tcPr>
            <w:tcW w:w="583" w:type="dxa"/>
            <w:tcBorders>
              <w:top w:val="single" w:color="auto" w:sz="4" w:space="0"/>
              <w:left w:val="single" w:color="auto" w:sz="4" w:space="0"/>
              <w:bottom w:val="single" w:color="auto" w:sz="4" w:space="0"/>
              <w:right w:val="single" w:color="auto" w:sz="4" w:space="0"/>
            </w:tcBorders>
            <w:noWrap w:val="0"/>
            <w:vAlign w:val="center"/>
          </w:tcPr>
          <w:p w14:paraId="4793540A">
            <w:pPr>
              <w:keepNext w:val="0"/>
              <w:keepLines w:val="0"/>
              <w:pageBreakBefore w:val="0"/>
              <w:kinsoku/>
              <w:wordWrap/>
              <w:overflowPunct/>
              <w:topLinePunct w:val="0"/>
              <w:autoSpaceDE/>
              <w:autoSpaceDN/>
              <w:bidi w:val="0"/>
              <w:adjustRightInd/>
              <w:snapToGrid/>
              <w:spacing w:line="360" w:lineRule="exact"/>
              <w:jc w:val="center"/>
              <w:textAlignment w:val="auto"/>
              <w:rPr>
                <w:rFonts w:hint="eastAsia" w:ascii="宋体" w:hAnsi="宋体" w:eastAsia="宋体" w:cs="宋体"/>
                <w:color w:val="auto"/>
                <w:szCs w:val="21"/>
                <w:highlight w:val="none"/>
                <w:lang w:val="en-US" w:eastAsia="zh-CN"/>
              </w:rPr>
            </w:pPr>
            <w:r>
              <w:rPr>
                <w:rFonts w:hint="eastAsia" w:ascii="宋体" w:hAnsi="宋体" w:eastAsia="宋体" w:cs="宋体"/>
                <w:b w:val="0"/>
                <w:bCs w:val="0"/>
                <w:color w:val="auto"/>
                <w:sz w:val="21"/>
                <w:szCs w:val="21"/>
                <w:highlight w:val="none"/>
                <w:lang w:val="en-US" w:eastAsia="zh-CN"/>
              </w:rPr>
              <w:t>1</w:t>
            </w:r>
          </w:p>
        </w:tc>
        <w:tc>
          <w:tcPr>
            <w:tcW w:w="5395" w:type="dxa"/>
            <w:tcBorders>
              <w:top w:val="single" w:color="auto" w:sz="4" w:space="0"/>
              <w:left w:val="single" w:color="auto" w:sz="4" w:space="0"/>
              <w:bottom w:val="single" w:color="auto" w:sz="4" w:space="0"/>
              <w:right w:val="single" w:color="auto" w:sz="4" w:space="0"/>
            </w:tcBorders>
            <w:noWrap w:val="0"/>
            <w:vAlign w:val="top"/>
          </w:tcPr>
          <w:p w14:paraId="2A5A5B5F">
            <w:pPr>
              <w:keepNext w:val="0"/>
              <w:keepLines w:val="0"/>
              <w:pageBreakBefore w:val="0"/>
              <w:widowControl/>
              <w:tabs>
                <w:tab w:val="left" w:pos="900"/>
                <w:tab w:val="left" w:pos="1080"/>
              </w:tabs>
              <w:kinsoku/>
              <w:wordWrap/>
              <w:overflowPunct/>
              <w:topLinePunct w:val="0"/>
              <w:autoSpaceDE/>
              <w:autoSpaceDN/>
              <w:bidi w:val="0"/>
              <w:adjustRightInd/>
              <w:snapToGrid/>
              <w:spacing w:line="360" w:lineRule="exact"/>
              <w:ind w:firstLine="422" w:firstLineChars="200"/>
              <w:textAlignment w:val="auto"/>
              <w:rPr>
                <w:rFonts w:hint="default" w:ascii="宋体" w:hAnsi="宋体" w:eastAsia="宋体" w:cs="宋体"/>
                <w:b/>
                <w:bCs/>
                <w:color w:val="auto"/>
                <w:kern w:val="2"/>
                <w:sz w:val="21"/>
                <w:szCs w:val="21"/>
                <w:highlight w:val="none"/>
                <w:lang w:val="en-US" w:eastAsia="zh-CN" w:bidi="ar-SA"/>
              </w:rPr>
            </w:pPr>
            <w:r>
              <w:rPr>
                <w:rFonts w:hint="eastAsia" w:ascii="宋体" w:hAnsi="宋体" w:eastAsia="宋体" w:cs="宋体"/>
                <w:b/>
                <w:bCs/>
                <w:color w:val="auto"/>
                <w:szCs w:val="21"/>
                <w:highlight w:val="none"/>
              </w:rPr>
              <w:t>一、</w:t>
            </w:r>
            <w:r>
              <w:rPr>
                <w:rFonts w:hint="eastAsia" w:ascii="宋体" w:hAnsi="宋体" w:cs="宋体"/>
                <w:b/>
                <w:bCs/>
                <w:color w:val="auto"/>
                <w:kern w:val="2"/>
                <w:sz w:val="21"/>
                <w:szCs w:val="21"/>
                <w:highlight w:val="none"/>
                <w:lang w:val="en-US" w:eastAsia="zh-CN" w:bidi="ar-SA"/>
              </w:rPr>
              <w:t>项目概况</w:t>
            </w:r>
          </w:p>
          <w:p w14:paraId="69909CD2">
            <w:pPr>
              <w:keepNext w:val="0"/>
              <w:keepLines w:val="0"/>
              <w:pageBreakBefore w:val="0"/>
              <w:widowControl/>
              <w:numPr>
                <w:ilvl w:val="0"/>
                <w:numId w:val="0"/>
              </w:numPr>
              <w:tabs>
                <w:tab w:val="left" w:pos="900"/>
                <w:tab w:val="left" w:pos="1080"/>
              </w:tabs>
              <w:kinsoku/>
              <w:wordWrap/>
              <w:overflowPunct/>
              <w:topLinePunct w:val="0"/>
              <w:autoSpaceDE/>
              <w:autoSpaceDN/>
              <w:bidi w:val="0"/>
              <w:adjustRightInd/>
              <w:snapToGrid/>
              <w:spacing w:line="360" w:lineRule="exact"/>
              <w:ind w:left="0" w:leftChars="0" w:firstLine="420" w:firstLineChars="200"/>
              <w:textAlignment w:val="auto"/>
              <w:rPr>
                <w:rFonts w:hint="eastAsia" w:ascii="宋体" w:hAnsi="宋体" w:eastAsia="宋体" w:cs="宋体"/>
                <w:b w:val="0"/>
                <w:bCs w:val="0"/>
                <w:color w:val="auto"/>
                <w:kern w:val="2"/>
                <w:sz w:val="21"/>
                <w:szCs w:val="21"/>
                <w:highlight w:val="none"/>
                <w:lang w:val="en-US" w:eastAsia="zh-CN" w:bidi="ar-SA"/>
              </w:rPr>
            </w:pPr>
            <w:r>
              <w:rPr>
                <w:rFonts w:hint="eastAsia" w:ascii="宋体" w:hAnsi="宋体" w:eastAsia="宋体" w:cs="宋体"/>
                <w:b w:val="0"/>
                <w:bCs w:val="0"/>
                <w:color w:val="auto"/>
                <w:kern w:val="2"/>
                <w:sz w:val="21"/>
                <w:szCs w:val="21"/>
                <w:highlight w:val="none"/>
                <w:lang w:val="en-US" w:eastAsia="zh-CN" w:bidi="ar-SA"/>
              </w:rPr>
              <w:t>1</w:t>
            </w:r>
            <w:r>
              <w:rPr>
                <w:rFonts w:hint="eastAsia" w:ascii="宋体" w:hAnsi="宋体" w:cs="宋体"/>
                <w:b w:val="0"/>
                <w:bCs w:val="0"/>
                <w:color w:val="auto"/>
                <w:kern w:val="2"/>
                <w:sz w:val="21"/>
                <w:szCs w:val="21"/>
                <w:highlight w:val="none"/>
                <w:lang w:val="en-US" w:eastAsia="zh-CN" w:bidi="ar-SA"/>
              </w:rPr>
              <w:t>、</w:t>
            </w:r>
            <w:r>
              <w:rPr>
                <w:rFonts w:hint="eastAsia" w:ascii="宋体" w:hAnsi="宋体" w:eastAsia="宋体" w:cs="宋体"/>
                <w:b w:val="0"/>
                <w:bCs w:val="0"/>
                <w:color w:val="auto"/>
                <w:kern w:val="2"/>
                <w:sz w:val="21"/>
                <w:szCs w:val="21"/>
                <w:highlight w:val="none"/>
                <w:lang w:val="en-US" w:eastAsia="zh-CN" w:bidi="ar-SA"/>
              </w:rPr>
              <w:t>在原有26处监测卡口的基础上，拟增加23处监测卡口，主要布设在人为干扰较为严重的坑塘区域，监控追踪破坏湿地生态的人为活动。配套建设23套水域监控立杆及安装基础，满足智能监控机、太阳能供电系统、无线传输设备等安装运行要求。</w:t>
            </w:r>
          </w:p>
          <w:p w14:paraId="2DB7C2F6">
            <w:pPr>
              <w:keepNext w:val="0"/>
              <w:keepLines w:val="0"/>
              <w:pageBreakBefore w:val="0"/>
              <w:widowControl/>
              <w:numPr>
                <w:ilvl w:val="0"/>
                <w:numId w:val="0"/>
              </w:numPr>
              <w:tabs>
                <w:tab w:val="left" w:pos="900"/>
                <w:tab w:val="left" w:pos="1080"/>
              </w:tabs>
              <w:kinsoku/>
              <w:wordWrap/>
              <w:overflowPunct/>
              <w:topLinePunct w:val="0"/>
              <w:autoSpaceDE/>
              <w:autoSpaceDN/>
              <w:bidi w:val="0"/>
              <w:adjustRightInd/>
              <w:snapToGrid/>
              <w:spacing w:line="360" w:lineRule="exact"/>
              <w:ind w:left="0" w:leftChars="0" w:firstLine="420" w:firstLineChars="200"/>
              <w:textAlignment w:val="auto"/>
              <w:rPr>
                <w:rFonts w:hint="eastAsia" w:ascii="宋体" w:hAnsi="宋体" w:eastAsia="宋体" w:cs="宋体"/>
                <w:b w:val="0"/>
                <w:bCs w:val="0"/>
                <w:color w:val="auto"/>
                <w:kern w:val="2"/>
                <w:sz w:val="21"/>
                <w:szCs w:val="21"/>
                <w:highlight w:val="none"/>
                <w:lang w:val="en-US" w:eastAsia="zh-CN" w:bidi="ar-SA"/>
              </w:rPr>
            </w:pPr>
            <w:r>
              <w:rPr>
                <w:rFonts w:hint="eastAsia" w:ascii="宋体" w:hAnsi="宋体" w:eastAsia="宋体" w:cs="宋体"/>
                <w:b w:val="0"/>
                <w:bCs w:val="0"/>
                <w:color w:val="auto"/>
                <w:kern w:val="2"/>
                <w:sz w:val="21"/>
                <w:szCs w:val="21"/>
                <w:highlight w:val="none"/>
                <w:lang w:val="en-US" w:eastAsia="zh-CN" w:bidi="ar-SA"/>
              </w:rPr>
              <w:t>2</w:t>
            </w:r>
            <w:r>
              <w:rPr>
                <w:rFonts w:hint="eastAsia" w:ascii="宋体" w:hAnsi="宋体" w:cs="宋体"/>
                <w:b w:val="0"/>
                <w:bCs w:val="0"/>
                <w:color w:val="auto"/>
                <w:kern w:val="2"/>
                <w:sz w:val="21"/>
                <w:szCs w:val="21"/>
                <w:highlight w:val="none"/>
                <w:lang w:val="en-US" w:eastAsia="zh-CN" w:bidi="ar-SA"/>
              </w:rPr>
              <w:t>、</w:t>
            </w:r>
            <w:r>
              <w:rPr>
                <w:rFonts w:hint="eastAsia" w:ascii="宋体" w:hAnsi="宋体" w:eastAsia="宋体" w:cs="宋体"/>
                <w:b w:val="0"/>
                <w:bCs w:val="0"/>
                <w:color w:val="auto"/>
                <w:kern w:val="2"/>
                <w:sz w:val="21"/>
                <w:szCs w:val="21"/>
                <w:highlight w:val="none"/>
                <w:lang w:val="en-US" w:eastAsia="zh-CN" w:bidi="ar-SA"/>
              </w:rPr>
              <w:t>恢复成效评估监测</w:t>
            </w:r>
            <w:r>
              <w:rPr>
                <w:rFonts w:hint="eastAsia" w:ascii="宋体" w:hAnsi="宋体" w:cs="宋体"/>
                <w:b w:val="0"/>
                <w:bCs w:val="0"/>
                <w:color w:val="auto"/>
                <w:kern w:val="2"/>
                <w:sz w:val="21"/>
                <w:szCs w:val="21"/>
                <w:highlight w:val="none"/>
                <w:lang w:val="en-US" w:eastAsia="zh-CN" w:bidi="ar-SA"/>
              </w:rPr>
              <w:t>：</w:t>
            </w:r>
            <w:r>
              <w:rPr>
                <w:rFonts w:hint="eastAsia" w:ascii="宋体" w:hAnsi="宋体" w:eastAsia="宋体" w:cs="宋体"/>
                <w:b w:val="0"/>
                <w:bCs w:val="0"/>
                <w:color w:val="auto"/>
                <w:kern w:val="2"/>
                <w:sz w:val="21"/>
                <w:szCs w:val="21"/>
                <w:highlight w:val="none"/>
                <w:lang w:val="en-US" w:eastAsia="zh-CN" w:bidi="ar-SA"/>
              </w:rPr>
              <w:t>监测范围涵盖已往实施植被恢复、水系连通等工程的区域，以及今年新实施植被恢复的15.2公顷区域，监测面积共计598.82公顷。监测内容包括湿地基本状况、水环境、动物、植物、植被、外来物种入侵、受威胁状况等因子。</w:t>
            </w:r>
          </w:p>
          <w:p w14:paraId="78C824DA">
            <w:pPr>
              <w:keepNext w:val="0"/>
              <w:keepLines w:val="0"/>
              <w:pageBreakBefore w:val="0"/>
              <w:widowControl/>
              <w:tabs>
                <w:tab w:val="left" w:pos="900"/>
                <w:tab w:val="left" w:pos="1080"/>
              </w:tabs>
              <w:kinsoku/>
              <w:wordWrap/>
              <w:overflowPunct/>
              <w:topLinePunct w:val="0"/>
              <w:autoSpaceDE/>
              <w:autoSpaceDN/>
              <w:bidi w:val="0"/>
              <w:adjustRightInd/>
              <w:snapToGrid/>
              <w:spacing w:line="360" w:lineRule="exact"/>
              <w:ind w:firstLine="422" w:firstLineChars="200"/>
              <w:textAlignment w:val="auto"/>
              <w:rPr>
                <w:rFonts w:hint="eastAsia" w:ascii="宋体" w:hAnsi="宋体" w:cs="宋体"/>
                <w:b/>
                <w:bCs/>
                <w:color w:val="auto"/>
                <w:kern w:val="2"/>
                <w:sz w:val="21"/>
                <w:szCs w:val="21"/>
                <w:highlight w:val="none"/>
                <w:lang w:val="en-US" w:eastAsia="zh-CN" w:bidi="ar-SA"/>
              </w:rPr>
            </w:pPr>
            <w:r>
              <w:rPr>
                <w:rFonts w:hint="eastAsia" w:ascii="宋体" w:hAnsi="宋体" w:eastAsia="宋体" w:cs="宋体"/>
                <w:b/>
                <w:bCs/>
                <w:color w:val="auto"/>
                <w:szCs w:val="21"/>
                <w:highlight w:val="none"/>
                <w:lang w:val="en-US" w:eastAsia="zh-CN"/>
              </w:rPr>
              <w:t>二</w:t>
            </w:r>
            <w:r>
              <w:rPr>
                <w:rFonts w:hint="eastAsia" w:ascii="宋体" w:hAnsi="宋体" w:eastAsia="宋体" w:cs="宋体"/>
                <w:b/>
                <w:bCs/>
                <w:color w:val="auto"/>
                <w:szCs w:val="21"/>
                <w:highlight w:val="none"/>
              </w:rPr>
              <w:t>、</w:t>
            </w:r>
            <w:r>
              <w:rPr>
                <w:rFonts w:hint="eastAsia" w:ascii="宋体" w:hAnsi="宋体" w:cs="宋体"/>
                <w:b/>
                <w:bCs/>
                <w:color w:val="auto"/>
                <w:kern w:val="2"/>
                <w:sz w:val="21"/>
                <w:szCs w:val="21"/>
                <w:highlight w:val="none"/>
                <w:lang w:val="en-US" w:eastAsia="zh-CN" w:bidi="ar-SA"/>
              </w:rPr>
              <w:t>项目建设区域</w:t>
            </w:r>
          </w:p>
          <w:p w14:paraId="2D3F12A5">
            <w:pPr>
              <w:keepNext w:val="0"/>
              <w:keepLines w:val="0"/>
              <w:pageBreakBefore w:val="0"/>
              <w:widowControl/>
              <w:numPr>
                <w:ilvl w:val="0"/>
                <w:numId w:val="0"/>
              </w:numPr>
              <w:tabs>
                <w:tab w:val="left" w:pos="900"/>
                <w:tab w:val="left" w:pos="1080"/>
              </w:tabs>
              <w:kinsoku/>
              <w:wordWrap/>
              <w:overflowPunct/>
              <w:topLinePunct w:val="0"/>
              <w:autoSpaceDE/>
              <w:autoSpaceDN/>
              <w:bidi w:val="0"/>
              <w:adjustRightInd/>
              <w:snapToGrid/>
              <w:spacing w:line="360" w:lineRule="exact"/>
              <w:ind w:firstLine="420" w:firstLineChars="200"/>
              <w:textAlignment w:val="auto"/>
              <w:rPr>
                <w:rFonts w:hint="eastAsia" w:ascii="宋体" w:hAnsi="宋体" w:eastAsia="宋体" w:cs="宋体"/>
                <w:b w:val="0"/>
                <w:bCs w:val="0"/>
                <w:color w:val="auto"/>
                <w:kern w:val="2"/>
                <w:sz w:val="21"/>
                <w:szCs w:val="21"/>
                <w:highlight w:val="none"/>
                <w:lang w:val="en-US" w:eastAsia="zh-CN" w:bidi="ar-SA"/>
              </w:rPr>
            </w:pPr>
            <w:r>
              <w:rPr>
                <w:rFonts w:hint="eastAsia" w:ascii="宋体" w:hAnsi="宋体" w:eastAsia="宋体" w:cs="宋体"/>
                <w:b w:val="0"/>
                <w:bCs w:val="0"/>
                <w:color w:val="auto"/>
                <w:kern w:val="2"/>
                <w:sz w:val="21"/>
                <w:szCs w:val="21"/>
                <w:highlight w:val="none"/>
                <w:lang w:val="en-US" w:eastAsia="zh-CN" w:bidi="ar-SA"/>
              </w:rPr>
              <w:t>在西津国家重要湿地范围内的塘坝、水系连通口、库汊等坑塘（原养殖塘）区域布设23处卡口智能监控机，并同步配套建设23套水域监控立杆及安装基础。具体安装点位见附图1“西津国家重要湿地保护与恢复项目监测卡口布局图”。</w:t>
            </w:r>
          </w:p>
          <w:p w14:paraId="7E9EC128">
            <w:pPr>
              <w:keepNext w:val="0"/>
              <w:keepLines w:val="0"/>
              <w:pageBreakBefore w:val="0"/>
              <w:widowControl/>
              <w:numPr>
                <w:ilvl w:val="0"/>
                <w:numId w:val="0"/>
              </w:numPr>
              <w:tabs>
                <w:tab w:val="left" w:pos="900"/>
                <w:tab w:val="left" w:pos="1080"/>
              </w:tabs>
              <w:kinsoku/>
              <w:wordWrap/>
              <w:overflowPunct/>
              <w:topLinePunct w:val="0"/>
              <w:autoSpaceDE/>
              <w:autoSpaceDN/>
              <w:bidi w:val="0"/>
              <w:adjustRightInd/>
              <w:snapToGrid/>
              <w:spacing w:line="360" w:lineRule="exact"/>
              <w:ind w:firstLine="422" w:firstLineChars="200"/>
              <w:textAlignment w:val="auto"/>
              <w:rPr>
                <w:rFonts w:hint="eastAsia" w:ascii="宋体" w:hAnsi="宋体" w:eastAsia="宋体" w:cs="宋体"/>
                <w:b/>
                <w:bCs/>
                <w:color w:val="auto"/>
                <w:szCs w:val="21"/>
                <w:highlight w:val="none"/>
                <w:lang w:val="en-US" w:eastAsia="zh-CN"/>
              </w:rPr>
            </w:pPr>
            <w:r>
              <w:rPr>
                <w:rFonts w:hint="eastAsia" w:ascii="宋体" w:hAnsi="宋体" w:eastAsia="宋体" w:cs="宋体"/>
                <w:b/>
                <w:bCs/>
                <w:color w:val="auto"/>
                <w:kern w:val="2"/>
                <w:sz w:val="21"/>
                <w:szCs w:val="21"/>
                <w:highlight w:val="none"/>
                <w:lang w:val="en-US" w:eastAsia="zh-CN" w:bidi="ar-SA"/>
              </w:rPr>
              <w:t>三、</w:t>
            </w:r>
            <w:r>
              <w:rPr>
                <w:rFonts w:hint="eastAsia" w:ascii="宋体" w:hAnsi="宋体" w:eastAsia="宋体" w:cs="宋体"/>
                <w:b/>
                <w:bCs/>
                <w:color w:val="auto"/>
                <w:szCs w:val="21"/>
                <w:highlight w:val="none"/>
                <w:lang w:val="en-US" w:eastAsia="zh-CN"/>
              </w:rPr>
              <w:t>具体建设内容</w:t>
            </w:r>
          </w:p>
          <w:p w14:paraId="4ACEBF2F">
            <w:pPr>
              <w:keepNext w:val="0"/>
              <w:keepLines w:val="0"/>
              <w:pageBreakBefore w:val="0"/>
              <w:widowControl/>
              <w:numPr>
                <w:ilvl w:val="0"/>
                <w:numId w:val="0"/>
              </w:numPr>
              <w:tabs>
                <w:tab w:val="left" w:pos="900"/>
                <w:tab w:val="left" w:pos="1080"/>
              </w:tabs>
              <w:kinsoku/>
              <w:wordWrap/>
              <w:overflowPunct/>
              <w:topLinePunct w:val="0"/>
              <w:autoSpaceDE/>
              <w:autoSpaceDN/>
              <w:bidi w:val="0"/>
              <w:adjustRightInd/>
              <w:snapToGrid/>
              <w:spacing w:line="360" w:lineRule="exact"/>
              <w:ind w:firstLine="422" w:firstLineChars="200"/>
              <w:textAlignment w:val="auto"/>
              <w:rPr>
                <w:rFonts w:hint="eastAsia" w:ascii="宋体" w:hAnsi="宋体" w:eastAsia="宋体" w:cs="宋体"/>
                <w:b/>
                <w:bCs/>
                <w:color w:val="auto"/>
                <w:szCs w:val="21"/>
                <w:highlight w:val="none"/>
                <w:lang w:val="en-US" w:eastAsia="zh-CN"/>
              </w:rPr>
            </w:pPr>
            <w:r>
              <w:rPr>
                <w:rFonts w:hint="eastAsia" w:ascii="宋体" w:hAnsi="宋体" w:eastAsia="宋体" w:cs="宋体"/>
                <w:b/>
                <w:bCs/>
                <w:color w:val="auto"/>
                <w:szCs w:val="21"/>
                <w:highlight w:val="none"/>
                <w:lang w:val="en-US" w:eastAsia="zh-CN"/>
              </w:rPr>
              <w:t>（一）人为干扰监测</w:t>
            </w:r>
          </w:p>
          <w:p w14:paraId="4E653D9C">
            <w:pPr>
              <w:keepNext w:val="0"/>
              <w:keepLines w:val="0"/>
              <w:pageBreakBefore w:val="0"/>
              <w:widowControl/>
              <w:numPr>
                <w:ilvl w:val="0"/>
                <w:numId w:val="0"/>
              </w:numPr>
              <w:tabs>
                <w:tab w:val="left" w:pos="900"/>
                <w:tab w:val="left" w:pos="1080"/>
              </w:tabs>
              <w:kinsoku/>
              <w:wordWrap/>
              <w:overflowPunct/>
              <w:topLinePunct w:val="0"/>
              <w:autoSpaceDE/>
              <w:autoSpaceDN/>
              <w:bidi w:val="0"/>
              <w:adjustRightInd/>
              <w:snapToGrid/>
              <w:spacing w:line="360" w:lineRule="exact"/>
              <w:ind w:firstLine="420" w:firstLineChars="200"/>
              <w:textAlignment w:val="auto"/>
              <w:rPr>
                <w:rFonts w:hint="default" w:ascii="宋体" w:hAnsi="宋体" w:eastAsia="宋体" w:cs="宋体"/>
                <w:b w:val="0"/>
                <w:bCs w:val="0"/>
                <w:color w:val="auto"/>
                <w:szCs w:val="21"/>
                <w:highlight w:val="none"/>
                <w:lang w:val="en-US" w:eastAsia="zh-CN"/>
              </w:rPr>
            </w:pPr>
            <w:r>
              <w:rPr>
                <w:rFonts w:hint="eastAsia" w:ascii="宋体" w:hAnsi="宋体" w:eastAsia="宋体" w:cs="宋体"/>
                <w:b w:val="0"/>
                <w:bCs w:val="0"/>
                <w:color w:val="auto"/>
                <w:szCs w:val="21"/>
                <w:highlight w:val="none"/>
                <w:lang w:val="en-US" w:eastAsia="zh-CN"/>
              </w:rPr>
              <w:t>1、</w:t>
            </w:r>
            <w:r>
              <w:rPr>
                <w:rFonts w:hint="default" w:ascii="宋体" w:hAnsi="宋体" w:eastAsia="宋体" w:cs="宋体"/>
                <w:b w:val="0"/>
                <w:bCs w:val="0"/>
                <w:color w:val="auto"/>
                <w:szCs w:val="21"/>
                <w:highlight w:val="none"/>
                <w:lang w:val="en-US" w:eastAsia="zh-CN"/>
              </w:rPr>
              <w:t>传输网络系统</w:t>
            </w:r>
          </w:p>
          <w:p w14:paraId="2A8FBE6C">
            <w:pPr>
              <w:keepNext w:val="0"/>
              <w:keepLines w:val="0"/>
              <w:pageBreakBefore w:val="0"/>
              <w:widowControl/>
              <w:numPr>
                <w:ilvl w:val="0"/>
                <w:numId w:val="0"/>
              </w:numPr>
              <w:tabs>
                <w:tab w:val="left" w:pos="900"/>
                <w:tab w:val="left" w:pos="1080"/>
              </w:tabs>
              <w:kinsoku/>
              <w:wordWrap/>
              <w:overflowPunct/>
              <w:topLinePunct w:val="0"/>
              <w:autoSpaceDE/>
              <w:autoSpaceDN/>
              <w:bidi w:val="0"/>
              <w:adjustRightInd/>
              <w:snapToGrid/>
              <w:spacing w:line="360" w:lineRule="exact"/>
              <w:ind w:firstLine="420" w:firstLineChars="200"/>
              <w:textAlignment w:val="auto"/>
              <w:rPr>
                <w:rFonts w:hint="default" w:ascii="宋体" w:hAnsi="宋体" w:eastAsia="宋体" w:cs="宋体"/>
                <w:b w:val="0"/>
                <w:bCs w:val="0"/>
                <w:color w:val="auto"/>
                <w:szCs w:val="21"/>
                <w:highlight w:val="none"/>
                <w:lang w:val="en-US" w:eastAsia="zh-CN"/>
              </w:rPr>
            </w:pPr>
            <w:r>
              <w:rPr>
                <w:rFonts w:hint="default" w:ascii="宋体" w:hAnsi="宋体" w:eastAsia="宋体" w:cs="宋体"/>
                <w:b w:val="0"/>
                <w:bCs w:val="0"/>
                <w:color w:val="auto"/>
                <w:szCs w:val="21"/>
                <w:highlight w:val="none"/>
                <w:lang w:val="en-US" w:eastAsia="zh-CN"/>
              </w:rPr>
              <w:t>本次项目采用无线网络传输监控数据，实现 24 小时不间断地监控目标，提供全面的安全保障。</w:t>
            </w:r>
          </w:p>
          <w:p w14:paraId="283D446C">
            <w:pPr>
              <w:keepNext w:val="0"/>
              <w:keepLines w:val="0"/>
              <w:pageBreakBefore w:val="0"/>
              <w:widowControl/>
              <w:numPr>
                <w:ilvl w:val="0"/>
                <w:numId w:val="0"/>
              </w:numPr>
              <w:tabs>
                <w:tab w:val="left" w:pos="900"/>
                <w:tab w:val="left" w:pos="1080"/>
              </w:tabs>
              <w:kinsoku/>
              <w:wordWrap/>
              <w:overflowPunct/>
              <w:topLinePunct w:val="0"/>
              <w:autoSpaceDE/>
              <w:autoSpaceDN/>
              <w:bidi w:val="0"/>
              <w:adjustRightInd/>
              <w:snapToGrid/>
              <w:spacing w:line="360" w:lineRule="exact"/>
              <w:ind w:firstLine="420" w:firstLineChars="200"/>
              <w:textAlignment w:val="auto"/>
              <w:rPr>
                <w:rFonts w:hint="default" w:ascii="宋体" w:hAnsi="宋体" w:eastAsia="宋体" w:cs="宋体"/>
                <w:b w:val="0"/>
                <w:bCs w:val="0"/>
                <w:color w:val="auto"/>
                <w:szCs w:val="21"/>
                <w:highlight w:val="none"/>
                <w:lang w:val="en-US" w:eastAsia="zh-CN"/>
              </w:rPr>
            </w:pPr>
            <w:r>
              <w:rPr>
                <w:rFonts w:hint="eastAsia" w:ascii="宋体" w:hAnsi="宋体" w:eastAsia="宋体" w:cs="宋体"/>
                <w:b w:val="0"/>
                <w:bCs w:val="0"/>
                <w:color w:val="auto"/>
                <w:szCs w:val="21"/>
                <w:highlight w:val="none"/>
                <w:lang w:val="en-US" w:eastAsia="zh-CN"/>
              </w:rPr>
              <w:t>2、</w:t>
            </w:r>
            <w:r>
              <w:rPr>
                <w:rFonts w:hint="default" w:ascii="宋体" w:hAnsi="宋体" w:eastAsia="宋体" w:cs="宋体"/>
                <w:b w:val="0"/>
                <w:bCs w:val="0"/>
                <w:color w:val="auto"/>
                <w:szCs w:val="21"/>
                <w:highlight w:val="none"/>
                <w:lang w:val="en-US" w:eastAsia="zh-CN"/>
              </w:rPr>
              <w:t>视频存储方式</w:t>
            </w:r>
          </w:p>
          <w:p w14:paraId="4149428A">
            <w:pPr>
              <w:keepNext w:val="0"/>
              <w:keepLines w:val="0"/>
              <w:pageBreakBefore w:val="0"/>
              <w:widowControl/>
              <w:numPr>
                <w:ilvl w:val="0"/>
                <w:numId w:val="0"/>
              </w:numPr>
              <w:tabs>
                <w:tab w:val="left" w:pos="900"/>
                <w:tab w:val="left" w:pos="1080"/>
              </w:tabs>
              <w:kinsoku/>
              <w:wordWrap/>
              <w:overflowPunct/>
              <w:topLinePunct w:val="0"/>
              <w:autoSpaceDE/>
              <w:autoSpaceDN/>
              <w:bidi w:val="0"/>
              <w:adjustRightInd/>
              <w:snapToGrid/>
              <w:spacing w:line="360" w:lineRule="exact"/>
              <w:ind w:firstLine="420" w:firstLineChars="200"/>
              <w:textAlignment w:val="auto"/>
              <w:rPr>
                <w:rFonts w:hint="default" w:ascii="宋体" w:hAnsi="宋体" w:eastAsia="宋体" w:cs="宋体"/>
                <w:b w:val="0"/>
                <w:bCs w:val="0"/>
                <w:color w:val="auto"/>
                <w:szCs w:val="21"/>
                <w:highlight w:val="none"/>
                <w:lang w:val="en-US" w:eastAsia="zh-CN"/>
              </w:rPr>
            </w:pPr>
            <w:r>
              <w:rPr>
                <w:rFonts w:hint="default" w:ascii="宋体" w:hAnsi="宋体" w:eastAsia="宋体" w:cs="宋体"/>
                <w:b w:val="0"/>
                <w:bCs w:val="0"/>
                <w:color w:val="auto"/>
                <w:szCs w:val="21"/>
                <w:highlight w:val="none"/>
                <w:lang w:val="en-US" w:eastAsia="zh-CN"/>
              </w:rPr>
              <w:t>视频前端采用存储卡本地存储、通过 APP 远程查看和回放视频，可支持后端接入硬盘录像机存储。</w:t>
            </w:r>
          </w:p>
          <w:p w14:paraId="30807022">
            <w:pPr>
              <w:keepNext w:val="0"/>
              <w:keepLines w:val="0"/>
              <w:pageBreakBefore w:val="0"/>
              <w:widowControl/>
              <w:numPr>
                <w:ilvl w:val="0"/>
                <w:numId w:val="0"/>
              </w:numPr>
              <w:tabs>
                <w:tab w:val="left" w:pos="900"/>
                <w:tab w:val="left" w:pos="1080"/>
              </w:tabs>
              <w:kinsoku/>
              <w:wordWrap/>
              <w:overflowPunct/>
              <w:topLinePunct w:val="0"/>
              <w:autoSpaceDE/>
              <w:autoSpaceDN/>
              <w:bidi w:val="0"/>
              <w:adjustRightInd/>
              <w:snapToGrid/>
              <w:spacing w:line="360" w:lineRule="exact"/>
              <w:ind w:firstLine="420" w:firstLineChars="200"/>
              <w:textAlignment w:val="auto"/>
              <w:rPr>
                <w:rFonts w:hint="default" w:ascii="宋体" w:hAnsi="宋体" w:eastAsia="宋体" w:cs="宋体"/>
                <w:b w:val="0"/>
                <w:bCs w:val="0"/>
                <w:color w:val="auto"/>
                <w:szCs w:val="21"/>
                <w:highlight w:val="none"/>
                <w:lang w:val="en-US" w:eastAsia="zh-CN"/>
              </w:rPr>
            </w:pPr>
            <w:r>
              <w:rPr>
                <w:rFonts w:hint="eastAsia" w:ascii="宋体" w:hAnsi="宋体" w:eastAsia="宋体" w:cs="宋体"/>
                <w:b w:val="0"/>
                <w:bCs w:val="0"/>
                <w:color w:val="auto"/>
                <w:szCs w:val="21"/>
                <w:highlight w:val="none"/>
                <w:lang w:val="en-US" w:eastAsia="zh-CN"/>
              </w:rPr>
              <w:t>3、</w:t>
            </w:r>
            <w:r>
              <w:rPr>
                <w:rFonts w:hint="default" w:ascii="宋体" w:hAnsi="宋体" w:eastAsia="宋体" w:cs="宋体"/>
                <w:b w:val="0"/>
                <w:bCs w:val="0"/>
                <w:color w:val="auto"/>
                <w:szCs w:val="21"/>
                <w:highlight w:val="none"/>
                <w:lang w:val="en-US" w:eastAsia="zh-CN"/>
              </w:rPr>
              <w:t>供电系统</w:t>
            </w:r>
          </w:p>
          <w:p w14:paraId="107E345D">
            <w:pPr>
              <w:keepNext w:val="0"/>
              <w:keepLines w:val="0"/>
              <w:pageBreakBefore w:val="0"/>
              <w:widowControl/>
              <w:numPr>
                <w:ilvl w:val="0"/>
                <w:numId w:val="0"/>
              </w:numPr>
              <w:tabs>
                <w:tab w:val="left" w:pos="900"/>
                <w:tab w:val="left" w:pos="1080"/>
              </w:tabs>
              <w:kinsoku/>
              <w:wordWrap/>
              <w:overflowPunct/>
              <w:topLinePunct w:val="0"/>
              <w:autoSpaceDE/>
              <w:autoSpaceDN/>
              <w:bidi w:val="0"/>
              <w:adjustRightInd/>
              <w:snapToGrid/>
              <w:spacing w:line="360" w:lineRule="exact"/>
              <w:ind w:firstLine="420" w:firstLineChars="200"/>
              <w:textAlignment w:val="auto"/>
              <w:rPr>
                <w:rFonts w:hint="default" w:ascii="宋体" w:hAnsi="宋体" w:eastAsia="宋体" w:cs="宋体"/>
                <w:b w:val="0"/>
                <w:bCs w:val="0"/>
                <w:color w:val="auto"/>
                <w:szCs w:val="21"/>
                <w:highlight w:val="none"/>
                <w:lang w:val="en-US" w:eastAsia="zh-CN"/>
              </w:rPr>
            </w:pPr>
            <w:r>
              <w:rPr>
                <w:rFonts w:hint="default" w:ascii="宋体" w:hAnsi="宋体" w:eastAsia="宋体" w:cs="宋体"/>
                <w:b w:val="0"/>
                <w:bCs w:val="0"/>
                <w:color w:val="auto"/>
                <w:szCs w:val="21"/>
                <w:highlight w:val="none"/>
                <w:lang w:val="en-US" w:eastAsia="zh-CN"/>
              </w:rPr>
              <w:t>供电系统的稳定供给是园林防护前端探测设备可靠运行的基础保障。湿地公园前端监测站点一般处于户外，宜全部采用太阳能供电系统。为保证设备持续稳定运行，应根据前端监控设备的实际负载及连续阴雨等工况，合理增配电池容量，确保电池容量达到监控设备所需能量要求。本项目建议在现有太阳能供电系统基础上，根据负载情况进行电池容量增加配置，使储能容量充分满足监控设备运行所需能量。</w:t>
            </w:r>
          </w:p>
          <w:p w14:paraId="71F75FE7">
            <w:pPr>
              <w:keepNext w:val="0"/>
              <w:keepLines w:val="0"/>
              <w:pageBreakBefore w:val="0"/>
              <w:widowControl/>
              <w:numPr>
                <w:ilvl w:val="0"/>
                <w:numId w:val="0"/>
              </w:numPr>
              <w:tabs>
                <w:tab w:val="left" w:pos="900"/>
                <w:tab w:val="left" w:pos="1080"/>
              </w:tabs>
              <w:kinsoku/>
              <w:wordWrap/>
              <w:overflowPunct/>
              <w:topLinePunct w:val="0"/>
              <w:autoSpaceDE/>
              <w:autoSpaceDN/>
              <w:bidi w:val="0"/>
              <w:adjustRightInd/>
              <w:snapToGrid/>
              <w:spacing w:line="360" w:lineRule="exact"/>
              <w:ind w:firstLine="420" w:firstLineChars="200"/>
              <w:textAlignment w:val="auto"/>
              <w:rPr>
                <w:rFonts w:hint="default" w:ascii="宋体" w:hAnsi="宋体" w:eastAsia="宋体" w:cs="宋体"/>
                <w:b w:val="0"/>
                <w:bCs w:val="0"/>
                <w:color w:val="auto"/>
                <w:szCs w:val="21"/>
                <w:highlight w:val="none"/>
                <w:lang w:val="en-US" w:eastAsia="zh-CN"/>
              </w:rPr>
            </w:pPr>
            <w:r>
              <w:rPr>
                <w:rFonts w:hint="default" w:ascii="宋体" w:hAnsi="宋体" w:eastAsia="宋体" w:cs="宋体"/>
                <w:b w:val="0"/>
                <w:bCs w:val="0"/>
                <w:color w:val="auto"/>
                <w:szCs w:val="21"/>
                <w:highlight w:val="none"/>
                <w:lang w:val="en-US" w:eastAsia="zh-CN"/>
              </w:rPr>
              <w:t>4、水域监控立杆及安装基础</w:t>
            </w:r>
          </w:p>
          <w:p w14:paraId="57FC528A">
            <w:pPr>
              <w:keepNext w:val="0"/>
              <w:keepLines w:val="0"/>
              <w:pageBreakBefore w:val="0"/>
              <w:widowControl/>
              <w:numPr>
                <w:ilvl w:val="0"/>
                <w:numId w:val="0"/>
              </w:numPr>
              <w:tabs>
                <w:tab w:val="left" w:pos="900"/>
                <w:tab w:val="left" w:pos="1080"/>
              </w:tabs>
              <w:kinsoku/>
              <w:wordWrap/>
              <w:overflowPunct/>
              <w:topLinePunct w:val="0"/>
              <w:autoSpaceDE/>
              <w:autoSpaceDN/>
              <w:bidi w:val="0"/>
              <w:adjustRightInd/>
              <w:snapToGrid/>
              <w:spacing w:line="360" w:lineRule="exact"/>
              <w:ind w:firstLine="420" w:firstLineChars="200"/>
              <w:textAlignment w:val="auto"/>
              <w:rPr>
                <w:rFonts w:hint="default" w:ascii="宋体" w:hAnsi="宋体" w:eastAsia="宋体" w:cs="宋体"/>
                <w:b w:val="0"/>
                <w:bCs w:val="0"/>
                <w:color w:val="auto"/>
                <w:szCs w:val="21"/>
                <w:highlight w:val="none"/>
                <w:lang w:val="en-US" w:eastAsia="zh-CN"/>
              </w:rPr>
            </w:pPr>
            <w:r>
              <w:rPr>
                <w:rFonts w:hint="default" w:ascii="宋体" w:hAnsi="宋体" w:eastAsia="宋体" w:cs="宋体"/>
                <w:b w:val="0"/>
                <w:bCs w:val="0"/>
                <w:color w:val="auto"/>
                <w:szCs w:val="21"/>
                <w:highlight w:val="none"/>
                <w:lang w:val="en-US" w:eastAsia="zh-CN"/>
              </w:rPr>
              <w:t>本项目23处智能监控机主要布设于塘坝、水系连通口、库汊等坑塘水域，大部分安装点位位于水上或近水区域。为保障智能监控机、太阳能供电系统及无线传输设备稳定安装与运行，须配套建设水域监控立杆及安装基础，具体要求如下：</w:t>
            </w:r>
          </w:p>
          <w:p w14:paraId="65C98C5F">
            <w:pPr>
              <w:keepNext w:val="0"/>
              <w:keepLines w:val="0"/>
              <w:pageBreakBefore w:val="0"/>
              <w:widowControl/>
              <w:numPr>
                <w:ilvl w:val="0"/>
                <w:numId w:val="0"/>
              </w:numPr>
              <w:tabs>
                <w:tab w:val="left" w:pos="900"/>
                <w:tab w:val="left" w:pos="1080"/>
              </w:tabs>
              <w:kinsoku/>
              <w:wordWrap/>
              <w:overflowPunct/>
              <w:topLinePunct w:val="0"/>
              <w:autoSpaceDE/>
              <w:autoSpaceDN/>
              <w:bidi w:val="0"/>
              <w:adjustRightInd/>
              <w:snapToGrid/>
              <w:spacing w:line="360" w:lineRule="exact"/>
              <w:ind w:firstLine="420" w:firstLineChars="200"/>
              <w:textAlignment w:val="auto"/>
              <w:rPr>
                <w:rFonts w:hint="default" w:ascii="宋体" w:hAnsi="宋体" w:eastAsia="宋体" w:cs="宋体"/>
                <w:b w:val="0"/>
                <w:bCs w:val="0"/>
                <w:color w:val="auto"/>
                <w:szCs w:val="21"/>
                <w:highlight w:val="none"/>
                <w:lang w:val="en-US" w:eastAsia="zh-CN"/>
              </w:rPr>
            </w:pPr>
            <w:r>
              <w:rPr>
                <w:rFonts w:hint="default" w:ascii="宋体" w:hAnsi="宋体" w:eastAsia="宋体" w:cs="宋体"/>
                <w:b w:val="0"/>
                <w:bCs w:val="0"/>
                <w:color w:val="auto"/>
                <w:szCs w:val="21"/>
                <w:highlight w:val="none"/>
                <w:lang w:val="en-US" w:eastAsia="zh-CN"/>
              </w:rPr>
              <w:t>（1）水域监控立杆数量为23套，与23处监测卡口智能监控机配套，具体点位见附图1“西津国家重要湿地保护与恢复项目监测卡口布局图”。</w:t>
            </w:r>
          </w:p>
          <w:p w14:paraId="7161C574">
            <w:pPr>
              <w:keepNext w:val="0"/>
              <w:keepLines w:val="0"/>
              <w:pageBreakBefore w:val="0"/>
              <w:widowControl/>
              <w:numPr>
                <w:ilvl w:val="0"/>
                <w:numId w:val="0"/>
              </w:numPr>
              <w:tabs>
                <w:tab w:val="left" w:pos="900"/>
                <w:tab w:val="left" w:pos="1080"/>
              </w:tabs>
              <w:kinsoku/>
              <w:wordWrap/>
              <w:overflowPunct/>
              <w:topLinePunct w:val="0"/>
              <w:autoSpaceDE/>
              <w:autoSpaceDN/>
              <w:bidi w:val="0"/>
              <w:adjustRightInd/>
              <w:snapToGrid/>
              <w:spacing w:line="360" w:lineRule="exact"/>
              <w:ind w:firstLine="420" w:firstLineChars="200"/>
              <w:textAlignment w:val="auto"/>
              <w:rPr>
                <w:rFonts w:hint="default" w:ascii="宋体" w:hAnsi="宋体" w:eastAsia="宋体" w:cs="宋体"/>
                <w:b w:val="0"/>
                <w:bCs w:val="0"/>
                <w:color w:val="auto"/>
                <w:szCs w:val="21"/>
                <w:highlight w:val="none"/>
                <w:lang w:val="en-US" w:eastAsia="zh-CN"/>
              </w:rPr>
            </w:pPr>
            <w:r>
              <w:rPr>
                <w:rFonts w:hint="default" w:ascii="宋体" w:hAnsi="宋体" w:eastAsia="宋体" w:cs="宋体"/>
                <w:b w:val="0"/>
                <w:bCs w:val="0"/>
                <w:color w:val="auto"/>
                <w:szCs w:val="21"/>
                <w:highlight w:val="none"/>
                <w:lang w:val="en-US" w:eastAsia="zh-CN"/>
              </w:rPr>
              <w:t>（2）立杆应采用热镀锌钢制立杆或不锈钢立杆，杆体高度根据现场监控覆盖范围和水位确定，一般不低于6m，设备安装高度应高于当地最高水位不少于1.0m。立杆应设置法兰或抱箍安装接口，满足智能监控机、太阳能板、电池箱、无线传输设备、防雷器等一体化安装要求。</w:t>
            </w:r>
          </w:p>
          <w:p w14:paraId="263213F2">
            <w:pPr>
              <w:keepNext w:val="0"/>
              <w:keepLines w:val="0"/>
              <w:pageBreakBefore w:val="0"/>
              <w:widowControl/>
              <w:numPr>
                <w:ilvl w:val="0"/>
                <w:numId w:val="0"/>
              </w:numPr>
              <w:tabs>
                <w:tab w:val="left" w:pos="900"/>
                <w:tab w:val="left" w:pos="1080"/>
              </w:tabs>
              <w:kinsoku/>
              <w:wordWrap/>
              <w:overflowPunct/>
              <w:topLinePunct w:val="0"/>
              <w:autoSpaceDE/>
              <w:autoSpaceDN/>
              <w:bidi w:val="0"/>
              <w:adjustRightInd/>
              <w:snapToGrid/>
              <w:spacing w:line="360" w:lineRule="exact"/>
              <w:ind w:firstLine="420" w:firstLineChars="200"/>
              <w:textAlignment w:val="auto"/>
              <w:rPr>
                <w:rFonts w:hint="default" w:ascii="宋体" w:hAnsi="宋体" w:eastAsia="宋体" w:cs="宋体"/>
                <w:b w:val="0"/>
                <w:bCs w:val="0"/>
                <w:color w:val="auto"/>
                <w:szCs w:val="21"/>
                <w:highlight w:val="none"/>
                <w:lang w:val="en-US" w:eastAsia="zh-CN"/>
              </w:rPr>
            </w:pPr>
            <w:r>
              <w:rPr>
                <w:rFonts w:hint="default" w:ascii="宋体" w:hAnsi="宋体" w:eastAsia="宋体" w:cs="宋体"/>
                <w:b w:val="0"/>
                <w:bCs w:val="0"/>
                <w:color w:val="auto"/>
                <w:szCs w:val="21"/>
                <w:highlight w:val="none"/>
                <w:lang w:val="en-US" w:eastAsia="zh-CN"/>
              </w:rPr>
              <w:t>（3）杆体壁厚应不小于4mm，热镀锌层厚度不小于65μm，表面进行喷塑或氟碳防腐处理，适应湿地高湿、多雨、易腐蚀环境。因立杆高度不低于6m，杆体壁厚、基础尺寸及配重应经受力计算确定，立杆应满足不小于12级抗风要求，具体按当地基本风压和现场条件校核。</w:t>
            </w:r>
          </w:p>
          <w:p w14:paraId="0A7CB57E">
            <w:pPr>
              <w:keepNext w:val="0"/>
              <w:keepLines w:val="0"/>
              <w:pageBreakBefore w:val="0"/>
              <w:widowControl/>
              <w:numPr>
                <w:ilvl w:val="0"/>
                <w:numId w:val="0"/>
              </w:numPr>
              <w:tabs>
                <w:tab w:val="left" w:pos="900"/>
                <w:tab w:val="left" w:pos="1080"/>
              </w:tabs>
              <w:kinsoku/>
              <w:wordWrap/>
              <w:overflowPunct/>
              <w:topLinePunct w:val="0"/>
              <w:autoSpaceDE/>
              <w:autoSpaceDN/>
              <w:bidi w:val="0"/>
              <w:adjustRightInd/>
              <w:snapToGrid/>
              <w:spacing w:line="360" w:lineRule="exact"/>
              <w:ind w:firstLine="420" w:firstLineChars="200"/>
              <w:textAlignment w:val="auto"/>
              <w:rPr>
                <w:rFonts w:hint="default" w:ascii="宋体" w:hAnsi="宋体" w:eastAsia="宋体" w:cs="宋体"/>
                <w:b w:val="0"/>
                <w:bCs w:val="0"/>
                <w:color w:val="auto"/>
                <w:szCs w:val="21"/>
                <w:highlight w:val="none"/>
                <w:lang w:val="en-US" w:eastAsia="zh-CN"/>
              </w:rPr>
            </w:pPr>
            <w:r>
              <w:rPr>
                <w:rFonts w:hint="default" w:ascii="宋体" w:hAnsi="宋体" w:eastAsia="宋体" w:cs="宋体"/>
                <w:b w:val="0"/>
                <w:bCs w:val="0"/>
                <w:color w:val="auto"/>
                <w:szCs w:val="21"/>
                <w:highlight w:val="none"/>
                <w:lang w:val="en-US" w:eastAsia="zh-CN"/>
              </w:rPr>
              <w:t>（4）基础形式应根据水深、底质、水位变化和受力计算确定。水中基础可采用钢管桩基础或灌注桩基础；浅水区或近岸区域可采用钢筋混凝土基础或预制混凝土配重基础。基础应稳定可靠，具备抗倾覆、抗冲刷能力，施工不得影响水系连通和湿地生态，不得永久破坏原生植被。</w:t>
            </w:r>
          </w:p>
          <w:p w14:paraId="20F7381A">
            <w:pPr>
              <w:keepNext w:val="0"/>
              <w:keepLines w:val="0"/>
              <w:pageBreakBefore w:val="0"/>
              <w:widowControl/>
              <w:numPr>
                <w:ilvl w:val="0"/>
                <w:numId w:val="0"/>
              </w:numPr>
              <w:tabs>
                <w:tab w:val="left" w:pos="900"/>
                <w:tab w:val="left" w:pos="1080"/>
              </w:tabs>
              <w:kinsoku/>
              <w:wordWrap/>
              <w:overflowPunct/>
              <w:topLinePunct w:val="0"/>
              <w:autoSpaceDE/>
              <w:autoSpaceDN/>
              <w:bidi w:val="0"/>
              <w:adjustRightInd/>
              <w:snapToGrid/>
              <w:spacing w:line="360" w:lineRule="exact"/>
              <w:ind w:firstLine="420" w:firstLineChars="200"/>
              <w:textAlignment w:val="auto"/>
              <w:rPr>
                <w:rFonts w:hint="default" w:ascii="宋体" w:hAnsi="宋体" w:eastAsia="宋体" w:cs="宋体"/>
                <w:b w:val="0"/>
                <w:bCs w:val="0"/>
                <w:color w:val="auto"/>
                <w:szCs w:val="21"/>
                <w:highlight w:val="none"/>
                <w:lang w:val="en-US" w:eastAsia="zh-CN"/>
              </w:rPr>
            </w:pPr>
            <w:r>
              <w:rPr>
                <w:rFonts w:hint="default" w:ascii="宋体" w:hAnsi="宋体" w:eastAsia="宋体" w:cs="宋体"/>
                <w:b w:val="0"/>
                <w:bCs w:val="0"/>
                <w:color w:val="auto"/>
                <w:szCs w:val="21"/>
                <w:highlight w:val="none"/>
                <w:lang w:val="en-US" w:eastAsia="zh-CN"/>
              </w:rPr>
              <w:t>（5）水域监控立杆应设置防雷接地系统。立杆顶部设避雷针，设备箱内设电源、信号浪涌保护器，接地电阻应不大于4Ω；可利用钢管桩作为自然接地体，或增设水下接地网、接地模块。所有线缆应穿管固定，接头做防水处理，电池箱、设备箱防护等级不低于IP65。</w:t>
            </w:r>
          </w:p>
          <w:p w14:paraId="0388501E">
            <w:pPr>
              <w:keepNext w:val="0"/>
              <w:keepLines w:val="0"/>
              <w:pageBreakBefore w:val="0"/>
              <w:widowControl/>
              <w:numPr>
                <w:ilvl w:val="0"/>
                <w:numId w:val="0"/>
              </w:numPr>
              <w:tabs>
                <w:tab w:val="left" w:pos="900"/>
                <w:tab w:val="left" w:pos="1080"/>
              </w:tabs>
              <w:kinsoku/>
              <w:wordWrap/>
              <w:overflowPunct/>
              <w:topLinePunct w:val="0"/>
              <w:autoSpaceDE/>
              <w:autoSpaceDN/>
              <w:bidi w:val="0"/>
              <w:adjustRightInd/>
              <w:snapToGrid/>
              <w:spacing w:line="360" w:lineRule="exact"/>
              <w:ind w:firstLine="420" w:firstLineChars="200"/>
              <w:textAlignment w:val="auto"/>
              <w:rPr>
                <w:rFonts w:hint="default" w:ascii="宋体" w:hAnsi="宋体" w:eastAsia="宋体" w:cs="宋体"/>
                <w:b w:val="0"/>
                <w:bCs w:val="0"/>
                <w:color w:val="auto"/>
                <w:szCs w:val="21"/>
                <w:highlight w:val="none"/>
                <w:lang w:val="en-US" w:eastAsia="zh-CN"/>
              </w:rPr>
            </w:pPr>
            <w:r>
              <w:rPr>
                <w:rFonts w:hint="default" w:ascii="宋体" w:hAnsi="宋体" w:eastAsia="宋体" w:cs="宋体"/>
                <w:b w:val="0"/>
                <w:bCs w:val="0"/>
                <w:color w:val="auto"/>
                <w:szCs w:val="21"/>
                <w:highlight w:val="none"/>
                <w:lang w:val="en-US" w:eastAsia="zh-CN"/>
              </w:rPr>
              <w:t>（6）水域监控立杆应预留太阳能板安装支架，太阳能板朝向、倾角按当地纬度优化，避免遮挡。电池容量应按监控设备实际负载及连续阴雨工况配置，确保电池容量达到监控设备所需能量要求。立杆应设置检修爬梯或检修平台，便于后期维护、巡检和应急抢修。</w:t>
            </w:r>
          </w:p>
          <w:p w14:paraId="7DCEE854">
            <w:pPr>
              <w:keepNext w:val="0"/>
              <w:keepLines w:val="0"/>
              <w:pageBreakBefore w:val="0"/>
              <w:widowControl/>
              <w:numPr>
                <w:ilvl w:val="0"/>
                <w:numId w:val="0"/>
              </w:numPr>
              <w:tabs>
                <w:tab w:val="left" w:pos="900"/>
                <w:tab w:val="left" w:pos="1080"/>
              </w:tabs>
              <w:kinsoku/>
              <w:wordWrap/>
              <w:overflowPunct/>
              <w:topLinePunct w:val="0"/>
              <w:autoSpaceDE/>
              <w:autoSpaceDN/>
              <w:bidi w:val="0"/>
              <w:adjustRightInd/>
              <w:snapToGrid/>
              <w:spacing w:line="360" w:lineRule="exact"/>
              <w:ind w:firstLine="420" w:firstLineChars="200"/>
              <w:textAlignment w:val="auto"/>
              <w:rPr>
                <w:rFonts w:hint="default" w:ascii="宋体" w:hAnsi="宋体" w:eastAsia="宋体" w:cs="宋体"/>
                <w:b w:val="0"/>
                <w:bCs w:val="0"/>
                <w:color w:val="auto"/>
                <w:szCs w:val="21"/>
                <w:highlight w:val="none"/>
                <w:lang w:val="en-US" w:eastAsia="zh-CN"/>
              </w:rPr>
            </w:pPr>
            <w:r>
              <w:rPr>
                <w:rFonts w:hint="default" w:ascii="宋体" w:hAnsi="宋体" w:eastAsia="宋体" w:cs="宋体"/>
                <w:b w:val="0"/>
                <w:bCs w:val="0"/>
                <w:color w:val="auto"/>
                <w:szCs w:val="21"/>
                <w:highlight w:val="none"/>
                <w:lang w:val="en-US" w:eastAsia="zh-CN"/>
              </w:rPr>
              <w:t>（7）水上施工应采取围挡、泥浆收集、废弃物清运等措施，避免污染水体；施工时间宜避开鸟类繁殖期和鱼类繁殖期，减少对湿地野生动物的干扰。</w:t>
            </w:r>
          </w:p>
          <w:p w14:paraId="2399DC5B">
            <w:pPr>
              <w:keepNext w:val="0"/>
              <w:keepLines w:val="0"/>
              <w:pageBreakBefore w:val="0"/>
              <w:widowControl/>
              <w:numPr>
                <w:ilvl w:val="0"/>
                <w:numId w:val="0"/>
              </w:numPr>
              <w:tabs>
                <w:tab w:val="left" w:pos="900"/>
                <w:tab w:val="left" w:pos="1080"/>
              </w:tabs>
              <w:kinsoku/>
              <w:wordWrap/>
              <w:overflowPunct/>
              <w:topLinePunct w:val="0"/>
              <w:autoSpaceDE/>
              <w:autoSpaceDN/>
              <w:bidi w:val="0"/>
              <w:adjustRightInd/>
              <w:snapToGrid/>
              <w:spacing w:line="360" w:lineRule="exact"/>
              <w:ind w:firstLine="420" w:firstLineChars="200"/>
              <w:textAlignment w:val="auto"/>
              <w:rPr>
                <w:rFonts w:hint="default" w:ascii="宋体" w:hAnsi="宋体" w:eastAsia="宋体" w:cs="宋体"/>
                <w:b w:val="0"/>
                <w:bCs w:val="0"/>
                <w:color w:val="auto"/>
                <w:szCs w:val="21"/>
                <w:highlight w:val="none"/>
                <w:lang w:val="en-US" w:eastAsia="zh-CN"/>
              </w:rPr>
            </w:pPr>
            <w:r>
              <w:rPr>
                <w:rFonts w:hint="default" w:ascii="宋体" w:hAnsi="宋体" w:eastAsia="宋体" w:cs="宋体"/>
                <w:b w:val="0"/>
                <w:bCs w:val="0"/>
                <w:color w:val="auto"/>
                <w:szCs w:val="21"/>
                <w:highlight w:val="none"/>
                <w:lang w:val="en-US" w:eastAsia="zh-CN"/>
              </w:rPr>
              <w:t>（8）验收时，水域监控立杆应垂直、牢固，焊缝饱满，防腐完好，防雷接地检测合格，太阳能供电系统连续供电能力满足监控设备运行所需能量要求。</w:t>
            </w:r>
          </w:p>
          <w:p w14:paraId="6C0C24C5">
            <w:pPr>
              <w:pStyle w:val="14"/>
              <w:spacing w:before="1" w:line="216" w:lineRule="auto"/>
              <w:jc w:val="center"/>
              <w:rPr>
                <w:rFonts w:hint="eastAsia" w:ascii="宋体" w:hAnsi="宋体" w:eastAsia="宋体" w:cs="宋体"/>
                <w:color w:val="auto"/>
                <w:highlight w:val="none"/>
              </w:rPr>
            </w:pPr>
            <w:r>
              <w:rPr>
                <w:rFonts w:hint="eastAsia" w:ascii="宋体" w:hAnsi="宋体" w:eastAsia="宋体" w:cs="宋体"/>
                <w:b/>
                <w:bCs/>
                <w:color w:val="auto"/>
                <w:sz w:val="21"/>
                <w:szCs w:val="21"/>
                <w:highlight w:val="none"/>
                <w:lang w:val="en-US" w:eastAsia="zh-CN"/>
              </w:rPr>
              <w:t>●</w:t>
            </w:r>
            <w:r>
              <w:rPr>
                <w:rFonts w:hint="eastAsia" w:ascii="宋体" w:hAnsi="宋体" w:eastAsia="宋体" w:cs="宋体"/>
                <w:b/>
                <w:bCs/>
                <w:color w:val="auto"/>
                <w:spacing w:val="7"/>
                <w:highlight w:val="none"/>
              </w:rPr>
              <w:t>表</w:t>
            </w:r>
            <w:r>
              <w:rPr>
                <w:rFonts w:hint="eastAsia" w:ascii="宋体" w:hAnsi="宋体" w:eastAsia="宋体" w:cs="宋体"/>
                <w:color w:val="auto"/>
                <w:spacing w:val="-38"/>
                <w:highlight w:val="none"/>
              </w:rPr>
              <w:t xml:space="preserve"> </w:t>
            </w:r>
            <w:r>
              <w:rPr>
                <w:rFonts w:hint="eastAsia" w:ascii="宋体" w:hAnsi="宋体" w:eastAsia="宋体" w:cs="宋体"/>
                <w:b/>
                <w:bCs/>
                <w:color w:val="auto"/>
                <w:spacing w:val="7"/>
                <w:highlight w:val="none"/>
              </w:rPr>
              <w:t>3.3-1  人为干扰监测主要设备一览表</w:t>
            </w:r>
          </w:p>
          <w:tbl>
            <w:tblPr>
              <w:tblStyle w:val="121"/>
              <w:tblW w:w="5188" w:type="dxa"/>
              <w:jc w:val="right"/>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702"/>
              <w:gridCol w:w="491"/>
              <w:gridCol w:w="559"/>
              <w:gridCol w:w="2247"/>
              <w:gridCol w:w="1189"/>
            </w:tblGrid>
            <w:tr w14:paraId="412E6EB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 w:hRule="atLeast"/>
                <w:jc w:val="right"/>
              </w:trPr>
              <w:tc>
                <w:tcPr>
                  <w:tcW w:w="702" w:type="dxa"/>
                  <w:vAlign w:val="center"/>
                </w:tcPr>
                <w:p w14:paraId="3864FB01">
                  <w:pPr>
                    <w:bidi w:val="0"/>
                    <w:spacing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设备名称</w:t>
                  </w:r>
                </w:p>
              </w:tc>
              <w:tc>
                <w:tcPr>
                  <w:tcW w:w="491" w:type="dxa"/>
                  <w:vAlign w:val="center"/>
                </w:tcPr>
                <w:p w14:paraId="67CEA689">
                  <w:pPr>
                    <w:bidi w:val="0"/>
                    <w:spacing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数量</w:t>
                  </w:r>
                </w:p>
              </w:tc>
              <w:tc>
                <w:tcPr>
                  <w:tcW w:w="559" w:type="dxa"/>
                  <w:vAlign w:val="center"/>
                </w:tcPr>
                <w:p w14:paraId="3E15381C">
                  <w:pPr>
                    <w:bidi w:val="0"/>
                    <w:spacing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单位</w:t>
                  </w:r>
                </w:p>
              </w:tc>
              <w:tc>
                <w:tcPr>
                  <w:tcW w:w="2247" w:type="dxa"/>
                  <w:vAlign w:val="center"/>
                </w:tcPr>
                <w:p w14:paraId="7573D1D2">
                  <w:pPr>
                    <w:bidi w:val="0"/>
                    <w:spacing w:line="240" w:lineRule="auto"/>
                    <w:jc w:val="center"/>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技术参数</w:t>
                  </w:r>
                </w:p>
              </w:tc>
              <w:tc>
                <w:tcPr>
                  <w:tcW w:w="1189" w:type="dxa"/>
                  <w:vAlign w:val="center"/>
                </w:tcPr>
                <w:p w14:paraId="79F1C9B2">
                  <w:pPr>
                    <w:bidi w:val="0"/>
                    <w:spacing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备注</w:t>
                  </w:r>
                </w:p>
              </w:tc>
            </w:tr>
            <w:tr w14:paraId="32D5001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 w:hRule="atLeast"/>
                <w:jc w:val="right"/>
              </w:trPr>
              <w:tc>
                <w:tcPr>
                  <w:tcW w:w="702" w:type="dxa"/>
                  <w:vAlign w:val="center"/>
                </w:tcPr>
                <w:p w14:paraId="7C9A810C">
                  <w:pPr>
                    <w:bidi w:val="0"/>
                    <w:spacing w:line="240" w:lineRule="auto"/>
                    <w:jc w:val="center"/>
                    <w:rPr>
                      <w:rFonts w:hint="eastAsia" w:ascii="宋体" w:hAnsi="宋体" w:eastAsia="宋体" w:cs="宋体"/>
                      <w:color w:val="auto"/>
                      <w:sz w:val="21"/>
                      <w:szCs w:val="21"/>
                      <w:highlight w:val="none"/>
                    </w:rPr>
                  </w:pPr>
                  <w:r>
                    <w:rPr>
                      <w:rFonts w:hint="eastAsia" w:ascii="宋体" w:hAnsi="宋体" w:eastAsia="宋体" w:cs="宋体"/>
                      <w:b/>
                      <w:bCs/>
                      <w:color w:val="auto"/>
                      <w:sz w:val="21"/>
                      <w:szCs w:val="21"/>
                      <w:highlight w:val="none"/>
                      <w:lang w:val="en-US" w:eastAsia="zh-CN"/>
                    </w:rPr>
                    <w:t>●</w:t>
                  </w:r>
                  <w:r>
                    <w:rPr>
                      <w:rFonts w:hint="eastAsia" w:ascii="宋体" w:hAnsi="宋体" w:eastAsia="宋体" w:cs="宋体"/>
                      <w:color w:val="auto"/>
                      <w:sz w:val="21"/>
                      <w:szCs w:val="21"/>
                      <w:highlight w:val="none"/>
                    </w:rPr>
                    <w:t>智能监控机</w:t>
                  </w:r>
                </w:p>
              </w:tc>
              <w:tc>
                <w:tcPr>
                  <w:tcW w:w="491" w:type="dxa"/>
                  <w:vAlign w:val="center"/>
                </w:tcPr>
                <w:p w14:paraId="59883610">
                  <w:pPr>
                    <w:bidi w:val="0"/>
                    <w:spacing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23</w:t>
                  </w:r>
                </w:p>
              </w:tc>
              <w:tc>
                <w:tcPr>
                  <w:tcW w:w="559" w:type="dxa"/>
                  <w:vAlign w:val="center"/>
                </w:tcPr>
                <w:p w14:paraId="162E8C00">
                  <w:pPr>
                    <w:bidi w:val="0"/>
                    <w:spacing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台</w:t>
                  </w:r>
                </w:p>
              </w:tc>
              <w:tc>
                <w:tcPr>
                  <w:tcW w:w="2247" w:type="dxa"/>
                  <w:vAlign w:val="center"/>
                </w:tcPr>
                <w:p w14:paraId="57F3E229">
                  <w:pPr>
                    <w:bidi w:val="0"/>
                    <w:spacing w:line="240" w:lineRule="auto"/>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1/4英寸EX-ViewHADCCD 图像传感器宽动态功能（Wide Dynamic Range）</w:t>
                  </w:r>
                </w:p>
                <w:p w14:paraId="4A4C7758">
                  <w:pPr>
                    <w:bidi w:val="0"/>
                    <w:spacing w:line="240" w:lineRule="auto"/>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超过540TVL 超高水平解像度</w:t>
                  </w:r>
                </w:p>
                <w:p w14:paraId="462D4979">
                  <w:pPr>
                    <w:bidi w:val="0"/>
                    <w:spacing w:line="240" w:lineRule="auto"/>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高灵敏度，最低要求照度仅0.003Lux（彩色），0.0001Lux（黑白）</w:t>
                  </w:r>
                </w:p>
                <w:p w14:paraId="24DA8E8D">
                  <w:pPr>
                    <w:bidi w:val="0"/>
                    <w:spacing w:line="240" w:lineRule="auto"/>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电子日/夜功能，实现24小时的高质量监控内置45 倍光学变焦</w:t>
                  </w:r>
                </w:p>
                <w:p w14:paraId="02967115">
                  <w:pPr>
                    <w:bidi w:val="0"/>
                    <w:spacing w:line="240" w:lineRule="auto"/>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4个动态监测区域</w:t>
                  </w:r>
                </w:p>
                <w:p w14:paraId="001DA896">
                  <w:pPr>
                    <w:bidi w:val="0"/>
                    <w:spacing w:line="240" w:lineRule="auto"/>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8个隐私遮罩区域</w:t>
                  </w:r>
                </w:p>
                <w:p w14:paraId="6739FD22">
                  <w:pPr>
                    <w:bidi w:val="0"/>
                    <w:spacing w:line="240" w:lineRule="auto"/>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数字降噪功能，可以有效降低图像占用硬盘容量</w:t>
                  </w:r>
                </w:p>
                <w:p w14:paraId="29598DD3">
                  <w:pPr>
                    <w:bidi w:val="0"/>
                    <w:spacing w:line="240" w:lineRule="auto"/>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支援OSD 菜单控制支援电源：AC24V</w:t>
                  </w:r>
                </w:p>
              </w:tc>
              <w:tc>
                <w:tcPr>
                  <w:tcW w:w="1189" w:type="dxa"/>
                  <w:vAlign w:val="center"/>
                </w:tcPr>
                <w:p w14:paraId="67CA6F0F">
                  <w:pPr>
                    <w:bidi w:val="0"/>
                    <w:spacing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进入监控区域的人员、船只等进行监控，对开展非法活动的人员进行拍照、录像取证，兼具统计相关人流量功能</w:t>
                  </w:r>
                </w:p>
              </w:tc>
            </w:tr>
          </w:tbl>
          <w:p w14:paraId="3034A420">
            <w:pPr>
              <w:keepNext w:val="0"/>
              <w:keepLines w:val="0"/>
              <w:pageBreakBefore w:val="0"/>
              <w:widowControl/>
              <w:numPr>
                <w:ilvl w:val="0"/>
                <w:numId w:val="1"/>
              </w:numPr>
              <w:tabs>
                <w:tab w:val="left" w:pos="900"/>
                <w:tab w:val="left" w:pos="1080"/>
              </w:tabs>
              <w:kinsoku/>
              <w:wordWrap/>
              <w:overflowPunct/>
              <w:topLinePunct w:val="0"/>
              <w:autoSpaceDE/>
              <w:autoSpaceDN/>
              <w:bidi w:val="0"/>
              <w:adjustRightInd/>
              <w:snapToGrid/>
              <w:spacing w:line="360" w:lineRule="exact"/>
              <w:ind w:firstLine="422" w:firstLineChars="200"/>
              <w:textAlignment w:val="auto"/>
              <w:rPr>
                <w:rFonts w:hint="eastAsia" w:ascii="宋体" w:hAnsi="宋体" w:eastAsia="宋体" w:cs="宋体"/>
                <w:b/>
                <w:bCs/>
                <w:color w:val="auto"/>
                <w:szCs w:val="21"/>
                <w:highlight w:val="none"/>
                <w:lang w:val="en-US" w:eastAsia="zh-CN"/>
              </w:rPr>
            </w:pPr>
            <w:r>
              <w:rPr>
                <w:rFonts w:hint="eastAsia" w:ascii="宋体" w:hAnsi="宋体" w:eastAsia="宋体" w:cs="宋体"/>
                <w:b/>
                <w:bCs/>
                <w:color w:val="auto"/>
                <w:szCs w:val="21"/>
                <w:highlight w:val="none"/>
                <w:lang w:val="en-US" w:eastAsia="zh-CN"/>
              </w:rPr>
              <w:t>修复成效监测</w:t>
            </w:r>
          </w:p>
          <w:p w14:paraId="778CC589">
            <w:pPr>
              <w:keepNext w:val="0"/>
              <w:keepLines w:val="0"/>
              <w:pageBreakBefore w:val="0"/>
              <w:widowControl/>
              <w:numPr>
                <w:ilvl w:val="0"/>
                <w:numId w:val="0"/>
              </w:numPr>
              <w:tabs>
                <w:tab w:val="left" w:pos="900"/>
                <w:tab w:val="left" w:pos="1080"/>
              </w:tabs>
              <w:kinsoku/>
              <w:wordWrap/>
              <w:overflowPunct/>
              <w:topLinePunct w:val="0"/>
              <w:autoSpaceDE/>
              <w:autoSpaceDN/>
              <w:bidi w:val="0"/>
              <w:adjustRightInd/>
              <w:snapToGrid/>
              <w:spacing w:line="360" w:lineRule="exact"/>
              <w:ind w:firstLine="420" w:firstLineChars="200"/>
              <w:textAlignment w:val="auto"/>
              <w:rPr>
                <w:rFonts w:hint="eastAsia" w:ascii="宋体" w:hAnsi="宋体" w:eastAsia="宋体" w:cs="宋体"/>
                <w:b w:val="0"/>
                <w:bCs w:val="0"/>
                <w:color w:val="auto"/>
                <w:szCs w:val="21"/>
                <w:highlight w:val="none"/>
                <w:lang w:val="en-US" w:eastAsia="zh-CN"/>
              </w:rPr>
            </w:pPr>
            <w:r>
              <w:rPr>
                <w:rFonts w:hint="eastAsia" w:ascii="宋体" w:hAnsi="宋体" w:eastAsia="宋体" w:cs="宋体"/>
                <w:b w:val="0"/>
                <w:bCs w:val="0"/>
                <w:color w:val="auto"/>
                <w:szCs w:val="21"/>
                <w:highlight w:val="none"/>
                <w:lang w:val="en-US" w:eastAsia="zh-CN"/>
              </w:rPr>
              <w:t>开展对 2024—2025 年实施湿地修复（水系连通、植被恢复、外来生物防治、水生生物养护等） 的区域开展修复成效监测，跟踪监测湿地修复区情况，内容包括湿地基本状况、水环境、动物、植物、植被、外来物种入侵、受威胁状况等因子。</w:t>
            </w:r>
          </w:p>
          <w:p w14:paraId="1CC3E1E5">
            <w:pPr>
              <w:keepNext w:val="0"/>
              <w:keepLines w:val="0"/>
              <w:pageBreakBefore w:val="0"/>
              <w:widowControl/>
              <w:numPr>
                <w:ilvl w:val="0"/>
                <w:numId w:val="0"/>
              </w:numPr>
              <w:tabs>
                <w:tab w:val="left" w:pos="900"/>
                <w:tab w:val="left" w:pos="1080"/>
              </w:tabs>
              <w:kinsoku/>
              <w:wordWrap/>
              <w:overflowPunct/>
              <w:topLinePunct w:val="0"/>
              <w:autoSpaceDE/>
              <w:autoSpaceDN/>
              <w:bidi w:val="0"/>
              <w:adjustRightInd/>
              <w:snapToGrid/>
              <w:spacing w:line="360" w:lineRule="exact"/>
              <w:ind w:firstLine="420" w:firstLineChars="200"/>
              <w:textAlignment w:val="auto"/>
              <w:rPr>
                <w:rFonts w:hint="eastAsia" w:ascii="宋体" w:hAnsi="宋体" w:eastAsia="宋体" w:cs="宋体"/>
                <w:b w:val="0"/>
                <w:bCs w:val="0"/>
                <w:color w:val="auto"/>
                <w:szCs w:val="21"/>
                <w:highlight w:val="none"/>
                <w:lang w:val="en-US" w:eastAsia="zh-CN"/>
              </w:rPr>
            </w:pPr>
            <w:r>
              <w:rPr>
                <w:rFonts w:hint="eastAsia" w:ascii="宋体" w:hAnsi="宋体" w:eastAsia="宋体" w:cs="宋体"/>
                <w:b w:val="0"/>
                <w:bCs w:val="0"/>
                <w:color w:val="auto"/>
                <w:szCs w:val="21"/>
                <w:highlight w:val="none"/>
                <w:lang w:val="en-US" w:eastAsia="zh-CN"/>
              </w:rPr>
              <w:t>1</w:t>
            </w:r>
            <w:r>
              <w:rPr>
                <w:rFonts w:hint="eastAsia" w:ascii="宋体" w:hAnsi="宋体" w:cs="宋体"/>
                <w:b w:val="0"/>
                <w:bCs w:val="0"/>
                <w:color w:val="auto"/>
                <w:szCs w:val="21"/>
                <w:highlight w:val="none"/>
                <w:lang w:val="en-US" w:eastAsia="zh-CN"/>
              </w:rPr>
              <w:t>、</w:t>
            </w:r>
            <w:r>
              <w:rPr>
                <w:rFonts w:hint="eastAsia" w:ascii="宋体" w:hAnsi="宋体" w:eastAsia="宋体" w:cs="宋体"/>
                <w:b w:val="0"/>
                <w:bCs w:val="0"/>
                <w:color w:val="auto"/>
                <w:szCs w:val="21"/>
                <w:highlight w:val="none"/>
                <w:lang w:val="en-US" w:eastAsia="zh-CN"/>
              </w:rPr>
              <w:t>监测对象</w:t>
            </w:r>
          </w:p>
          <w:p w14:paraId="5008711A">
            <w:pPr>
              <w:keepNext w:val="0"/>
              <w:keepLines w:val="0"/>
              <w:pageBreakBefore w:val="0"/>
              <w:widowControl/>
              <w:numPr>
                <w:ilvl w:val="0"/>
                <w:numId w:val="0"/>
              </w:numPr>
              <w:tabs>
                <w:tab w:val="left" w:pos="900"/>
                <w:tab w:val="left" w:pos="1080"/>
              </w:tabs>
              <w:kinsoku/>
              <w:wordWrap/>
              <w:overflowPunct/>
              <w:topLinePunct w:val="0"/>
              <w:autoSpaceDE/>
              <w:autoSpaceDN/>
              <w:bidi w:val="0"/>
              <w:adjustRightInd/>
              <w:snapToGrid/>
              <w:spacing w:line="360" w:lineRule="exact"/>
              <w:ind w:firstLine="420" w:firstLineChars="200"/>
              <w:textAlignment w:val="auto"/>
              <w:rPr>
                <w:rFonts w:hint="eastAsia" w:ascii="宋体" w:hAnsi="宋体" w:eastAsia="宋体" w:cs="宋体"/>
                <w:b w:val="0"/>
                <w:bCs w:val="0"/>
                <w:color w:val="auto"/>
                <w:szCs w:val="21"/>
                <w:highlight w:val="none"/>
                <w:lang w:val="en-US" w:eastAsia="zh-CN"/>
              </w:rPr>
            </w:pPr>
            <w:r>
              <w:rPr>
                <w:rFonts w:hint="eastAsia" w:ascii="宋体" w:hAnsi="宋体" w:eastAsia="宋体" w:cs="宋体"/>
                <w:b w:val="0"/>
                <w:bCs w:val="0"/>
                <w:color w:val="auto"/>
                <w:szCs w:val="21"/>
                <w:highlight w:val="none"/>
                <w:lang w:val="en-US" w:eastAsia="zh-CN"/>
              </w:rPr>
              <w:t>重点保护野生动植物资源、水生生物资源、湿地生态系统功能等。</w:t>
            </w:r>
          </w:p>
          <w:p w14:paraId="03649B80">
            <w:pPr>
              <w:keepNext w:val="0"/>
              <w:keepLines w:val="0"/>
              <w:pageBreakBefore w:val="0"/>
              <w:widowControl/>
              <w:numPr>
                <w:ilvl w:val="0"/>
                <w:numId w:val="0"/>
              </w:numPr>
              <w:tabs>
                <w:tab w:val="left" w:pos="900"/>
                <w:tab w:val="left" w:pos="1080"/>
              </w:tabs>
              <w:kinsoku/>
              <w:wordWrap/>
              <w:overflowPunct/>
              <w:topLinePunct w:val="0"/>
              <w:autoSpaceDE/>
              <w:autoSpaceDN/>
              <w:bidi w:val="0"/>
              <w:adjustRightInd/>
              <w:snapToGrid/>
              <w:spacing w:line="360" w:lineRule="exact"/>
              <w:ind w:firstLine="420" w:firstLineChars="200"/>
              <w:textAlignment w:val="auto"/>
              <w:rPr>
                <w:rFonts w:hint="eastAsia" w:ascii="宋体" w:hAnsi="宋体" w:eastAsia="宋体" w:cs="宋体"/>
                <w:b w:val="0"/>
                <w:bCs w:val="0"/>
                <w:color w:val="auto"/>
                <w:szCs w:val="21"/>
                <w:highlight w:val="none"/>
                <w:lang w:val="en-US" w:eastAsia="zh-CN"/>
              </w:rPr>
            </w:pPr>
            <w:r>
              <w:rPr>
                <w:rFonts w:hint="eastAsia" w:ascii="宋体" w:hAnsi="宋体" w:eastAsia="宋体" w:cs="宋体"/>
                <w:b w:val="0"/>
                <w:bCs w:val="0"/>
                <w:color w:val="auto"/>
                <w:szCs w:val="21"/>
                <w:highlight w:val="none"/>
                <w:lang w:val="en-US" w:eastAsia="zh-CN"/>
              </w:rPr>
              <w:t>2</w:t>
            </w:r>
            <w:r>
              <w:rPr>
                <w:rFonts w:hint="eastAsia" w:ascii="宋体" w:hAnsi="宋体" w:cs="宋体"/>
                <w:b w:val="0"/>
                <w:bCs w:val="0"/>
                <w:color w:val="auto"/>
                <w:szCs w:val="21"/>
                <w:highlight w:val="none"/>
                <w:lang w:val="en-US" w:eastAsia="zh-CN"/>
              </w:rPr>
              <w:t>、</w:t>
            </w:r>
            <w:r>
              <w:rPr>
                <w:rFonts w:hint="eastAsia" w:ascii="宋体" w:hAnsi="宋体" w:eastAsia="宋体" w:cs="宋体"/>
                <w:b w:val="0"/>
                <w:bCs w:val="0"/>
                <w:color w:val="auto"/>
                <w:szCs w:val="21"/>
                <w:highlight w:val="none"/>
                <w:lang w:val="en-US" w:eastAsia="zh-CN"/>
              </w:rPr>
              <w:t>监测内容和指标</w:t>
            </w:r>
          </w:p>
          <w:p w14:paraId="6335B98B">
            <w:pPr>
              <w:keepNext w:val="0"/>
              <w:keepLines w:val="0"/>
              <w:pageBreakBefore w:val="0"/>
              <w:widowControl/>
              <w:numPr>
                <w:ilvl w:val="0"/>
                <w:numId w:val="0"/>
              </w:numPr>
              <w:tabs>
                <w:tab w:val="left" w:pos="900"/>
                <w:tab w:val="left" w:pos="1080"/>
              </w:tabs>
              <w:kinsoku/>
              <w:wordWrap/>
              <w:overflowPunct/>
              <w:topLinePunct w:val="0"/>
              <w:autoSpaceDE/>
              <w:autoSpaceDN/>
              <w:bidi w:val="0"/>
              <w:adjustRightInd/>
              <w:snapToGrid/>
              <w:spacing w:line="360" w:lineRule="exact"/>
              <w:ind w:firstLine="420" w:firstLineChars="200"/>
              <w:textAlignment w:val="auto"/>
              <w:rPr>
                <w:rFonts w:hint="default" w:ascii="宋体" w:hAnsi="宋体" w:eastAsia="宋体" w:cs="宋体"/>
                <w:b w:val="0"/>
                <w:bCs w:val="0"/>
                <w:color w:val="auto"/>
                <w:szCs w:val="21"/>
                <w:highlight w:val="none"/>
                <w:lang w:val="en-US" w:eastAsia="zh-CN"/>
              </w:rPr>
            </w:pPr>
            <w:r>
              <w:rPr>
                <w:rFonts w:hint="eastAsia" w:ascii="宋体" w:hAnsi="宋体" w:eastAsia="宋体" w:cs="宋体"/>
                <w:b w:val="0"/>
                <w:bCs w:val="0"/>
                <w:color w:val="auto"/>
                <w:szCs w:val="21"/>
                <w:highlight w:val="none"/>
                <w:lang w:val="en-US" w:eastAsia="zh-CN"/>
              </w:rPr>
              <w:t>跟踪监测湿地修复区情况， 内容包括湿地基本状况、水环境、动物、植物、植被、外来物种入侵、受威胁状况等因子。具体详见附表2“表 3.3-2  生态监测指标表”</w:t>
            </w:r>
          </w:p>
          <w:p w14:paraId="29828BAA">
            <w:pPr>
              <w:keepNext w:val="0"/>
              <w:keepLines w:val="0"/>
              <w:pageBreakBefore w:val="0"/>
              <w:widowControl/>
              <w:numPr>
                <w:ilvl w:val="0"/>
                <w:numId w:val="0"/>
              </w:numPr>
              <w:tabs>
                <w:tab w:val="left" w:pos="900"/>
                <w:tab w:val="left" w:pos="1080"/>
              </w:tabs>
              <w:kinsoku/>
              <w:wordWrap/>
              <w:overflowPunct/>
              <w:topLinePunct w:val="0"/>
              <w:autoSpaceDE/>
              <w:autoSpaceDN/>
              <w:bidi w:val="0"/>
              <w:adjustRightInd/>
              <w:snapToGrid/>
              <w:spacing w:line="360" w:lineRule="exact"/>
              <w:ind w:firstLine="420" w:firstLineChars="200"/>
              <w:textAlignment w:val="auto"/>
              <w:rPr>
                <w:rFonts w:hint="default" w:ascii="宋体" w:hAnsi="宋体" w:eastAsia="宋体" w:cs="宋体"/>
                <w:b w:val="0"/>
                <w:bCs w:val="0"/>
                <w:color w:val="auto"/>
                <w:szCs w:val="21"/>
                <w:highlight w:val="none"/>
                <w:lang w:val="en-US" w:eastAsia="zh-CN"/>
              </w:rPr>
            </w:pPr>
            <w:r>
              <w:rPr>
                <w:rFonts w:hint="eastAsia" w:ascii="宋体" w:hAnsi="宋体" w:eastAsia="宋体" w:cs="宋体"/>
                <w:b w:val="0"/>
                <w:bCs w:val="0"/>
                <w:color w:val="auto"/>
                <w:szCs w:val="21"/>
                <w:highlight w:val="none"/>
                <w:lang w:val="en-US" w:eastAsia="zh-CN"/>
              </w:rPr>
              <w:t>3</w:t>
            </w:r>
            <w:r>
              <w:rPr>
                <w:rFonts w:hint="eastAsia" w:ascii="宋体" w:hAnsi="宋体" w:cs="宋体"/>
                <w:b w:val="0"/>
                <w:bCs w:val="0"/>
                <w:color w:val="auto"/>
                <w:szCs w:val="21"/>
                <w:highlight w:val="none"/>
                <w:lang w:val="en-US" w:eastAsia="zh-CN"/>
              </w:rPr>
              <w:t>、</w:t>
            </w:r>
            <w:r>
              <w:rPr>
                <w:rFonts w:hint="default" w:ascii="宋体" w:hAnsi="宋体" w:eastAsia="宋体" w:cs="宋体"/>
                <w:b w:val="0"/>
                <w:bCs w:val="0"/>
                <w:color w:val="auto"/>
                <w:szCs w:val="21"/>
                <w:highlight w:val="none"/>
                <w:lang w:val="en-US" w:eastAsia="zh-CN"/>
              </w:rPr>
              <w:t>监测方法</w:t>
            </w:r>
          </w:p>
          <w:p w14:paraId="33E24056">
            <w:pPr>
              <w:keepNext w:val="0"/>
              <w:keepLines w:val="0"/>
              <w:pageBreakBefore w:val="0"/>
              <w:widowControl/>
              <w:numPr>
                <w:ilvl w:val="0"/>
                <w:numId w:val="0"/>
              </w:numPr>
              <w:tabs>
                <w:tab w:val="left" w:pos="900"/>
                <w:tab w:val="left" w:pos="1080"/>
              </w:tabs>
              <w:kinsoku/>
              <w:wordWrap/>
              <w:overflowPunct/>
              <w:topLinePunct w:val="0"/>
              <w:autoSpaceDE/>
              <w:autoSpaceDN/>
              <w:bidi w:val="0"/>
              <w:adjustRightInd/>
              <w:snapToGrid/>
              <w:spacing w:line="360" w:lineRule="exact"/>
              <w:ind w:firstLine="420" w:firstLineChars="200"/>
              <w:textAlignment w:val="auto"/>
              <w:rPr>
                <w:rFonts w:hint="default" w:ascii="宋体" w:hAnsi="宋体" w:eastAsia="宋体" w:cs="宋体"/>
                <w:b w:val="0"/>
                <w:bCs w:val="0"/>
                <w:color w:val="auto"/>
                <w:szCs w:val="21"/>
                <w:highlight w:val="none"/>
                <w:lang w:val="en-US" w:eastAsia="zh-CN"/>
              </w:rPr>
            </w:pPr>
            <w:r>
              <w:rPr>
                <w:rFonts w:hint="default" w:ascii="宋体" w:hAnsi="宋体" w:eastAsia="宋体" w:cs="宋体"/>
                <w:b w:val="0"/>
                <w:bCs w:val="0"/>
                <w:color w:val="auto"/>
                <w:szCs w:val="21"/>
                <w:highlight w:val="none"/>
                <w:lang w:val="en-US" w:eastAsia="zh-CN"/>
              </w:rPr>
              <w:t>1.湿地基本状况</w:t>
            </w:r>
          </w:p>
          <w:p w14:paraId="57788279">
            <w:pPr>
              <w:keepNext w:val="0"/>
              <w:keepLines w:val="0"/>
              <w:pageBreakBefore w:val="0"/>
              <w:widowControl/>
              <w:numPr>
                <w:ilvl w:val="0"/>
                <w:numId w:val="0"/>
              </w:numPr>
              <w:tabs>
                <w:tab w:val="left" w:pos="900"/>
                <w:tab w:val="left" w:pos="1080"/>
              </w:tabs>
              <w:kinsoku/>
              <w:wordWrap/>
              <w:overflowPunct/>
              <w:topLinePunct w:val="0"/>
              <w:autoSpaceDE/>
              <w:autoSpaceDN/>
              <w:bidi w:val="0"/>
              <w:adjustRightInd/>
              <w:snapToGrid/>
              <w:spacing w:line="360" w:lineRule="exact"/>
              <w:ind w:firstLine="420" w:firstLineChars="200"/>
              <w:textAlignment w:val="auto"/>
              <w:rPr>
                <w:rFonts w:hint="default" w:ascii="宋体" w:hAnsi="宋体" w:eastAsia="宋体" w:cs="宋体"/>
                <w:b w:val="0"/>
                <w:bCs w:val="0"/>
                <w:color w:val="auto"/>
                <w:szCs w:val="21"/>
                <w:highlight w:val="none"/>
                <w:lang w:val="en-US" w:eastAsia="zh-CN"/>
              </w:rPr>
            </w:pPr>
            <w:r>
              <w:rPr>
                <w:rFonts w:hint="default" w:ascii="宋体" w:hAnsi="宋体" w:eastAsia="宋体" w:cs="宋体"/>
                <w:b w:val="0"/>
                <w:bCs w:val="0"/>
                <w:color w:val="auto"/>
                <w:szCs w:val="21"/>
                <w:highlight w:val="none"/>
                <w:lang w:val="en-US" w:eastAsia="zh-CN"/>
              </w:rPr>
              <w:t>选择分辨率优于1米的遥感影像或无人机影像数据，参考《基于TM 遥感影像的湿地资源监测方法》（LY/T 2021-2012），进行必要图像矫正处理。</w:t>
            </w:r>
          </w:p>
          <w:p w14:paraId="0CA8E106">
            <w:pPr>
              <w:keepNext w:val="0"/>
              <w:keepLines w:val="0"/>
              <w:pageBreakBefore w:val="0"/>
              <w:widowControl/>
              <w:numPr>
                <w:ilvl w:val="0"/>
                <w:numId w:val="0"/>
              </w:numPr>
              <w:tabs>
                <w:tab w:val="left" w:pos="900"/>
                <w:tab w:val="left" w:pos="1080"/>
              </w:tabs>
              <w:kinsoku/>
              <w:wordWrap/>
              <w:overflowPunct/>
              <w:topLinePunct w:val="0"/>
              <w:autoSpaceDE/>
              <w:autoSpaceDN/>
              <w:bidi w:val="0"/>
              <w:adjustRightInd/>
              <w:snapToGrid/>
              <w:spacing w:line="360" w:lineRule="exact"/>
              <w:ind w:firstLine="420" w:firstLineChars="200"/>
              <w:textAlignment w:val="auto"/>
              <w:rPr>
                <w:rFonts w:hint="default" w:ascii="宋体" w:hAnsi="宋体" w:eastAsia="宋体" w:cs="宋体"/>
                <w:b w:val="0"/>
                <w:bCs w:val="0"/>
                <w:color w:val="auto"/>
                <w:szCs w:val="21"/>
                <w:highlight w:val="none"/>
                <w:lang w:val="en-US" w:eastAsia="zh-CN"/>
              </w:rPr>
            </w:pPr>
            <w:r>
              <w:rPr>
                <w:rFonts w:hint="default" w:ascii="宋体" w:hAnsi="宋体" w:eastAsia="宋体" w:cs="宋体"/>
                <w:b w:val="0"/>
                <w:bCs w:val="0"/>
                <w:color w:val="auto"/>
                <w:szCs w:val="21"/>
                <w:highlight w:val="none"/>
                <w:lang w:val="en-US" w:eastAsia="zh-CN"/>
              </w:rPr>
              <w:t>结合空间数据判读湿地类型、面积分布及土地利用类型变化。湿地类型划分参考《湿地分类》（GB/T24708-2009） ，土地类型划分按国土三调分类口径，参考《国土空间调查、规划、用途管制用地用海分类指南（试行）》。</w:t>
            </w:r>
          </w:p>
          <w:p w14:paraId="1D4B823E">
            <w:pPr>
              <w:keepNext w:val="0"/>
              <w:keepLines w:val="0"/>
              <w:pageBreakBefore w:val="0"/>
              <w:widowControl/>
              <w:numPr>
                <w:ilvl w:val="0"/>
                <w:numId w:val="0"/>
              </w:numPr>
              <w:tabs>
                <w:tab w:val="left" w:pos="900"/>
                <w:tab w:val="left" w:pos="1080"/>
              </w:tabs>
              <w:kinsoku/>
              <w:wordWrap/>
              <w:overflowPunct/>
              <w:topLinePunct w:val="0"/>
              <w:autoSpaceDE/>
              <w:autoSpaceDN/>
              <w:bidi w:val="0"/>
              <w:adjustRightInd/>
              <w:snapToGrid/>
              <w:spacing w:line="360" w:lineRule="exact"/>
              <w:ind w:firstLine="420" w:firstLineChars="200"/>
              <w:textAlignment w:val="auto"/>
              <w:rPr>
                <w:rFonts w:hint="default" w:ascii="宋体" w:hAnsi="宋体" w:eastAsia="宋体" w:cs="宋体"/>
                <w:b w:val="0"/>
                <w:bCs w:val="0"/>
                <w:color w:val="auto"/>
                <w:szCs w:val="21"/>
                <w:highlight w:val="none"/>
                <w:lang w:val="en-US" w:eastAsia="zh-CN"/>
              </w:rPr>
            </w:pPr>
            <w:r>
              <w:rPr>
                <w:rFonts w:hint="default" w:ascii="宋体" w:hAnsi="宋体" w:eastAsia="宋体" w:cs="宋体"/>
                <w:b w:val="0"/>
                <w:bCs w:val="0"/>
                <w:color w:val="auto"/>
                <w:szCs w:val="21"/>
                <w:highlight w:val="none"/>
                <w:lang w:val="en-US" w:eastAsia="zh-CN"/>
              </w:rPr>
              <w:t>结合现地调查、现场访问和最新资料，核实、修订判读结果。</w:t>
            </w:r>
          </w:p>
          <w:p w14:paraId="6212DD97">
            <w:pPr>
              <w:keepNext w:val="0"/>
              <w:keepLines w:val="0"/>
              <w:pageBreakBefore w:val="0"/>
              <w:widowControl/>
              <w:numPr>
                <w:ilvl w:val="0"/>
                <w:numId w:val="0"/>
              </w:numPr>
              <w:tabs>
                <w:tab w:val="left" w:pos="900"/>
                <w:tab w:val="left" w:pos="1080"/>
              </w:tabs>
              <w:kinsoku/>
              <w:wordWrap/>
              <w:overflowPunct/>
              <w:topLinePunct w:val="0"/>
              <w:autoSpaceDE/>
              <w:autoSpaceDN/>
              <w:bidi w:val="0"/>
              <w:adjustRightInd/>
              <w:snapToGrid/>
              <w:spacing w:line="360" w:lineRule="exact"/>
              <w:ind w:firstLine="420" w:firstLineChars="200"/>
              <w:textAlignment w:val="auto"/>
              <w:rPr>
                <w:rFonts w:hint="default" w:ascii="宋体" w:hAnsi="宋体" w:eastAsia="宋体" w:cs="宋体"/>
                <w:b w:val="0"/>
                <w:bCs w:val="0"/>
                <w:color w:val="auto"/>
                <w:szCs w:val="21"/>
                <w:highlight w:val="none"/>
                <w:lang w:val="en-US" w:eastAsia="zh-CN"/>
              </w:rPr>
            </w:pPr>
            <w:r>
              <w:rPr>
                <w:rFonts w:hint="default" w:ascii="宋体" w:hAnsi="宋体" w:eastAsia="宋体" w:cs="宋体"/>
                <w:b w:val="0"/>
                <w:bCs w:val="0"/>
                <w:color w:val="auto"/>
                <w:szCs w:val="21"/>
                <w:highlight w:val="none"/>
                <w:lang w:val="en-US" w:eastAsia="zh-CN"/>
              </w:rPr>
              <w:t>2.水环境因子</w:t>
            </w:r>
          </w:p>
          <w:p w14:paraId="38741001">
            <w:pPr>
              <w:keepNext w:val="0"/>
              <w:keepLines w:val="0"/>
              <w:pageBreakBefore w:val="0"/>
              <w:widowControl/>
              <w:numPr>
                <w:ilvl w:val="0"/>
                <w:numId w:val="0"/>
              </w:numPr>
              <w:tabs>
                <w:tab w:val="left" w:pos="900"/>
                <w:tab w:val="left" w:pos="1080"/>
              </w:tabs>
              <w:kinsoku/>
              <w:wordWrap/>
              <w:overflowPunct/>
              <w:topLinePunct w:val="0"/>
              <w:autoSpaceDE/>
              <w:autoSpaceDN/>
              <w:bidi w:val="0"/>
              <w:adjustRightInd/>
              <w:snapToGrid/>
              <w:spacing w:line="360" w:lineRule="exact"/>
              <w:ind w:firstLine="420" w:firstLineChars="200"/>
              <w:textAlignment w:val="auto"/>
              <w:rPr>
                <w:rFonts w:hint="default" w:ascii="宋体" w:hAnsi="宋体" w:eastAsia="宋体" w:cs="宋体"/>
                <w:b w:val="0"/>
                <w:bCs w:val="0"/>
                <w:color w:val="auto"/>
                <w:szCs w:val="21"/>
                <w:highlight w:val="none"/>
                <w:lang w:val="en-US" w:eastAsia="zh-CN"/>
              </w:rPr>
            </w:pPr>
            <w:r>
              <w:rPr>
                <w:rFonts w:hint="default" w:ascii="宋体" w:hAnsi="宋体" w:eastAsia="宋体" w:cs="宋体"/>
                <w:b w:val="0"/>
                <w:bCs w:val="0"/>
                <w:color w:val="auto"/>
                <w:szCs w:val="21"/>
                <w:highlight w:val="none"/>
                <w:lang w:val="en-US" w:eastAsia="zh-CN"/>
              </w:rPr>
              <w:t>综合考虑西津国家重要湿地内主流流入地点、主流流出地点、污染排放集中区等因素，水环境监测由已布设的浮标式自动化水质监测站按照相关规范要求完成。</w:t>
            </w:r>
          </w:p>
          <w:p w14:paraId="5B6804D0">
            <w:pPr>
              <w:keepNext w:val="0"/>
              <w:keepLines w:val="0"/>
              <w:pageBreakBefore w:val="0"/>
              <w:widowControl/>
              <w:numPr>
                <w:ilvl w:val="0"/>
                <w:numId w:val="0"/>
              </w:numPr>
              <w:tabs>
                <w:tab w:val="left" w:pos="900"/>
                <w:tab w:val="left" w:pos="1080"/>
              </w:tabs>
              <w:kinsoku/>
              <w:wordWrap/>
              <w:overflowPunct/>
              <w:topLinePunct w:val="0"/>
              <w:autoSpaceDE/>
              <w:autoSpaceDN/>
              <w:bidi w:val="0"/>
              <w:adjustRightInd/>
              <w:snapToGrid/>
              <w:spacing w:line="360" w:lineRule="exact"/>
              <w:ind w:firstLine="420" w:firstLineChars="200"/>
              <w:textAlignment w:val="auto"/>
              <w:rPr>
                <w:rFonts w:hint="default" w:ascii="宋体" w:hAnsi="宋体" w:eastAsia="宋体" w:cs="宋体"/>
                <w:b w:val="0"/>
                <w:bCs w:val="0"/>
                <w:color w:val="auto"/>
                <w:szCs w:val="21"/>
                <w:highlight w:val="none"/>
                <w:lang w:val="en-US" w:eastAsia="zh-CN"/>
              </w:rPr>
            </w:pPr>
            <w:r>
              <w:rPr>
                <w:rFonts w:hint="default" w:ascii="宋体" w:hAnsi="宋体" w:eastAsia="宋体" w:cs="宋体"/>
                <w:b w:val="0"/>
                <w:bCs w:val="0"/>
                <w:color w:val="auto"/>
                <w:szCs w:val="21"/>
                <w:highlight w:val="none"/>
                <w:lang w:val="en-US" w:eastAsia="zh-CN"/>
              </w:rPr>
              <w:t>3.植被</w:t>
            </w:r>
          </w:p>
          <w:p w14:paraId="15D19AC8">
            <w:pPr>
              <w:keepNext w:val="0"/>
              <w:keepLines w:val="0"/>
              <w:pageBreakBefore w:val="0"/>
              <w:widowControl/>
              <w:numPr>
                <w:ilvl w:val="0"/>
                <w:numId w:val="0"/>
              </w:numPr>
              <w:tabs>
                <w:tab w:val="left" w:pos="900"/>
                <w:tab w:val="left" w:pos="1080"/>
              </w:tabs>
              <w:kinsoku/>
              <w:wordWrap/>
              <w:overflowPunct/>
              <w:topLinePunct w:val="0"/>
              <w:autoSpaceDE/>
              <w:autoSpaceDN/>
              <w:bidi w:val="0"/>
              <w:adjustRightInd/>
              <w:snapToGrid/>
              <w:spacing w:line="360" w:lineRule="exact"/>
              <w:ind w:firstLine="420" w:firstLineChars="200"/>
              <w:textAlignment w:val="auto"/>
              <w:rPr>
                <w:rFonts w:hint="default" w:ascii="宋体" w:hAnsi="宋体" w:eastAsia="宋体" w:cs="宋体"/>
                <w:b w:val="0"/>
                <w:bCs w:val="0"/>
                <w:color w:val="auto"/>
                <w:szCs w:val="21"/>
                <w:highlight w:val="none"/>
                <w:lang w:val="en-US" w:eastAsia="zh-CN"/>
              </w:rPr>
            </w:pPr>
            <w:r>
              <w:rPr>
                <w:rFonts w:hint="default" w:ascii="宋体" w:hAnsi="宋体" w:eastAsia="宋体" w:cs="宋体"/>
                <w:b w:val="0"/>
                <w:bCs w:val="0"/>
                <w:color w:val="auto"/>
                <w:szCs w:val="21"/>
                <w:highlight w:val="none"/>
                <w:lang w:val="en-US" w:eastAsia="zh-CN"/>
              </w:rPr>
              <w:t>设置固定样地开展长期监测。根据植被类型、面积和分布进行随机分层抽样，确定固定监测样地的数量和位置。原则上，每个植被类型（群系）设置1~3 样地，样地规格为 20 米×20 米。在样地范围内，按照代表性、均匀性原则设置 1～4 个样方 。森林类型的样方规格 20米×20 米（组成简单的类型可采用10 米×10米），灌丛类型的样方规格5 米× 5 米 ，草丛类型、草本沼泽沉水植物的样方规格1米×1米（也可适当扩大）。使用Φ20PVC 管竖立在样地四角，作为固定标志，角桩高出地面（水面）0.5 米 ，用油性笔书写样地编号 。填写植被样方调查监测记录，记录种类组成、数量、生长和健康状况等群落因子，人为干扰、破坏情况等内容。</w:t>
            </w:r>
          </w:p>
          <w:p w14:paraId="05BC5664">
            <w:pPr>
              <w:keepNext w:val="0"/>
              <w:keepLines w:val="0"/>
              <w:pageBreakBefore w:val="0"/>
              <w:widowControl/>
              <w:numPr>
                <w:ilvl w:val="0"/>
                <w:numId w:val="0"/>
              </w:numPr>
              <w:tabs>
                <w:tab w:val="left" w:pos="900"/>
                <w:tab w:val="left" w:pos="1080"/>
              </w:tabs>
              <w:kinsoku/>
              <w:wordWrap/>
              <w:overflowPunct/>
              <w:topLinePunct w:val="0"/>
              <w:autoSpaceDE/>
              <w:autoSpaceDN/>
              <w:bidi w:val="0"/>
              <w:adjustRightInd/>
              <w:snapToGrid/>
              <w:spacing w:line="360" w:lineRule="exact"/>
              <w:ind w:firstLine="420" w:firstLineChars="200"/>
              <w:textAlignment w:val="auto"/>
              <w:rPr>
                <w:rFonts w:hint="default" w:ascii="宋体" w:hAnsi="宋体" w:eastAsia="宋体" w:cs="宋体"/>
                <w:b w:val="0"/>
                <w:bCs w:val="0"/>
                <w:color w:val="auto"/>
                <w:szCs w:val="21"/>
                <w:highlight w:val="none"/>
                <w:lang w:val="en-US" w:eastAsia="zh-CN"/>
              </w:rPr>
            </w:pPr>
            <w:r>
              <w:rPr>
                <w:rFonts w:hint="default" w:ascii="宋体" w:hAnsi="宋体" w:eastAsia="宋体" w:cs="宋体"/>
                <w:b w:val="0"/>
                <w:bCs w:val="0"/>
                <w:color w:val="auto"/>
                <w:szCs w:val="21"/>
                <w:highlight w:val="none"/>
                <w:lang w:val="en-US" w:eastAsia="zh-CN"/>
              </w:rPr>
              <w:t>4.植物</w:t>
            </w:r>
          </w:p>
          <w:p w14:paraId="3E651B81">
            <w:pPr>
              <w:keepNext w:val="0"/>
              <w:keepLines w:val="0"/>
              <w:pageBreakBefore w:val="0"/>
              <w:widowControl/>
              <w:numPr>
                <w:ilvl w:val="0"/>
                <w:numId w:val="0"/>
              </w:numPr>
              <w:tabs>
                <w:tab w:val="left" w:pos="900"/>
                <w:tab w:val="left" w:pos="1080"/>
              </w:tabs>
              <w:kinsoku/>
              <w:wordWrap/>
              <w:overflowPunct/>
              <w:topLinePunct w:val="0"/>
              <w:autoSpaceDE/>
              <w:autoSpaceDN/>
              <w:bidi w:val="0"/>
              <w:adjustRightInd/>
              <w:snapToGrid/>
              <w:spacing w:line="360" w:lineRule="exact"/>
              <w:ind w:firstLine="420" w:firstLineChars="200"/>
              <w:textAlignment w:val="auto"/>
              <w:rPr>
                <w:rFonts w:hint="default" w:ascii="宋体" w:hAnsi="宋体" w:eastAsia="宋体" w:cs="宋体"/>
                <w:b w:val="0"/>
                <w:bCs w:val="0"/>
                <w:color w:val="auto"/>
                <w:szCs w:val="21"/>
                <w:highlight w:val="none"/>
                <w:lang w:val="en-US" w:eastAsia="zh-CN"/>
              </w:rPr>
            </w:pPr>
            <w:r>
              <w:rPr>
                <w:rFonts w:hint="default" w:ascii="宋体" w:hAnsi="宋体" w:eastAsia="宋体" w:cs="宋体"/>
                <w:b w:val="0"/>
                <w:bCs w:val="0"/>
                <w:color w:val="auto"/>
                <w:szCs w:val="21"/>
                <w:highlight w:val="none"/>
                <w:lang w:val="en-US" w:eastAsia="zh-CN"/>
              </w:rPr>
              <w:t>根据生境类型设置固定样带（样线）监测植物种类多样性，记录途中观测到的所有植物种类及其相关分布信息。采用原地核实法开展分布范围变化监测，调查重要物种原有的分布地点是否消失，结合种类多样性样地调查判断有无新分布地点。采用样方调查法监测重要物种的种群数量变化。</w:t>
            </w:r>
          </w:p>
          <w:p w14:paraId="7DE90281">
            <w:pPr>
              <w:keepNext w:val="0"/>
              <w:keepLines w:val="0"/>
              <w:pageBreakBefore w:val="0"/>
              <w:widowControl/>
              <w:numPr>
                <w:ilvl w:val="0"/>
                <w:numId w:val="0"/>
              </w:numPr>
              <w:tabs>
                <w:tab w:val="left" w:pos="900"/>
                <w:tab w:val="left" w:pos="1080"/>
              </w:tabs>
              <w:kinsoku/>
              <w:wordWrap/>
              <w:overflowPunct/>
              <w:topLinePunct w:val="0"/>
              <w:autoSpaceDE/>
              <w:autoSpaceDN/>
              <w:bidi w:val="0"/>
              <w:adjustRightInd/>
              <w:snapToGrid/>
              <w:spacing w:line="360" w:lineRule="exact"/>
              <w:ind w:firstLine="420" w:firstLineChars="200"/>
              <w:textAlignment w:val="auto"/>
              <w:rPr>
                <w:rFonts w:hint="default" w:ascii="宋体" w:hAnsi="宋体" w:eastAsia="宋体" w:cs="宋体"/>
                <w:b w:val="0"/>
                <w:bCs w:val="0"/>
                <w:color w:val="auto"/>
                <w:szCs w:val="21"/>
                <w:highlight w:val="none"/>
                <w:lang w:val="en-US" w:eastAsia="zh-CN"/>
              </w:rPr>
            </w:pPr>
            <w:r>
              <w:rPr>
                <w:rFonts w:hint="default" w:ascii="宋体" w:hAnsi="宋体" w:eastAsia="宋体" w:cs="宋体"/>
                <w:b w:val="0"/>
                <w:bCs w:val="0"/>
                <w:color w:val="auto"/>
                <w:szCs w:val="21"/>
                <w:highlight w:val="none"/>
                <w:lang w:val="en-US" w:eastAsia="zh-CN"/>
              </w:rPr>
              <w:t>5.鱼类</w:t>
            </w:r>
          </w:p>
          <w:p w14:paraId="708F73F3">
            <w:pPr>
              <w:keepNext w:val="0"/>
              <w:keepLines w:val="0"/>
              <w:pageBreakBefore w:val="0"/>
              <w:widowControl/>
              <w:numPr>
                <w:ilvl w:val="0"/>
                <w:numId w:val="0"/>
              </w:numPr>
              <w:tabs>
                <w:tab w:val="left" w:pos="900"/>
                <w:tab w:val="left" w:pos="1080"/>
              </w:tabs>
              <w:kinsoku/>
              <w:wordWrap/>
              <w:overflowPunct/>
              <w:topLinePunct w:val="0"/>
              <w:autoSpaceDE/>
              <w:autoSpaceDN/>
              <w:bidi w:val="0"/>
              <w:adjustRightInd/>
              <w:snapToGrid/>
              <w:spacing w:line="360" w:lineRule="exact"/>
              <w:ind w:firstLine="420" w:firstLineChars="200"/>
              <w:textAlignment w:val="auto"/>
              <w:rPr>
                <w:rFonts w:hint="default" w:ascii="宋体" w:hAnsi="宋体" w:eastAsia="宋体" w:cs="宋体"/>
                <w:b w:val="0"/>
                <w:bCs w:val="0"/>
                <w:color w:val="auto"/>
                <w:szCs w:val="21"/>
                <w:highlight w:val="none"/>
                <w:lang w:val="en-US" w:eastAsia="zh-CN"/>
              </w:rPr>
            </w:pPr>
            <w:r>
              <w:rPr>
                <w:rFonts w:hint="default" w:ascii="宋体" w:hAnsi="宋体" w:eastAsia="宋体" w:cs="宋体"/>
                <w:b w:val="0"/>
                <w:bCs w:val="0"/>
                <w:color w:val="auto"/>
                <w:szCs w:val="21"/>
                <w:highlight w:val="none"/>
                <w:lang w:val="en-US" w:eastAsia="zh-CN"/>
              </w:rPr>
              <w:t>采用实地采集、查阅资料和市场调查等办法，调查区域内鱼类情况。淡水鱼类调查参考《生物多样性观测技术导则 内陆水域鱼类》（HJ710.7-2014）有关要求。采集工具和捕捞方式主要为流刺网（渔民协助）、地笼、抄网、底捞网等。对采集到的标本进行鉴定和拍照标记。通过查阅资料和市场收集，用于弥补调查缺失的种类，了解当地鱼类物种多样性构成。</w:t>
            </w:r>
          </w:p>
          <w:p w14:paraId="2B5A6AAB">
            <w:pPr>
              <w:keepNext w:val="0"/>
              <w:keepLines w:val="0"/>
              <w:pageBreakBefore w:val="0"/>
              <w:widowControl/>
              <w:numPr>
                <w:ilvl w:val="0"/>
                <w:numId w:val="0"/>
              </w:numPr>
              <w:tabs>
                <w:tab w:val="left" w:pos="900"/>
                <w:tab w:val="left" w:pos="1080"/>
              </w:tabs>
              <w:kinsoku/>
              <w:wordWrap/>
              <w:overflowPunct/>
              <w:topLinePunct w:val="0"/>
              <w:autoSpaceDE/>
              <w:autoSpaceDN/>
              <w:bidi w:val="0"/>
              <w:adjustRightInd/>
              <w:snapToGrid/>
              <w:spacing w:line="360" w:lineRule="exact"/>
              <w:ind w:firstLine="420" w:firstLineChars="200"/>
              <w:textAlignment w:val="auto"/>
              <w:rPr>
                <w:rFonts w:hint="default" w:ascii="宋体" w:hAnsi="宋体" w:eastAsia="宋体" w:cs="宋体"/>
                <w:b w:val="0"/>
                <w:bCs w:val="0"/>
                <w:color w:val="auto"/>
                <w:szCs w:val="21"/>
                <w:highlight w:val="none"/>
                <w:lang w:val="en-US" w:eastAsia="zh-CN"/>
              </w:rPr>
            </w:pPr>
            <w:r>
              <w:rPr>
                <w:rFonts w:hint="default" w:ascii="宋体" w:hAnsi="宋体" w:eastAsia="宋体" w:cs="宋体"/>
                <w:b w:val="0"/>
                <w:bCs w:val="0"/>
                <w:color w:val="auto"/>
                <w:szCs w:val="21"/>
                <w:highlight w:val="none"/>
                <w:lang w:val="en-US" w:eastAsia="zh-CN"/>
              </w:rPr>
              <w:t>6.陆生脊椎动物</w:t>
            </w:r>
          </w:p>
          <w:p w14:paraId="6561D98F">
            <w:pPr>
              <w:keepNext w:val="0"/>
              <w:keepLines w:val="0"/>
              <w:pageBreakBefore w:val="0"/>
              <w:widowControl/>
              <w:numPr>
                <w:ilvl w:val="0"/>
                <w:numId w:val="0"/>
              </w:numPr>
              <w:tabs>
                <w:tab w:val="left" w:pos="900"/>
                <w:tab w:val="left" w:pos="1080"/>
              </w:tabs>
              <w:kinsoku/>
              <w:wordWrap/>
              <w:overflowPunct/>
              <w:topLinePunct w:val="0"/>
              <w:autoSpaceDE/>
              <w:autoSpaceDN/>
              <w:bidi w:val="0"/>
              <w:adjustRightInd/>
              <w:snapToGrid/>
              <w:spacing w:line="360" w:lineRule="exact"/>
              <w:ind w:firstLine="420" w:firstLineChars="200"/>
              <w:textAlignment w:val="auto"/>
              <w:rPr>
                <w:rFonts w:hint="default" w:ascii="宋体" w:hAnsi="宋体" w:eastAsia="宋体" w:cs="宋体"/>
                <w:b w:val="0"/>
                <w:bCs w:val="0"/>
                <w:color w:val="auto"/>
                <w:szCs w:val="21"/>
                <w:highlight w:val="none"/>
                <w:lang w:val="en-US" w:eastAsia="zh-CN"/>
              </w:rPr>
            </w:pPr>
            <w:r>
              <w:rPr>
                <w:rFonts w:hint="default" w:ascii="宋体" w:hAnsi="宋体" w:eastAsia="宋体" w:cs="宋体"/>
                <w:b w:val="0"/>
                <w:bCs w:val="0"/>
                <w:color w:val="auto"/>
                <w:szCs w:val="21"/>
                <w:highlight w:val="none"/>
                <w:lang w:val="en-US" w:eastAsia="zh-CN"/>
              </w:rPr>
              <w:t>根据西津国家重要湿地的地形地貌、植被特点、湿地类型、干扰强度等因素进行分层随机抽样，采用了固定样线监测和固定样点监测相结合的监测方法。为了更好地评估西津国家重要湿地生态状况的变化，本次监测沿用了此前的样线和样点设置。</w:t>
            </w:r>
          </w:p>
          <w:p w14:paraId="78ABA8C2">
            <w:pPr>
              <w:keepNext w:val="0"/>
              <w:keepLines w:val="0"/>
              <w:pageBreakBefore w:val="0"/>
              <w:widowControl/>
              <w:numPr>
                <w:ilvl w:val="0"/>
                <w:numId w:val="0"/>
              </w:numPr>
              <w:tabs>
                <w:tab w:val="left" w:pos="900"/>
                <w:tab w:val="left" w:pos="1080"/>
              </w:tabs>
              <w:kinsoku/>
              <w:wordWrap/>
              <w:overflowPunct/>
              <w:topLinePunct w:val="0"/>
              <w:autoSpaceDE/>
              <w:autoSpaceDN/>
              <w:bidi w:val="0"/>
              <w:adjustRightInd/>
              <w:snapToGrid/>
              <w:spacing w:line="360" w:lineRule="exact"/>
              <w:ind w:firstLine="420" w:firstLineChars="200"/>
              <w:textAlignment w:val="auto"/>
              <w:rPr>
                <w:rFonts w:hint="default" w:ascii="宋体" w:hAnsi="宋体" w:eastAsia="宋体" w:cs="宋体"/>
                <w:b w:val="0"/>
                <w:bCs w:val="0"/>
                <w:color w:val="auto"/>
                <w:szCs w:val="21"/>
                <w:highlight w:val="none"/>
                <w:lang w:val="en-US" w:eastAsia="zh-CN"/>
              </w:rPr>
            </w:pPr>
            <w:r>
              <w:rPr>
                <w:rFonts w:hint="eastAsia" w:ascii="宋体" w:hAnsi="宋体" w:eastAsia="宋体" w:cs="宋体"/>
                <w:b w:val="0"/>
                <w:bCs w:val="0"/>
                <w:color w:val="auto"/>
                <w:szCs w:val="21"/>
                <w:highlight w:val="none"/>
                <w:lang w:val="en-US" w:eastAsia="zh-CN"/>
              </w:rPr>
              <w:t>①</w:t>
            </w:r>
            <w:r>
              <w:rPr>
                <w:rFonts w:hint="default" w:ascii="宋体" w:hAnsi="宋体" w:eastAsia="宋体" w:cs="宋体"/>
                <w:b w:val="0"/>
                <w:bCs w:val="0"/>
                <w:color w:val="auto"/>
                <w:szCs w:val="21"/>
                <w:highlight w:val="none"/>
                <w:lang w:val="en-US" w:eastAsia="zh-CN"/>
              </w:rPr>
              <w:t>固定样线监测</w:t>
            </w:r>
          </w:p>
          <w:p w14:paraId="2725DB06">
            <w:pPr>
              <w:keepNext w:val="0"/>
              <w:keepLines w:val="0"/>
              <w:pageBreakBefore w:val="0"/>
              <w:widowControl/>
              <w:numPr>
                <w:ilvl w:val="0"/>
                <w:numId w:val="0"/>
              </w:numPr>
              <w:tabs>
                <w:tab w:val="left" w:pos="900"/>
                <w:tab w:val="left" w:pos="1080"/>
              </w:tabs>
              <w:kinsoku/>
              <w:wordWrap/>
              <w:overflowPunct/>
              <w:topLinePunct w:val="0"/>
              <w:autoSpaceDE/>
              <w:autoSpaceDN/>
              <w:bidi w:val="0"/>
              <w:adjustRightInd/>
              <w:snapToGrid/>
              <w:spacing w:line="360" w:lineRule="exact"/>
              <w:ind w:firstLine="420" w:firstLineChars="200"/>
              <w:textAlignment w:val="auto"/>
              <w:rPr>
                <w:rFonts w:hint="default" w:ascii="宋体" w:hAnsi="宋体" w:eastAsia="宋体" w:cs="宋体"/>
                <w:b w:val="0"/>
                <w:bCs w:val="0"/>
                <w:color w:val="auto"/>
                <w:szCs w:val="21"/>
                <w:highlight w:val="none"/>
                <w:lang w:val="en-US" w:eastAsia="zh-CN"/>
              </w:rPr>
            </w:pPr>
            <w:r>
              <w:rPr>
                <w:rFonts w:hint="default" w:ascii="宋体" w:hAnsi="宋体" w:eastAsia="宋体" w:cs="宋体"/>
                <w:b w:val="0"/>
                <w:bCs w:val="0"/>
                <w:color w:val="auto"/>
                <w:szCs w:val="21"/>
                <w:highlight w:val="none"/>
                <w:lang w:val="en-US" w:eastAsia="zh-CN"/>
              </w:rPr>
              <w:t>布设固定样线，在监测过程中，监测人员以1千～1.5 千米的时速徒步行进，通过借助双筒望远镜、数码单反长焦相机、录音笔等观察，结合鸣叫辨识、痕迹判别等记录样线两侧出现的陆生脊椎野生动物的种类、数量以及栖息地状况、干扰类型、干扰强度等。</w:t>
            </w:r>
          </w:p>
          <w:p w14:paraId="077A9420">
            <w:pPr>
              <w:keepNext w:val="0"/>
              <w:keepLines w:val="0"/>
              <w:pageBreakBefore w:val="0"/>
              <w:widowControl/>
              <w:numPr>
                <w:ilvl w:val="0"/>
                <w:numId w:val="0"/>
              </w:numPr>
              <w:tabs>
                <w:tab w:val="left" w:pos="900"/>
                <w:tab w:val="left" w:pos="1080"/>
              </w:tabs>
              <w:kinsoku/>
              <w:wordWrap/>
              <w:overflowPunct/>
              <w:topLinePunct w:val="0"/>
              <w:autoSpaceDE/>
              <w:autoSpaceDN/>
              <w:bidi w:val="0"/>
              <w:adjustRightInd/>
              <w:snapToGrid/>
              <w:spacing w:line="360" w:lineRule="exact"/>
              <w:ind w:firstLine="420" w:firstLineChars="200"/>
              <w:textAlignment w:val="auto"/>
              <w:rPr>
                <w:rFonts w:hint="default" w:ascii="宋体" w:hAnsi="宋体" w:eastAsia="宋体" w:cs="宋体"/>
                <w:b w:val="0"/>
                <w:bCs w:val="0"/>
                <w:color w:val="auto"/>
                <w:szCs w:val="21"/>
                <w:highlight w:val="none"/>
                <w:lang w:val="en-US" w:eastAsia="zh-CN"/>
              </w:rPr>
            </w:pPr>
            <w:r>
              <w:rPr>
                <w:rFonts w:hint="default" w:ascii="宋体" w:hAnsi="宋体" w:eastAsia="宋体" w:cs="宋体"/>
                <w:b w:val="0"/>
                <w:bCs w:val="0"/>
                <w:color w:val="auto"/>
                <w:szCs w:val="21"/>
                <w:highlight w:val="none"/>
                <w:lang w:val="en-US" w:eastAsia="zh-CN"/>
              </w:rPr>
              <w:t>针对各类群动物不同的活动规律和生态习性，固定监测样线的监测时间分为日间监测和夜间监测。其中鸟类以样线和样点相结合的方法进行调查记录，即根据样线长度，以200 米左右间距选择5或10个样点，监测人员到达每个样点后静止5分钟以尽量消除自身对周围鸟类活动的影响，随后观察记录10分钟。哺乳类在野外实地调查的基础上， 以访问调查、资料查询作为辅助手段。夜间固定监测样线主要监测对象为两栖类和爬行类。</w:t>
            </w:r>
          </w:p>
          <w:p w14:paraId="7A6382F5">
            <w:pPr>
              <w:keepNext w:val="0"/>
              <w:keepLines w:val="0"/>
              <w:pageBreakBefore w:val="0"/>
              <w:widowControl/>
              <w:numPr>
                <w:ilvl w:val="0"/>
                <w:numId w:val="0"/>
              </w:numPr>
              <w:tabs>
                <w:tab w:val="left" w:pos="900"/>
                <w:tab w:val="left" w:pos="1080"/>
              </w:tabs>
              <w:kinsoku/>
              <w:wordWrap/>
              <w:overflowPunct/>
              <w:topLinePunct w:val="0"/>
              <w:autoSpaceDE/>
              <w:autoSpaceDN/>
              <w:bidi w:val="0"/>
              <w:adjustRightInd/>
              <w:snapToGrid/>
              <w:spacing w:line="360" w:lineRule="exact"/>
              <w:ind w:firstLine="420" w:firstLineChars="200"/>
              <w:textAlignment w:val="auto"/>
              <w:rPr>
                <w:rFonts w:hint="default" w:ascii="宋体" w:hAnsi="宋体" w:eastAsia="宋体" w:cs="宋体"/>
                <w:b w:val="0"/>
                <w:bCs w:val="0"/>
                <w:color w:val="auto"/>
                <w:szCs w:val="21"/>
                <w:highlight w:val="none"/>
                <w:lang w:val="en-US" w:eastAsia="zh-CN"/>
              </w:rPr>
            </w:pPr>
            <w:r>
              <w:rPr>
                <w:rFonts w:hint="eastAsia" w:ascii="宋体" w:hAnsi="宋体" w:eastAsia="宋体" w:cs="宋体"/>
                <w:b w:val="0"/>
                <w:bCs w:val="0"/>
                <w:color w:val="auto"/>
                <w:szCs w:val="21"/>
                <w:highlight w:val="none"/>
                <w:lang w:val="en-US" w:eastAsia="zh-CN"/>
              </w:rPr>
              <w:t>②</w:t>
            </w:r>
            <w:r>
              <w:rPr>
                <w:rFonts w:hint="default" w:ascii="宋体" w:hAnsi="宋体" w:eastAsia="宋体" w:cs="宋体"/>
                <w:b w:val="0"/>
                <w:bCs w:val="0"/>
                <w:color w:val="auto"/>
                <w:szCs w:val="21"/>
                <w:highlight w:val="none"/>
                <w:lang w:val="en-US" w:eastAsia="zh-CN"/>
              </w:rPr>
              <w:t>物种鉴定</w:t>
            </w:r>
          </w:p>
          <w:p w14:paraId="05B98D6E">
            <w:pPr>
              <w:keepNext w:val="0"/>
              <w:keepLines w:val="0"/>
              <w:pageBreakBefore w:val="0"/>
              <w:widowControl/>
              <w:numPr>
                <w:ilvl w:val="0"/>
                <w:numId w:val="0"/>
              </w:numPr>
              <w:tabs>
                <w:tab w:val="left" w:pos="900"/>
                <w:tab w:val="left" w:pos="1080"/>
              </w:tabs>
              <w:kinsoku/>
              <w:wordWrap/>
              <w:overflowPunct/>
              <w:topLinePunct w:val="0"/>
              <w:autoSpaceDE/>
              <w:autoSpaceDN/>
              <w:bidi w:val="0"/>
              <w:adjustRightInd/>
              <w:snapToGrid/>
              <w:spacing w:line="360" w:lineRule="exact"/>
              <w:ind w:firstLine="420" w:firstLineChars="200"/>
              <w:textAlignment w:val="auto"/>
              <w:rPr>
                <w:rFonts w:hint="default" w:ascii="宋体" w:hAnsi="宋体" w:eastAsia="宋体" w:cs="宋体"/>
                <w:b w:val="0"/>
                <w:bCs w:val="0"/>
                <w:color w:val="auto"/>
                <w:szCs w:val="21"/>
                <w:highlight w:val="none"/>
                <w:lang w:val="en-US" w:eastAsia="zh-CN"/>
              </w:rPr>
            </w:pPr>
            <w:r>
              <w:rPr>
                <w:rFonts w:hint="default" w:ascii="宋体" w:hAnsi="宋体" w:eastAsia="宋体" w:cs="宋体"/>
                <w:b w:val="0"/>
                <w:bCs w:val="0"/>
                <w:color w:val="auto"/>
                <w:szCs w:val="21"/>
                <w:highlight w:val="none"/>
                <w:lang w:val="en-US" w:eastAsia="zh-CN"/>
              </w:rPr>
              <w:t>物种鉴定和分类系统参照以下文献资料： 两栖类参照《中国两栖动物及其分布彩色图鉴》 （费梁等，2012） ；爬行类参照《中国动物志 爬行纲》第一卷（张孟闻等，1998），《中国动物志 爬行纲》 第三卷（赵尔宓等，1998），《中国动物志 爬行纲》第二卷（赵尔宓等， 1999） ，《中国蛇类》（赵尔宓，2005），《中国两栖、爬行动物更新名录》（王剀等，2020）；鸟类参照《中国鸟类观察手册》（刘阳和陈水华，2021），《中国鸟类分类与分布名录》（第三版）（郑光美，2017）；兽类参照《中国兽类野外手册》（Andrew T. Smith 和解焱，2009）。</w:t>
            </w:r>
          </w:p>
          <w:p w14:paraId="4E2A08C4">
            <w:pPr>
              <w:keepNext w:val="0"/>
              <w:keepLines w:val="0"/>
              <w:pageBreakBefore w:val="0"/>
              <w:widowControl/>
              <w:numPr>
                <w:ilvl w:val="0"/>
                <w:numId w:val="0"/>
              </w:numPr>
              <w:tabs>
                <w:tab w:val="left" w:pos="900"/>
                <w:tab w:val="left" w:pos="1080"/>
              </w:tabs>
              <w:kinsoku/>
              <w:wordWrap/>
              <w:overflowPunct/>
              <w:topLinePunct w:val="0"/>
              <w:autoSpaceDE/>
              <w:autoSpaceDN/>
              <w:bidi w:val="0"/>
              <w:adjustRightInd/>
              <w:snapToGrid/>
              <w:spacing w:line="360" w:lineRule="exact"/>
              <w:ind w:firstLine="420" w:firstLineChars="200"/>
              <w:textAlignment w:val="auto"/>
              <w:rPr>
                <w:rFonts w:hint="default" w:ascii="宋体" w:hAnsi="宋体" w:eastAsia="宋体" w:cs="宋体"/>
                <w:b w:val="0"/>
                <w:bCs w:val="0"/>
                <w:color w:val="auto"/>
                <w:szCs w:val="21"/>
                <w:highlight w:val="none"/>
                <w:lang w:val="en-US" w:eastAsia="zh-CN"/>
              </w:rPr>
            </w:pPr>
            <w:r>
              <w:rPr>
                <w:rFonts w:hint="default" w:ascii="宋体" w:hAnsi="宋体" w:eastAsia="宋体" w:cs="宋体"/>
                <w:b w:val="0"/>
                <w:bCs w:val="0"/>
                <w:color w:val="auto"/>
                <w:szCs w:val="21"/>
                <w:highlight w:val="none"/>
                <w:lang w:val="en-US" w:eastAsia="zh-CN"/>
              </w:rPr>
              <w:t>保护等级和受胁水平参照《国家重点保护野生动物名录》 （2021年2月1日修订）、《广西重点保护野生动物名录》（2022 年9月13</w:t>
            </w:r>
            <w:r>
              <w:rPr>
                <w:rFonts w:hint="eastAsia" w:ascii="宋体" w:hAnsi="宋体" w:eastAsia="宋体" w:cs="宋体"/>
                <w:b w:val="0"/>
                <w:bCs w:val="0"/>
                <w:color w:val="auto"/>
                <w:szCs w:val="21"/>
                <w:highlight w:val="none"/>
                <w:lang w:val="en-US" w:eastAsia="zh-CN"/>
              </w:rPr>
              <w:t>日）</w:t>
            </w:r>
            <w:r>
              <w:rPr>
                <w:rFonts w:hint="default" w:ascii="宋体" w:hAnsi="宋体" w:eastAsia="宋体" w:cs="宋体"/>
                <w:b w:val="0"/>
                <w:bCs w:val="0"/>
                <w:color w:val="auto"/>
                <w:szCs w:val="21"/>
                <w:highlight w:val="none"/>
                <w:lang w:val="en-US" w:eastAsia="zh-CN"/>
              </w:rPr>
              <w:t>、《濒危野生动植物保护国际贸易公约》（2023 年2月）和 IUCN红色名录（2022 年 2 月）。</w:t>
            </w:r>
          </w:p>
          <w:p w14:paraId="75B6A808">
            <w:pPr>
              <w:keepNext w:val="0"/>
              <w:keepLines w:val="0"/>
              <w:pageBreakBefore w:val="0"/>
              <w:widowControl/>
              <w:numPr>
                <w:ilvl w:val="0"/>
                <w:numId w:val="0"/>
              </w:numPr>
              <w:tabs>
                <w:tab w:val="left" w:pos="900"/>
                <w:tab w:val="left" w:pos="1080"/>
              </w:tabs>
              <w:kinsoku/>
              <w:wordWrap/>
              <w:overflowPunct/>
              <w:topLinePunct w:val="0"/>
              <w:autoSpaceDE/>
              <w:autoSpaceDN/>
              <w:bidi w:val="0"/>
              <w:adjustRightInd/>
              <w:snapToGrid/>
              <w:spacing w:line="360" w:lineRule="exact"/>
              <w:ind w:firstLine="420" w:firstLineChars="200"/>
              <w:textAlignment w:val="auto"/>
              <w:rPr>
                <w:rFonts w:hint="default" w:ascii="宋体" w:hAnsi="宋体" w:eastAsia="宋体" w:cs="宋体"/>
                <w:b w:val="0"/>
                <w:bCs w:val="0"/>
                <w:color w:val="auto"/>
                <w:szCs w:val="21"/>
                <w:highlight w:val="none"/>
                <w:lang w:val="en-US" w:eastAsia="zh-CN"/>
              </w:rPr>
            </w:pPr>
            <w:r>
              <w:rPr>
                <w:rFonts w:hint="default" w:ascii="宋体" w:hAnsi="宋体" w:eastAsia="宋体" w:cs="宋体"/>
                <w:b w:val="0"/>
                <w:bCs w:val="0"/>
                <w:color w:val="auto"/>
                <w:szCs w:val="21"/>
                <w:highlight w:val="none"/>
                <w:lang w:val="en-US" w:eastAsia="zh-CN"/>
              </w:rPr>
              <w:t>7.外来入侵物种</w:t>
            </w:r>
          </w:p>
          <w:p w14:paraId="1F19F7B0">
            <w:pPr>
              <w:keepNext w:val="0"/>
              <w:keepLines w:val="0"/>
              <w:pageBreakBefore w:val="0"/>
              <w:widowControl/>
              <w:numPr>
                <w:ilvl w:val="0"/>
                <w:numId w:val="0"/>
              </w:numPr>
              <w:tabs>
                <w:tab w:val="left" w:pos="900"/>
                <w:tab w:val="left" w:pos="1080"/>
              </w:tabs>
              <w:kinsoku/>
              <w:wordWrap/>
              <w:overflowPunct/>
              <w:topLinePunct w:val="0"/>
              <w:autoSpaceDE/>
              <w:autoSpaceDN/>
              <w:bidi w:val="0"/>
              <w:adjustRightInd/>
              <w:snapToGrid/>
              <w:spacing w:line="360" w:lineRule="exact"/>
              <w:ind w:firstLine="420" w:firstLineChars="200"/>
              <w:textAlignment w:val="auto"/>
              <w:rPr>
                <w:rFonts w:hint="default" w:ascii="宋体" w:hAnsi="宋体" w:eastAsia="宋体" w:cs="宋体"/>
                <w:b w:val="0"/>
                <w:bCs w:val="0"/>
                <w:color w:val="auto"/>
                <w:szCs w:val="21"/>
                <w:highlight w:val="none"/>
                <w:lang w:val="en-US" w:eastAsia="zh-CN"/>
              </w:rPr>
            </w:pPr>
            <w:r>
              <w:rPr>
                <w:rFonts w:hint="default" w:ascii="宋体" w:hAnsi="宋体" w:eastAsia="宋体" w:cs="宋体"/>
                <w:b w:val="0"/>
                <w:bCs w:val="0"/>
                <w:color w:val="auto"/>
                <w:szCs w:val="21"/>
                <w:highlight w:val="none"/>
                <w:lang w:val="en-US" w:eastAsia="zh-CN"/>
              </w:rPr>
              <w:t>外来入侵物种监测采用样线法和样方法相结合的方法，针对外来入侵物种的习性，布设固定的监测样线或样方进行持续监测，记录入侵物种的种类、分布、危害程度等。</w:t>
            </w:r>
          </w:p>
          <w:p w14:paraId="0BFEDAD6">
            <w:pPr>
              <w:keepNext w:val="0"/>
              <w:keepLines w:val="0"/>
              <w:pageBreakBefore w:val="0"/>
              <w:widowControl/>
              <w:numPr>
                <w:ilvl w:val="0"/>
                <w:numId w:val="0"/>
              </w:numPr>
              <w:tabs>
                <w:tab w:val="left" w:pos="900"/>
                <w:tab w:val="left" w:pos="1080"/>
              </w:tabs>
              <w:kinsoku/>
              <w:wordWrap/>
              <w:overflowPunct/>
              <w:topLinePunct w:val="0"/>
              <w:autoSpaceDE/>
              <w:autoSpaceDN/>
              <w:bidi w:val="0"/>
              <w:adjustRightInd/>
              <w:snapToGrid/>
              <w:spacing w:line="360" w:lineRule="exact"/>
              <w:ind w:firstLine="420" w:firstLineChars="200"/>
              <w:textAlignment w:val="auto"/>
              <w:rPr>
                <w:rFonts w:hint="default" w:ascii="宋体" w:hAnsi="宋体" w:eastAsia="宋体" w:cs="宋体"/>
                <w:b w:val="0"/>
                <w:bCs w:val="0"/>
                <w:color w:val="auto"/>
                <w:szCs w:val="21"/>
                <w:highlight w:val="none"/>
                <w:lang w:val="en-US" w:eastAsia="zh-CN"/>
              </w:rPr>
            </w:pPr>
            <w:r>
              <w:rPr>
                <w:rFonts w:hint="eastAsia" w:ascii="宋体" w:hAnsi="宋体" w:eastAsia="宋体" w:cs="宋体"/>
                <w:b w:val="0"/>
                <w:bCs w:val="0"/>
                <w:color w:val="auto"/>
                <w:szCs w:val="21"/>
                <w:highlight w:val="none"/>
                <w:lang w:val="en-US" w:eastAsia="zh-CN"/>
              </w:rPr>
              <w:t>①</w:t>
            </w:r>
            <w:r>
              <w:rPr>
                <w:rFonts w:hint="default" w:ascii="宋体" w:hAnsi="宋体" w:eastAsia="宋体" w:cs="宋体"/>
                <w:b w:val="0"/>
                <w:bCs w:val="0"/>
                <w:color w:val="auto"/>
                <w:szCs w:val="21"/>
                <w:highlight w:val="none"/>
                <w:lang w:val="en-US" w:eastAsia="zh-CN"/>
              </w:rPr>
              <w:t>清道夫（学名：豹纹脂身鲇）作为底栖杂食性鱼类，主要栖息于水流较缓的石底河床、浅滩砾石区及人工设施（如堤坝、桥墩）周边，以藻类、残饵及其他底栖生物为食，会破坏底栖生境并挤占土著鱼类生存空间。通过针对性布设监测点位，精准掌握清道夫在湿地内的分布范围、种群密度及对底栖生态的危害程度，为后续防控提供数据支撑。</w:t>
            </w:r>
          </w:p>
          <w:p w14:paraId="302092BF">
            <w:pPr>
              <w:keepNext w:val="0"/>
              <w:keepLines w:val="0"/>
              <w:pageBreakBefore w:val="0"/>
              <w:widowControl/>
              <w:numPr>
                <w:ilvl w:val="0"/>
                <w:numId w:val="0"/>
              </w:numPr>
              <w:tabs>
                <w:tab w:val="left" w:pos="900"/>
                <w:tab w:val="left" w:pos="1080"/>
              </w:tabs>
              <w:kinsoku/>
              <w:wordWrap/>
              <w:overflowPunct/>
              <w:topLinePunct w:val="0"/>
              <w:autoSpaceDE/>
              <w:autoSpaceDN/>
              <w:bidi w:val="0"/>
              <w:adjustRightInd/>
              <w:snapToGrid/>
              <w:spacing w:line="360" w:lineRule="exact"/>
              <w:ind w:firstLine="420" w:firstLineChars="200"/>
              <w:textAlignment w:val="auto"/>
              <w:rPr>
                <w:rFonts w:hint="default" w:ascii="宋体" w:hAnsi="宋体" w:eastAsia="宋体" w:cs="宋体"/>
                <w:b w:val="0"/>
                <w:bCs w:val="0"/>
                <w:color w:val="auto"/>
                <w:szCs w:val="21"/>
                <w:highlight w:val="none"/>
                <w:lang w:val="en-US" w:eastAsia="zh-CN"/>
              </w:rPr>
            </w:pPr>
            <w:r>
              <w:rPr>
                <w:rFonts w:hint="eastAsia" w:ascii="宋体" w:hAnsi="宋体" w:eastAsia="宋体" w:cs="宋体"/>
                <w:b w:val="0"/>
                <w:bCs w:val="0"/>
                <w:color w:val="auto"/>
                <w:szCs w:val="21"/>
                <w:highlight w:val="none"/>
                <w:lang w:val="en-US" w:eastAsia="zh-CN"/>
              </w:rPr>
              <w:t>②</w:t>
            </w:r>
            <w:r>
              <w:rPr>
                <w:rFonts w:hint="default" w:ascii="宋体" w:hAnsi="宋体" w:eastAsia="宋体" w:cs="宋体"/>
                <w:b w:val="0"/>
                <w:bCs w:val="0"/>
                <w:color w:val="auto"/>
                <w:szCs w:val="21"/>
                <w:highlight w:val="none"/>
                <w:lang w:val="en-US" w:eastAsia="zh-CN"/>
              </w:rPr>
              <w:t>罗非鱼（主要入侵种类为尼罗罗非鱼）为广温性杂食鱼类，喜栖息于水温较高、水质较肥的浅水区（如库湾、沼泽、稻田排水口），繁殖能力强（一年多次繁殖），易形成优势种群，与土著鱼类竞争食物（浮游生物、水生植物）和繁殖场地。通过针对性布设监测</w:t>
            </w:r>
            <w:r>
              <w:rPr>
                <w:rFonts w:hint="eastAsia" w:ascii="宋体" w:hAnsi="宋体" w:cs="宋体"/>
                <w:b w:val="0"/>
                <w:bCs w:val="0"/>
                <w:color w:val="auto"/>
                <w:szCs w:val="21"/>
                <w:highlight w:val="none"/>
                <w:lang w:val="en-US" w:eastAsia="zh-CN"/>
              </w:rPr>
              <w:t>点位，</w:t>
            </w:r>
            <w:r>
              <w:rPr>
                <w:rFonts w:hint="default" w:ascii="宋体" w:hAnsi="宋体" w:eastAsia="宋体" w:cs="宋体"/>
                <w:b w:val="0"/>
                <w:bCs w:val="0"/>
                <w:color w:val="auto"/>
                <w:szCs w:val="21"/>
                <w:highlight w:val="none"/>
                <w:lang w:val="en-US" w:eastAsia="zh-CN"/>
              </w:rPr>
              <w:t>旨在掌握罗非鱼在湿地内的种群动态、繁殖分布及对水生生态系统的竞争危害，为防控提供精准依据。</w:t>
            </w:r>
          </w:p>
          <w:p w14:paraId="195DF9C1">
            <w:pPr>
              <w:keepNext w:val="0"/>
              <w:keepLines w:val="0"/>
              <w:pageBreakBefore w:val="0"/>
              <w:widowControl/>
              <w:numPr>
                <w:ilvl w:val="0"/>
                <w:numId w:val="0"/>
              </w:numPr>
              <w:tabs>
                <w:tab w:val="left" w:pos="900"/>
                <w:tab w:val="left" w:pos="1080"/>
              </w:tabs>
              <w:kinsoku/>
              <w:wordWrap/>
              <w:overflowPunct/>
              <w:topLinePunct w:val="0"/>
              <w:autoSpaceDE/>
              <w:autoSpaceDN/>
              <w:bidi w:val="0"/>
              <w:adjustRightInd/>
              <w:snapToGrid/>
              <w:spacing w:line="360" w:lineRule="exact"/>
              <w:ind w:firstLine="420" w:firstLineChars="200"/>
              <w:textAlignment w:val="auto"/>
              <w:rPr>
                <w:rFonts w:hint="default" w:ascii="宋体" w:hAnsi="宋体" w:eastAsia="宋体" w:cs="宋体"/>
                <w:b w:val="0"/>
                <w:bCs w:val="0"/>
                <w:color w:val="auto"/>
                <w:szCs w:val="21"/>
                <w:highlight w:val="none"/>
                <w:lang w:val="en-US" w:eastAsia="zh-CN"/>
              </w:rPr>
            </w:pPr>
            <w:r>
              <w:rPr>
                <w:rFonts w:hint="default" w:ascii="宋体" w:hAnsi="宋体" w:eastAsia="宋体" w:cs="宋体"/>
                <w:b w:val="0"/>
                <w:bCs w:val="0"/>
                <w:color w:val="auto"/>
                <w:szCs w:val="21"/>
                <w:highlight w:val="none"/>
                <w:lang w:val="en-US" w:eastAsia="zh-CN"/>
              </w:rPr>
              <w:t>8.受威胁状况</w:t>
            </w:r>
          </w:p>
          <w:p w14:paraId="18EAD513">
            <w:pPr>
              <w:keepNext w:val="0"/>
              <w:keepLines w:val="0"/>
              <w:pageBreakBefore w:val="0"/>
              <w:widowControl/>
              <w:numPr>
                <w:ilvl w:val="0"/>
                <w:numId w:val="0"/>
              </w:numPr>
              <w:tabs>
                <w:tab w:val="left" w:pos="900"/>
                <w:tab w:val="left" w:pos="1080"/>
              </w:tabs>
              <w:kinsoku/>
              <w:wordWrap/>
              <w:overflowPunct/>
              <w:topLinePunct w:val="0"/>
              <w:autoSpaceDE/>
              <w:autoSpaceDN/>
              <w:bidi w:val="0"/>
              <w:adjustRightInd/>
              <w:snapToGrid/>
              <w:spacing w:line="360" w:lineRule="exact"/>
              <w:ind w:firstLine="420" w:firstLineChars="200"/>
              <w:textAlignment w:val="auto"/>
              <w:rPr>
                <w:rFonts w:hint="default" w:ascii="宋体" w:hAnsi="宋体" w:eastAsia="宋体" w:cs="宋体"/>
                <w:b w:val="0"/>
                <w:bCs w:val="0"/>
                <w:color w:val="auto"/>
                <w:szCs w:val="21"/>
                <w:highlight w:val="none"/>
                <w:lang w:val="en-US" w:eastAsia="zh-CN"/>
              </w:rPr>
            </w:pPr>
            <w:r>
              <w:rPr>
                <w:rFonts w:hint="default" w:ascii="宋体" w:hAnsi="宋体" w:eastAsia="宋体" w:cs="宋体"/>
                <w:b w:val="0"/>
                <w:bCs w:val="0"/>
                <w:color w:val="auto"/>
                <w:szCs w:val="21"/>
                <w:highlight w:val="none"/>
                <w:lang w:val="en-US" w:eastAsia="zh-CN"/>
              </w:rPr>
              <w:t>资料收集法。向自然资源、生态环境、农业农村、水利、文化和旅游、交通运输等相关职能部门、经营和管理单位，收集相关资料与数据。</w:t>
            </w:r>
          </w:p>
          <w:p w14:paraId="6BC7423D">
            <w:pPr>
              <w:keepNext w:val="0"/>
              <w:keepLines w:val="0"/>
              <w:pageBreakBefore w:val="0"/>
              <w:widowControl/>
              <w:numPr>
                <w:ilvl w:val="0"/>
                <w:numId w:val="0"/>
              </w:numPr>
              <w:tabs>
                <w:tab w:val="left" w:pos="900"/>
                <w:tab w:val="left" w:pos="1080"/>
              </w:tabs>
              <w:kinsoku/>
              <w:wordWrap/>
              <w:overflowPunct/>
              <w:topLinePunct w:val="0"/>
              <w:autoSpaceDE/>
              <w:autoSpaceDN/>
              <w:bidi w:val="0"/>
              <w:adjustRightInd/>
              <w:snapToGrid/>
              <w:spacing w:line="360" w:lineRule="exact"/>
              <w:ind w:firstLine="420" w:firstLineChars="200"/>
              <w:textAlignment w:val="auto"/>
              <w:rPr>
                <w:rFonts w:hint="eastAsia" w:ascii="宋体" w:hAnsi="宋体" w:eastAsia="宋体" w:cs="宋体"/>
                <w:color w:val="auto"/>
                <w:kern w:val="2"/>
                <w:sz w:val="21"/>
                <w:szCs w:val="21"/>
                <w:highlight w:val="none"/>
                <w:lang w:val="en-US" w:eastAsia="zh-CN" w:bidi="ar-SA"/>
              </w:rPr>
            </w:pPr>
            <w:r>
              <w:rPr>
                <w:rFonts w:hint="default" w:ascii="宋体" w:hAnsi="宋体" w:eastAsia="宋体" w:cs="宋体"/>
                <w:b w:val="0"/>
                <w:bCs w:val="0"/>
                <w:color w:val="auto"/>
                <w:szCs w:val="21"/>
                <w:highlight w:val="none"/>
                <w:lang w:val="en-US" w:eastAsia="zh-CN"/>
              </w:rPr>
              <w:t>现场调查法。湿地的基础设施建设、禁止性行为、受威胁状况采用遥感影像解译或无人机调查等方法计算影响面积、记录危害情况、评估影响程度。</w:t>
            </w:r>
          </w:p>
        </w:tc>
        <w:tc>
          <w:tcPr>
            <w:tcW w:w="1173" w:type="dxa"/>
            <w:tcBorders>
              <w:top w:val="single" w:color="auto" w:sz="4" w:space="0"/>
              <w:left w:val="single" w:color="auto" w:sz="4" w:space="0"/>
              <w:bottom w:val="single" w:color="auto" w:sz="4" w:space="0"/>
              <w:right w:val="single" w:color="auto" w:sz="4" w:space="0"/>
            </w:tcBorders>
            <w:noWrap w:val="0"/>
            <w:vAlign w:val="center"/>
          </w:tcPr>
          <w:p w14:paraId="62278DE7">
            <w:pPr>
              <w:keepNext w:val="0"/>
              <w:keepLines w:val="0"/>
              <w:pageBreakBefore w:val="0"/>
              <w:kinsoku/>
              <w:wordWrap/>
              <w:overflowPunct/>
              <w:topLinePunct w:val="0"/>
              <w:autoSpaceDE/>
              <w:autoSpaceDN/>
              <w:bidi w:val="0"/>
              <w:adjustRightInd/>
              <w:snapToGrid/>
              <w:spacing w:line="360" w:lineRule="exact"/>
              <w:jc w:val="center"/>
              <w:textAlignment w:val="auto"/>
              <w:rPr>
                <w:rFonts w:hint="eastAsia" w:ascii="宋体" w:hAnsi="宋体" w:eastAsia="宋体" w:cs="宋体"/>
                <w:b/>
                <w:bCs/>
                <w:color w:val="auto"/>
                <w:szCs w:val="21"/>
                <w:highlight w:val="none"/>
                <w:lang w:val="en-US" w:eastAsia="zh-CN"/>
              </w:rPr>
            </w:pPr>
            <w:r>
              <w:rPr>
                <w:rFonts w:hint="eastAsia" w:ascii="宋体" w:hAnsi="宋体" w:eastAsia="宋体" w:cs="宋体"/>
                <w:b/>
                <w:bCs/>
                <w:color w:val="auto"/>
                <w:szCs w:val="21"/>
                <w:highlight w:val="none"/>
                <w:lang w:val="en-US" w:eastAsia="zh-CN"/>
              </w:rPr>
              <w:t>其他未列明行业</w:t>
            </w:r>
          </w:p>
        </w:tc>
      </w:tr>
      <w:tr w14:paraId="7C30F20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24" w:hRule="atLeast"/>
          <w:jc w:val="center"/>
        </w:trPr>
        <w:tc>
          <w:tcPr>
            <w:tcW w:w="545"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2AE2D256">
            <w:pPr>
              <w:keepNext w:val="0"/>
              <w:keepLines w:val="0"/>
              <w:pageBreakBefore w:val="0"/>
              <w:kinsoku/>
              <w:wordWrap/>
              <w:overflowPunct/>
              <w:topLinePunct w:val="0"/>
              <w:autoSpaceDE/>
              <w:autoSpaceDN/>
              <w:bidi w:val="0"/>
              <w:adjustRightInd/>
              <w:snapToGrid/>
              <w:spacing w:line="360" w:lineRule="exact"/>
              <w:jc w:val="center"/>
              <w:textAlignment w:val="auto"/>
              <w:rPr>
                <w:rFonts w:hint="eastAsia" w:ascii="宋体" w:hAnsi="宋体" w:eastAsia="宋体" w:cs="宋体"/>
                <w:color w:val="auto"/>
                <w:highlight w:val="none"/>
              </w:rPr>
            </w:pPr>
          </w:p>
          <w:p w14:paraId="334A6896">
            <w:pPr>
              <w:keepNext w:val="0"/>
              <w:keepLines w:val="0"/>
              <w:pageBreakBefore w:val="0"/>
              <w:kinsoku/>
              <w:wordWrap/>
              <w:overflowPunct/>
              <w:topLinePunct w:val="0"/>
              <w:autoSpaceDE/>
              <w:autoSpaceDN/>
              <w:bidi w:val="0"/>
              <w:adjustRightInd/>
              <w:snapToGrid/>
              <w:spacing w:line="360" w:lineRule="exact"/>
              <w:jc w:val="center"/>
              <w:textAlignment w:val="auto"/>
              <w:rPr>
                <w:rFonts w:hint="eastAsia" w:ascii="宋体" w:hAnsi="宋体" w:eastAsia="宋体" w:cs="宋体"/>
                <w:color w:val="auto"/>
                <w:highlight w:val="none"/>
              </w:rPr>
            </w:pPr>
            <w:r>
              <w:rPr>
                <w:rFonts w:hint="eastAsia" w:ascii="宋体" w:hAnsi="宋体" w:eastAsia="宋体" w:cs="宋体"/>
                <w:color w:val="auto"/>
                <w:highlight w:val="none"/>
              </w:rPr>
              <w:t>商务条款</w:t>
            </w:r>
          </w:p>
        </w:tc>
        <w:tc>
          <w:tcPr>
            <w:tcW w:w="9576" w:type="dxa"/>
            <w:gridSpan w:val="6"/>
            <w:tcBorders>
              <w:top w:val="single" w:color="auto" w:sz="4" w:space="0"/>
              <w:left w:val="single" w:color="auto" w:sz="4" w:space="0"/>
              <w:bottom w:val="single" w:color="auto" w:sz="4" w:space="0"/>
              <w:right w:val="single" w:color="auto" w:sz="4" w:space="0"/>
            </w:tcBorders>
            <w:shd w:val="clear" w:color="auto" w:fill="auto"/>
            <w:noWrap w:val="0"/>
            <w:vAlign w:val="top"/>
          </w:tcPr>
          <w:p w14:paraId="344B73A5">
            <w:pPr>
              <w:keepNext w:val="0"/>
              <w:keepLines w:val="0"/>
              <w:pageBreakBefore w:val="0"/>
              <w:widowControl/>
              <w:kinsoku/>
              <w:wordWrap/>
              <w:overflowPunct/>
              <w:topLinePunct w:val="0"/>
              <w:autoSpaceDE/>
              <w:autoSpaceDN/>
              <w:bidi w:val="0"/>
              <w:adjustRightInd/>
              <w:snapToGrid/>
              <w:spacing w:line="360" w:lineRule="exact"/>
              <w:jc w:val="left"/>
              <w:textAlignment w:val="auto"/>
              <w:rPr>
                <w:rFonts w:hint="eastAsia" w:ascii="宋体" w:hAnsi="宋体" w:eastAsia="宋体" w:cs="宋体"/>
                <w:color w:val="auto"/>
                <w:kern w:val="0"/>
                <w:szCs w:val="21"/>
                <w:highlight w:val="none"/>
              </w:rPr>
            </w:pPr>
            <w:r>
              <w:rPr>
                <w:rFonts w:hint="eastAsia" w:ascii="宋体" w:hAnsi="宋体" w:eastAsia="宋体" w:cs="宋体"/>
                <w:b/>
                <w:bCs/>
                <w:color w:val="auto"/>
                <w:kern w:val="0"/>
                <w:szCs w:val="21"/>
                <w:highlight w:val="none"/>
              </w:rPr>
              <w:t>一、合同签订期：</w:t>
            </w:r>
            <w:r>
              <w:rPr>
                <w:rFonts w:hint="eastAsia" w:ascii="宋体" w:hAnsi="宋体" w:eastAsia="宋体" w:cs="宋体"/>
                <w:color w:val="auto"/>
                <w:kern w:val="0"/>
                <w:szCs w:val="21"/>
                <w:highlight w:val="none"/>
              </w:rPr>
              <w:t>自</w:t>
            </w:r>
            <w:r>
              <w:rPr>
                <w:rFonts w:hint="eastAsia" w:ascii="宋体" w:hAnsi="宋体" w:cs="宋体"/>
                <w:color w:val="auto"/>
                <w:kern w:val="0"/>
                <w:szCs w:val="21"/>
                <w:highlight w:val="none"/>
                <w:lang w:val="en-US" w:eastAsia="zh-CN"/>
              </w:rPr>
              <w:t>中标</w:t>
            </w:r>
            <w:r>
              <w:rPr>
                <w:rFonts w:hint="eastAsia" w:ascii="宋体" w:hAnsi="宋体" w:eastAsia="宋体" w:cs="宋体"/>
                <w:color w:val="auto"/>
                <w:kern w:val="0"/>
                <w:szCs w:val="21"/>
                <w:highlight w:val="none"/>
              </w:rPr>
              <w:t>通知书发出之日起25日内。</w:t>
            </w:r>
          </w:p>
          <w:p w14:paraId="60B127F1">
            <w:pPr>
              <w:keepNext w:val="0"/>
              <w:keepLines w:val="0"/>
              <w:pageBreakBefore w:val="0"/>
              <w:widowControl/>
              <w:kinsoku/>
              <w:wordWrap/>
              <w:overflowPunct/>
              <w:topLinePunct w:val="0"/>
              <w:autoSpaceDE/>
              <w:autoSpaceDN/>
              <w:bidi w:val="0"/>
              <w:adjustRightInd/>
              <w:snapToGrid/>
              <w:spacing w:line="360" w:lineRule="exact"/>
              <w:jc w:val="left"/>
              <w:textAlignment w:val="auto"/>
              <w:rPr>
                <w:rFonts w:hint="eastAsia" w:ascii="宋体" w:hAnsi="宋体" w:eastAsia="宋体" w:cs="宋体"/>
                <w:b/>
                <w:bCs/>
                <w:color w:val="auto"/>
                <w:kern w:val="0"/>
                <w:szCs w:val="21"/>
                <w:highlight w:val="none"/>
                <w:lang w:eastAsia="zh-CN"/>
              </w:rPr>
            </w:pPr>
            <w:r>
              <w:rPr>
                <w:rFonts w:hint="eastAsia" w:ascii="宋体" w:hAnsi="宋体" w:eastAsia="宋体" w:cs="宋体"/>
                <w:b/>
                <w:bCs/>
                <w:color w:val="auto"/>
                <w:kern w:val="0"/>
                <w:szCs w:val="21"/>
                <w:highlight w:val="none"/>
              </w:rPr>
              <w:t>▲二、</w:t>
            </w:r>
            <w:r>
              <w:rPr>
                <w:rFonts w:hint="eastAsia" w:ascii="宋体" w:hAnsi="宋体" w:eastAsia="宋体" w:cs="宋体"/>
                <w:b/>
                <w:bCs/>
                <w:color w:val="auto"/>
                <w:kern w:val="0"/>
                <w:szCs w:val="21"/>
                <w:highlight w:val="none"/>
                <w:lang w:val="en-US" w:eastAsia="zh-CN"/>
              </w:rPr>
              <w:t>服务期限</w:t>
            </w:r>
            <w:r>
              <w:rPr>
                <w:rFonts w:hint="eastAsia" w:ascii="宋体" w:hAnsi="宋体" w:eastAsia="宋体" w:cs="宋体"/>
                <w:b/>
                <w:bCs/>
                <w:color w:val="auto"/>
                <w:kern w:val="0"/>
                <w:szCs w:val="21"/>
                <w:highlight w:val="none"/>
              </w:rPr>
              <w:t>：自本合同签订生效之日起至2026 年12月31日前完成23 处监测卡口</w:t>
            </w:r>
            <w:r>
              <w:rPr>
                <w:rFonts w:hint="eastAsia" w:ascii="宋体" w:hAnsi="宋体" w:cs="宋体"/>
                <w:b/>
                <w:bCs/>
                <w:color w:val="auto"/>
                <w:kern w:val="0"/>
                <w:szCs w:val="21"/>
                <w:highlight w:val="none"/>
                <w:lang w:val="en-US" w:eastAsia="zh-CN"/>
              </w:rPr>
              <w:t>的</w:t>
            </w:r>
            <w:r>
              <w:rPr>
                <w:rFonts w:hint="eastAsia" w:ascii="宋体" w:hAnsi="宋体" w:eastAsia="宋体" w:cs="宋体"/>
                <w:b/>
                <w:bCs/>
                <w:color w:val="auto"/>
                <w:kern w:val="0"/>
                <w:szCs w:val="21"/>
                <w:highlight w:val="none"/>
              </w:rPr>
              <w:t>供货、立杆、安装调试并正常投运。自卡口投运同步开展为期12个月全域常态化生态监测，全套监测评估报告于监测期满 30 日内提交。所有监测配套、资料整改、验收工作于2027年6月30日前全部完成</w:t>
            </w:r>
            <w:r>
              <w:rPr>
                <w:rFonts w:hint="eastAsia" w:ascii="宋体" w:hAnsi="宋体" w:cs="宋体"/>
                <w:b/>
                <w:bCs/>
                <w:color w:val="auto"/>
                <w:kern w:val="0"/>
                <w:szCs w:val="21"/>
                <w:highlight w:val="none"/>
                <w:lang w:eastAsia="zh-CN"/>
              </w:rPr>
              <w:t>。</w:t>
            </w:r>
          </w:p>
          <w:p w14:paraId="03FB2DEA">
            <w:pPr>
              <w:keepNext w:val="0"/>
              <w:keepLines w:val="0"/>
              <w:pageBreakBefore w:val="0"/>
              <w:widowControl/>
              <w:shd w:val="clear" w:color="auto" w:fill="FFFFFF"/>
              <w:kinsoku/>
              <w:wordWrap/>
              <w:overflowPunct/>
              <w:topLinePunct w:val="0"/>
              <w:autoSpaceDE/>
              <w:autoSpaceDN/>
              <w:bidi w:val="0"/>
              <w:adjustRightInd/>
              <w:snapToGrid/>
              <w:spacing w:line="360" w:lineRule="exact"/>
              <w:textAlignment w:val="auto"/>
              <w:rPr>
                <w:rFonts w:hint="eastAsia" w:ascii="宋体" w:hAnsi="宋体" w:eastAsia="宋体" w:cs="宋体"/>
                <w:bCs/>
                <w:color w:val="auto"/>
                <w:highlight w:val="none"/>
                <w:u w:val="single"/>
              </w:rPr>
            </w:pPr>
            <w:r>
              <w:rPr>
                <w:rFonts w:hint="eastAsia" w:ascii="宋体" w:hAnsi="宋体" w:eastAsia="宋体" w:cs="宋体"/>
                <w:b/>
                <w:bCs/>
                <w:color w:val="auto"/>
                <w:highlight w:val="none"/>
              </w:rPr>
              <w:t>三、提交服务地点</w:t>
            </w:r>
            <w:r>
              <w:rPr>
                <w:rFonts w:hint="eastAsia" w:ascii="宋体" w:hAnsi="宋体" w:eastAsia="宋体" w:cs="宋体"/>
                <w:bCs/>
                <w:color w:val="auto"/>
                <w:highlight w:val="none"/>
              </w:rPr>
              <w:t>：采购人指定地点。</w:t>
            </w:r>
          </w:p>
          <w:p w14:paraId="181D6E88">
            <w:pPr>
              <w:keepNext w:val="0"/>
              <w:keepLines w:val="0"/>
              <w:pageBreakBefore w:val="0"/>
              <w:shd w:val="clear"/>
              <w:kinsoku/>
              <w:wordWrap/>
              <w:overflowPunct/>
              <w:topLinePunct w:val="0"/>
              <w:autoSpaceDE/>
              <w:autoSpaceDN/>
              <w:bidi w:val="0"/>
              <w:adjustRightInd/>
              <w:snapToGrid/>
              <w:spacing w:line="360" w:lineRule="exact"/>
              <w:textAlignment w:val="auto"/>
              <w:rPr>
                <w:rFonts w:hint="eastAsia" w:ascii="宋体" w:hAnsi="宋体" w:eastAsia="宋体" w:cs="宋体"/>
                <w:color w:val="auto"/>
                <w:highlight w:val="none"/>
              </w:rPr>
            </w:pPr>
            <w:r>
              <w:rPr>
                <w:rFonts w:hint="eastAsia" w:ascii="宋体" w:hAnsi="宋体" w:eastAsia="宋体" w:cs="宋体"/>
                <w:b/>
                <w:bCs/>
                <w:color w:val="auto"/>
                <w:szCs w:val="21"/>
                <w:highlight w:val="none"/>
              </w:rPr>
              <w:t>▲</w:t>
            </w:r>
            <w:r>
              <w:rPr>
                <w:rFonts w:hint="eastAsia" w:ascii="宋体" w:hAnsi="宋体" w:eastAsia="宋体" w:cs="宋体"/>
                <w:b/>
                <w:bCs/>
                <w:color w:val="auto"/>
                <w:highlight w:val="none"/>
              </w:rPr>
              <w:t>四、投标报价要求</w:t>
            </w:r>
            <w:r>
              <w:rPr>
                <w:rFonts w:hint="eastAsia" w:ascii="宋体" w:hAnsi="宋体" w:eastAsia="宋体" w:cs="宋体"/>
                <w:color w:val="auto"/>
                <w:highlight w:val="none"/>
              </w:rPr>
              <w:t>：</w:t>
            </w:r>
          </w:p>
          <w:p w14:paraId="09E270DB">
            <w:pPr>
              <w:keepNext w:val="0"/>
              <w:keepLines w:val="0"/>
              <w:pageBreakBefore w:val="0"/>
              <w:shd w:val="clear"/>
              <w:kinsoku/>
              <w:wordWrap/>
              <w:overflowPunct/>
              <w:topLinePunct w:val="0"/>
              <w:autoSpaceDE/>
              <w:autoSpaceDN/>
              <w:bidi w:val="0"/>
              <w:adjustRightInd/>
              <w:snapToGrid/>
              <w:spacing w:line="360" w:lineRule="exact"/>
              <w:textAlignment w:val="auto"/>
              <w:rPr>
                <w:rFonts w:hint="eastAsia" w:ascii="宋体" w:hAnsi="宋体" w:eastAsia="宋体" w:cs="宋体"/>
                <w:color w:val="auto"/>
                <w:highlight w:val="none"/>
              </w:rPr>
            </w:pPr>
            <w:r>
              <w:rPr>
                <w:rFonts w:hint="eastAsia" w:ascii="宋体" w:hAnsi="宋体" w:eastAsia="宋体" w:cs="宋体"/>
                <w:color w:val="auto"/>
                <w:highlight w:val="none"/>
              </w:rPr>
              <w:t>本项目投标报价包含本项目所有服务内容、所涉及的软件、系统、实施、定制、调试、验收费、差旅费、培训费、人工费、接口费、开发费等各种费用和维护服务、税金、利润及其它所有成本费用的总和，</w:t>
            </w:r>
            <w:r>
              <w:rPr>
                <w:rFonts w:hint="eastAsia" w:ascii="宋体" w:hAnsi="宋体" w:cs="宋体"/>
                <w:color w:val="auto"/>
                <w:highlight w:val="none"/>
                <w:lang w:val="en-US" w:eastAsia="zh-CN"/>
              </w:rPr>
              <w:t>采购人</w:t>
            </w:r>
            <w:r>
              <w:rPr>
                <w:rFonts w:hint="eastAsia" w:ascii="宋体" w:hAnsi="宋体" w:eastAsia="宋体" w:cs="宋体"/>
                <w:color w:val="auto"/>
                <w:highlight w:val="none"/>
              </w:rPr>
              <w:t>不再支付任何费用。</w:t>
            </w:r>
          </w:p>
          <w:p w14:paraId="4747636D">
            <w:pPr>
              <w:keepNext w:val="0"/>
              <w:keepLines w:val="0"/>
              <w:pageBreakBefore w:val="0"/>
              <w:shd w:val="clear"/>
              <w:kinsoku/>
              <w:wordWrap/>
              <w:overflowPunct/>
              <w:topLinePunct w:val="0"/>
              <w:autoSpaceDE/>
              <w:autoSpaceDN/>
              <w:bidi w:val="0"/>
              <w:adjustRightInd/>
              <w:snapToGrid/>
              <w:spacing w:line="360" w:lineRule="exact"/>
              <w:textAlignment w:val="auto"/>
              <w:rPr>
                <w:rFonts w:hint="eastAsia" w:ascii="宋体" w:hAnsi="宋体" w:eastAsia="宋体" w:cs="宋体"/>
                <w:color w:val="auto"/>
                <w:highlight w:val="none"/>
              </w:rPr>
            </w:pPr>
            <w:r>
              <w:rPr>
                <w:rFonts w:hint="eastAsia" w:ascii="宋体" w:hAnsi="宋体" w:eastAsia="宋体" w:cs="宋体"/>
                <w:b/>
                <w:bCs/>
                <w:color w:val="auto"/>
                <w:szCs w:val="21"/>
                <w:highlight w:val="none"/>
              </w:rPr>
              <w:t>▲</w:t>
            </w:r>
            <w:r>
              <w:rPr>
                <w:rFonts w:hint="eastAsia" w:ascii="宋体" w:hAnsi="宋体" w:eastAsia="宋体" w:cs="宋体"/>
                <w:b/>
                <w:bCs/>
                <w:color w:val="auto"/>
                <w:highlight w:val="none"/>
              </w:rPr>
              <w:t>五、付款方式</w:t>
            </w:r>
            <w:r>
              <w:rPr>
                <w:rFonts w:hint="eastAsia" w:ascii="宋体" w:hAnsi="宋体" w:eastAsia="宋体" w:cs="宋体"/>
                <w:color w:val="auto"/>
                <w:highlight w:val="none"/>
              </w:rPr>
              <w:t>：</w:t>
            </w:r>
          </w:p>
          <w:p w14:paraId="543E5706">
            <w:pPr>
              <w:keepNext w:val="0"/>
              <w:keepLines w:val="0"/>
              <w:pageBreakBefore w:val="0"/>
              <w:widowControl/>
              <w:shd w:val="clear" w:color="auto"/>
              <w:kinsoku/>
              <w:wordWrap/>
              <w:overflowPunct/>
              <w:topLinePunct w:val="0"/>
              <w:autoSpaceDE/>
              <w:autoSpaceDN/>
              <w:bidi w:val="0"/>
              <w:adjustRightInd/>
              <w:snapToGrid/>
              <w:spacing w:line="360" w:lineRule="exact"/>
              <w:textAlignment w:val="auto"/>
              <w:rPr>
                <w:rFonts w:hint="eastAsia" w:ascii="宋体" w:hAnsi="宋体" w:cs="宋体"/>
                <w:b w:val="0"/>
                <w:bCs/>
                <w:color w:val="auto"/>
                <w:kern w:val="0"/>
                <w:highlight w:val="none"/>
                <w:lang w:eastAsia="zh-CN"/>
              </w:rPr>
            </w:pPr>
            <w:r>
              <w:rPr>
                <w:rFonts w:hint="eastAsia" w:ascii="宋体" w:hAnsi="宋体" w:cs="宋体"/>
                <w:b w:val="0"/>
                <w:bCs/>
                <w:color w:val="auto"/>
                <w:kern w:val="0"/>
                <w:highlight w:val="none"/>
                <w:lang w:val="en-US" w:eastAsia="zh-CN"/>
              </w:rPr>
              <w:t>1.</w:t>
            </w:r>
            <w:r>
              <w:rPr>
                <w:rFonts w:hint="eastAsia" w:ascii="宋体" w:hAnsi="宋体" w:cs="宋体"/>
                <w:b w:val="0"/>
                <w:bCs/>
                <w:color w:val="auto"/>
                <w:kern w:val="0"/>
                <w:highlight w:val="none"/>
                <w:lang w:eastAsia="zh-CN"/>
              </w:rPr>
              <w:t>中标人完成项目量的 60% 后，采购人在收到中标人开具的合规发票 15 日内，向中标人支付合同总金额的 65%；</w:t>
            </w:r>
          </w:p>
          <w:p w14:paraId="5889DEF7">
            <w:pPr>
              <w:keepNext w:val="0"/>
              <w:keepLines w:val="0"/>
              <w:pageBreakBefore w:val="0"/>
              <w:widowControl/>
              <w:shd w:val="clear" w:color="auto"/>
              <w:kinsoku/>
              <w:wordWrap/>
              <w:overflowPunct/>
              <w:topLinePunct w:val="0"/>
              <w:autoSpaceDE/>
              <w:autoSpaceDN/>
              <w:bidi w:val="0"/>
              <w:adjustRightInd/>
              <w:snapToGrid/>
              <w:spacing w:line="360" w:lineRule="exact"/>
              <w:textAlignment w:val="auto"/>
              <w:rPr>
                <w:rFonts w:hint="eastAsia" w:ascii="宋体" w:hAnsi="宋体" w:eastAsia="宋体" w:cs="宋体"/>
                <w:b w:val="0"/>
                <w:bCs/>
                <w:color w:val="auto"/>
                <w:kern w:val="0"/>
                <w:highlight w:val="none"/>
                <w:lang w:eastAsia="zh-CN"/>
              </w:rPr>
            </w:pPr>
            <w:r>
              <w:rPr>
                <w:rFonts w:hint="eastAsia" w:ascii="宋体" w:hAnsi="宋体" w:cs="宋体"/>
                <w:b w:val="0"/>
                <w:bCs/>
                <w:color w:val="auto"/>
                <w:kern w:val="0"/>
                <w:highlight w:val="none"/>
                <w:lang w:val="en-US" w:eastAsia="zh-CN"/>
              </w:rPr>
              <w:t>2.</w:t>
            </w:r>
            <w:r>
              <w:rPr>
                <w:rFonts w:hint="eastAsia" w:ascii="宋体" w:hAnsi="宋体" w:cs="宋体"/>
                <w:b w:val="0"/>
                <w:bCs/>
                <w:color w:val="auto"/>
                <w:kern w:val="0"/>
                <w:highlight w:val="none"/>
                <w:lang w:eastAsia="zh-CN"/>
              </w:rPr>
              <w:t>项目全部完成，设备布设调试到位、全部监测工作实施完毕并通过采购人最终验收后，采购人在收到中标人开具的合规发票15日内，向中标人支付合同总金额的35%。</w:t>
            </w:r>
          </w:p>
          <w:p w14:paraId="0AC63E84">
            <w:pPr>
              <w:keepNext w:val="0"/>
              <w:keepLines w:val="0"/>
              <w:pageBreakBefore w:val="0"/>
              <w:widowControl/>
              <w:shd w:val="clear" w:color="auto"/>
              <w:kinsoku/>
              <w:wordWrap/>
              <w:overflowPunct/>
              <w:topLinePunct w:val="0"/>
              <w:autoSpaceDE/>
              <w:autoSpaceDN/>
              <w:bidi w:val="0"/>
              <w:adjustRightInd/>
              <w:snapToGrid/>
              <w:spacing w:line="360" w:lineRule="exact"/>
              <w:textAlignment w:val="auto"/>
              <w:rPr>
                <w:rFonts w:hint="eastAsia" w:ascii="宋体" w:hAnsi="宋体" w:eastAsia="宋体" w:cs="宋体"/>
                <w:bCs/>
                <w:color w:val="auto"/>
                <w:kern w:val="0"/>
                <w:highlight w:val="none"/>
              </w:rPr>
            </w:pPr>
            <w:r>
              <w:rPr>
                <w:rFonts w:hint="eastAsia" w:ascii="宋体" w:hAnsi="宋体" w:eastAsia="宋体" w:cs="宋体"/>
                <w:b/>
                <w:color w:val="auto"/>
                <w:kern w:val="0"/>
                <w:highlight w:val="none"/>
              </w:rPr>
              <w:t>六、服务要求</w:t>
            </w:r>
            <w:r>
              <w:rPr>
                <w:rFonts w:hint="eastAsia" w:ascii="宋体" w:hAnsi="宋体" w:eastAsia="宋体" w:cs="宋体"/>
                <w:bCs/>
                <w:color w:val="auto"/>
                <w:kern w:val="0"/>
                <w:highlight w:val="none"/>
              </w:rPr>
              <w:t>：</w:t>
            </w:r>
          </w:p>
          <w:p w14:paraId="2C8F4110">
            <w:pPr>
              <w:keepNext w:val="0"/>
              <w:keepLines w:val="0"/>
              <w:pageBreakBefore w:val="0"/>
              <w:widowControl/>
              <w:shd w:val="clear" w:color="auto"/>
              <w:kinsoku/>
              <w:wordWrap/>
              <w:overflowPunct/>
              <w:topLinePunct w:val="0"/>
              <w:autoSpaceDE/>
              <w:autoSpaceDN/>
              <w:bidi w:val="0"/>
              <w:adjustRightInd/>
              <w:snapToGrid/>
              <w:spacing w:line="360" w:lineRule="exact"/>
              <w:textAlignment w:val="auto"/>
              <w:rPr>
                <w:rFonts w:hint="eastAsia" w:ascii="宋体" w:hAnsi="宋体" w:eastAsia="宋体" w:cs="宋体"/>
                <w:bCs/>
                <w:color w:val="auto"/>
                <w:kern w:val="0"/>
                <w:highlight w:val="none"/>
              </w:rPr>
            </w:pPr>
            <w:r>
              <w:rPr>
                <w:rFonts w:hint="eastAsia" w:ascii="宋体" w:hAnsi="宋体" w:eastAsia="宋体" w:cs="宋体"/>
                <w:bCs/>
                <w:color w:val="auto"/>
                <w:kern w:val="0"/>
                <w:highlight w:val="none"/>
              </w:rPr>
              <w:t>1.免费上门安装、调试合格，免费提供1年维护巡检、一年两次的例行系统巡检服务。</w:t>
            </w:r>
          </w:p>
          <w:p w14:paraId="133F0AF3">
            <w:pPr>
              <w:keepNext w:val="0"/>
              <w:keepLines w:val="0"/>
              <w:pageBreakBefore w:val="0"/>
              <w:widowControl/>
              <w:shd w:val="clear" w:color="auto"/>
              <w:kinsoku/>
              <w:wordWrap/>
              <w:overflowPunct/>
              <w:topLinePunct w:val="0"/>
              <w:autoSpaceDE/>
              <w:autoSpaceDN/>
              <w:bidi w:val="0"/>
              <w:adjustRightInd/>
              <w:snapToGrid/>
              <w:spacing w:line="360" w:lineRule="exact"/>
              <w:textAlignment w:val="auto"/>
              <w:rPr>
                <w:rFonts w:hint="eastAsia" w:ascii="宋体" w:hAnsi="宋体" w:eastAsia="宋体" w:cs="宋体"/>
                <w:bCs/>
                <w:color w:val="auto"/>
                <w:kern w:val="0"/>
                <w:highlight w:val="none"/>
              </w:rPr>
            </w:pPr>
            <w:r>
              <w:rPr>
                <w:rFonts w:hint="eastAsia" w:ascii="宋体" w:hAnsi="宋体" w:eastAsia="宋体" w:cs="宋体"/>
                <w:bCs/>
                <w:color w:val="auto"/>
                <w:kern w:val="0"/>
                <w:highlight w:val="none"/>
              </w:rPr>
              <w:t>2.在运维服务期内，原有软件模块功能均享受免费升级、免费维护服务，在不超过上述技术部分系统模块功能范围的前提下，可根据政策要求，双方协商进行个性化修改。</w:t>
            </w:r>
          </w:p>
          <w:p w14:paraId="1AEBFFEA">
            <w:pPr>
              <w:keepNext w:val="0"/>
              <w:keepLines w:val="0"/>
              <w:pageBreakBefore w:val="0"/>
              <w:widowControl/>
              <w:shd w:val="clear" w:color="auto"/>
              <w:kinsoku/>
              <w:wordWrap/>
              <w:overflowPunct/>
              <w:topLinePunct w:val="0"/>
              <w:autoSpaceDE/>
              <w:autoSpaceDN/>
              <w:bidi w:val="0"/>
              <w:adjustRightInd/>
              <w:snapToGrid/>
              <w:spacing w:line="360" w:lineRule="exact"/>
              <w:textAlignment w:val="auto"/>
              <w:rPr>
                <w:rFonts w:hint="eastAsia" w:ascii="宋体" w:hAnsi="宋体" w:eastAsia="宋体" w:cs="宋体"/>
                <w:bCs/>
                <w:color w:val="auto"/>
                <w:kern w:val="0"/>
                <w:highlight w:val="none"/>
              </w:rPr>
            </w:pPr>
            <w:r>
              <w:rPr>
                <w:rFonts w:hint="eastAsia" w:ascii="宋体" w:hAnsi="宋体" w:eastAsia="宋体" w:cs="宋体"/>
                <w:bCs/>
                <w:color w:val="auto"/>
                <w:kern w:val="0"/>
                <w:highlight w:val="none"/>
              </w:rPr>
              <w:t>3.运维服务期内（含塔上作业及应急抢修服务），提供7*24小时电话技术支持，解答</w:t>
            </w:r>
            <w:r>
              <w:rPr>
                <w:rFonts w:hint="eastAsia" w:ascii="宋体" w:hAnsi="宋体" w:cs="宋体"/>
                <w:bCs/>
                <w:color w:val="auto"/>
                <w:kern w:val="0"/>
                <w:highlight w:val="none"/>
                <w:lang w:val="en-US" w:eastAsia="zh-CN"/>
              </w:rPr>
              <w:t>采购人</w:t>
            </w:r>
            <w:r>
              <w:rPr>
                <w:rFonts w:hint="eastAsia" w:ascii="宋体" w:hAnsi="宋体" w:eastAsia="宋体" w:cs="宋体"/>
                <w:bCs/>
                <w:color w:val="auto"/>
                <w:kern w:val="0"/>
                <w:highlight w:val="none"/>
              </w:rPr>
              <w:t>在使用、维护过程中遇到的问题，并及时提出解决问题的建议和操作方法；定期回访、维护；发生故障或者出现问题时，接到故障通知后2小时内响应，4小时内远程处理，24小时内到达现场履行维修服务义务，按国家及行业标准对故障进行及时处理，终端设备在线率全年不低于95%。</w:t>
            </w:r>
          </w:p>
          <w:p w14:paraId="047FF23D">
            <w:pPr>
              <w:keepNext w:val="0"/>
              <w:keepLines w:val="0"/>
              <w:pageBreakBefore w:val="0"/>
              <w:widowControl/>
              <w:shd w:val="clear" w:color="auto"/>
              <w:kinsoku/>
              <w:wordWrap/>
              <w:overflowPunct/>
              <w:topLinePunct w:val="0"/>
              <w:autoSpaceDE/>
              <w:autoSpaceDN/>
              <w:bidi w:val="0"/>
              <w:adjustRightInd/>
              <w:snapToGrid/>
              <w:spacing w:line="360" w:lineRule="exact"/>
              <w:textAlignment w:val="auto"/>
              <w:rPr>
                <w:rFonts w:hint="eastAsia" w:ascii="宋体" w:hAnsi="宋体" w:eastAsia="宋体" w:cs="宋体"/>
                <w:bCs/>
                <w:color w:val="auto"/>
                <w:kern w:val="0"/>
                <w:highlight w:val="none"/>
              </w:rPr>
            </w:pPr>
            <w:r>
              <w:rPr>
                <w:rFonts w:hint="eastAsia" w:ascii="宋体" w:hAnsi="宋体" w:eastAsia="宋体" w:cs="宋体"/>
                <w:bCs/>
                <w:color w:val="auto"/>
                <w:kern w:val="0"/>
                <w:highlight w:val="none"/>
              </w:rPr>
              <w:t>4.培训：需提供免费现场培训,就本项目的安装、测试、操作、维护、系统培训（包括相关理论知识、系统流程、相关实施思想及相关技术内容）；应用培训（包括各个系统的连入、操作和注意事项等），直至</w:t>
            </w:r>
            <w:r>
              <w:rPr>
                <w:rFonts w:hint="eastAsia" w:ascii="宋体" w:hAnsi="宋体" w:cs="宋体"/>
                <w:bCs/>
                <w:color w:val="auto"/>
                <w:kern w:val="0"/>
                <w:highlight w:val="none"/>
                <w:lang w:val="en-US" w:eastAsia="zh-CN"/>
              </w:rPr>
              <w:t>采购人</w:t>
            </w:r>
            <w:r>
              <w:rPr>
                <w:rFonts w:hint="eastAsia" w:ascii="宋体" w:hAnsi="宋体" w:eastAsia="宋体" w:cs="宋体"/>
                <w:bCs/>
                <w:color w:val="auto"/>
                <w:kern w:val="0"/>
                <w:highlight w:val="none"/>
              </w:rPr>
              <w:t>指定的相关人员完全掌握操作以及相关基本维护技术为止。</w:t>
            </w:r>
          </w:p>
          <w:p w14:paraId="0C5DEAC7">
            <w:pPr>
              <w:keepNext w:val="0"/>
              <w:keepLines w:val="0"/>
              <w:pageBreakBefore w:val="0"/>
              <w:widowControl/>
              <w:shd w:val="clear" w:color="auto"/>
              <w:kinsoku/>
              <w:wordWrap/>
              <w:overflowPunct/>
              <w:topLinePunct w:val="0"/>
              <w:autoSpaceDE/>
              <w:autoSpaceDN/>
              <w:bidi w:val="0"/>
              <w:adjustRightInd/>
              <w:snapToGrid/>
              <w:spacing w:line="360" w:lineRule="exact"/>
              <w:textAlignment w:val="auto"/>
              <w:rPr>
                <w:rFonts w:hint="eastAsia" w:ascii="宋体" w:hAnsi="宋体" w:eastAsia="宋体" w:cs="宋体"/>
                <w:bCs/>
                <w:color w:val="auto"/>
                <w:kern w:val="0"/>
                <w:highlight w:val="none"/>
              </w:rPr>
            </w:pPr>
            <w:r>
              <w:rPr>
                <w:rFonts w:hint="eastAsia" w:ascii="宋体" w:hAnsi="宋体" w:eastAsia="宋体" w:cs="宋体"/>
                <w:bCs/>
                <w:color w:val="auto"/>
                <w:kern w:val="0"/>
                <w:highlight w:val="none"/>
              </w:rPr>
              <w:t>5.提供有效的应急系统启动方案，应急系统启动时间＜30分钟，整体系统修复时间≤6小时；当启动应急系统时须提供7*24小时的技术支持，并不限次数提供技术支持。</w:t>
            </w:r>
          </w:p>
          <w:p w14:paraId="6AD42748">
            <w:pPr>
              <w:keepNext w:val="0"/>
              <w:keepLines w:val="0"/>
              <w:pageBreakBefore w:val="0"/>
              <w:widowControl/>
              <w:shd w:val="clear" w:color="auto"/>
              <w:kinsoku/>
              <w:wordWrap/>
              <w:overflowPunct/>
              <w:topLinePunct w:val="0"/>
              <w:autoSpaceDE/>
              <w:autoSpaceDN/>
              <w:bidi w:val="0"/>
              <w:adjustRightInd/>
              <w:snapToGrid/>
              <w:spacing w:line="360" w:lineRule="exact"/>
              <w:textAlignment w:val="auto"/>
              <w:rPr>
                <w:rFonts w:hint="eastAsia" w:ascii="宋体" w:hAnsi="宋体" w:eastAsia="宋体" w:cs="宋体"/>
                <w:bCs/>
                <w:color w:val="auto"/>
                <w:kern w:val="0"/>
                <w:highlight w:val="none"/>
              </w:rPr>
            </w:pPr>
            <w:r>
              <w:rPr>
                <w:rFonts w:hint="eastAsia" w:ascii="宋体" w:hAnsi="宋体" w:eastAsia="宋体" w:cs="宋体"/>
                <w:bCs/>
                <w:color w:val="auto"/>
                <w:kern w:val="0"/>
                <w:highlight w:val="none"/>
              </w:rPr>
              <w:t>6.拟投入项目实施组人员不少于2人，需服从</w:t>
            </w:r>
            <w:r>
              <w:rPr>
                <w:rFonts w:hint="eastAsia" w:ascii="宋体" w:hAnsi="宋体" w:cs="宋体"/>
                <w:bCs/>
                <w:color w:val="auto"/>
                <w:kern w:val="0"/>
                <w:highlight w:val="none"/>
                <w:lang w:val="en-US" w:eastAsia="zh-CN"/>
              </w:rPr>
              <w:t>采购人</w:t>
            </w:r>
            <w:r>
              <w:rPr>
                <w:rFonts w:hint="eastAsia" w:ascii="宋体" w:hAnsi="宋体" w:eastAsia="宋体" w:cs="宋体"/>
                <w:bCs/>
                <w:color w:val="auto"/>
                <w:kern w:val="0"/>
                <w:highlight w:val="none"/>
              </w:rPr>
              <w:t>的调配与安排。</w:t>
            </w:r>
          </w:p>
          <w:p w14:paraId="71770AE5">
            <w:pPr>
              <w:keepNext w:val="0"/>
              <w:keepLines w:val="0"/>
              <w:pageBreakBefore w:val="0"/>
              <w:widowControl/>
              <w:shd w:val="clear" w:color="auto"/>
              <w:kinsoku/>
              <w:wordWrap/>
              <w:overflowPunct/>
              <w:topLinePunct w:val="0"/>
              <w:autoSpaceDE/>
              <w:autoSpaceDN/>
              <w:bidi w:val="0"/>
              <w:adjustRightInd/>
              <w:snapToGrid/>
              <w:spacing w:line="360" w:lineRule="exact"/>
              <w:textAlignment w:val="auto"/>
              <w:rPr>
                <w:rFonts w:hint="eastAsia" w:ascii="宋体" w:hAnsi="宋体" w:eastAsia="宋体" w:cs="宋体"/>
                <w:bCs/>
                <w:color w:val="auto"/>
                <w:kern w:val="0"/>
                <w:highlight w:val="none"/>
              </w:rPr>
            </w:pPr>
            <w:r>
              <w:rPr>
                <w:rFonts w:hint="eastAsia" w:ascii="宋体" w:hAnsi="宋体" w:eastAsia="宋体" w:cs="宋体"/>
                <w:bCs/>
                <w:color w:val="auto"/>
                <w:kern w:val="0"/>
                <w:highlight w:val="none"/>
              </w:rPr>
              <w:t>7.如在使用过程中发现由于软件错误导致的故障，须无偿修改直至恢复正常使用。</w:t>
            </w:r>
          </w:p>
          <w:p w14:paraId="68EC888A">
            <w:pPr>
              <w:keepNext w:val="0"/>
              <w:keepLines w:val="0"/>
              <w:pageBreakBefore w:val="0"/>
              <w:widowControl/>
              <w:shd w:val="clear" w:color="auto"/>
              <w:kinsoku/>
              <w:wordWrap/>
              <w:overflowPunct/>
              <w:topLinePunct w:val="0"/>
              <w:autoSpaceDE/>
              <w:autoSpaceDN/>
              <w:bidi w:val="0"/>
              <w:adjustRightInd/>
              <w:snapToGrid/>
              <w:spacing w:line="360" w:lineRule="exact"/>
              <w:textAlignment w:val="auto"/>
              <w:rPr>
                <w:rFonts w:hint="eastAsia" w:ascii="宋体" w:hAnsi="宋体" w:eastAsia="宋体" w:cs="宋体"/>
                <w:bCs/>
                <w:color w:val="auto"/>
                <w:kern w:val="0"/>
                <w:highlight w:val="none"/>
              </w:rPr>
            </w:pPr>
            <w:r>
              <w:rPr>
                <w:rFonts w:hint="eastAsia" w:ascii="宋体" w:hAnsi="宋体" w:eastAsia="宋体" w:cs="宋体"/>
                <w:bCs/>
                <w:color w:val="auto"/>
                <w:kern w:val="0"/>
                <w:highlight w:val="none"/>
              </w:rPr>
              <w:t>8.运维期满后提供永久的免费电话技术服务。</w:t>
            </w:r>
          </w:p>
          <w:p w14:paraId="6250E4D0">
            <w:pPr>
              <w:keepNext w:val="0"/>
              <w:keepLines w:val="0"/>
              <w:pageBreakBefore w:val="0"/>
              <w:widowControl/>
              <w:shd w:val="clear" w:color="auto"/>
              <w:kinsoku/>
              <w:wordWrap/>
              <w:overflowPunct/>
              <w:topLinePunct w:val="0"/>
              <w:autoSpaceDE/>
              <w:autoSpaceDN/>
              <w:bidi w:val="0"/>
              <w:adjustRightInd/>
              <w:snapToGrid/>
              <w:spacing w:line="360" w:lineRule="exact"/>
              <w:textAlignment w:val="auto"/>
              <w:rPr>
                <w:rFonts w:hint="eastAsia" w:ascii="宋体" w:hAnsi="宋体" w:eastAsia="宋体" w:cs="宋体"/>
                <w:bCs/>
                <w:color w:val="auto"/>
                <w:kern w:val="0"/>
                <w:highlight w:val="none"/>
              </w:rPr>
            </w:pPr>
            <w:r>
              <w:rPr>
                <w:rFonts w:hint="eastAsia" w:ascii="宋体" w:hAnsi="宋体" w:eastAsia="宋体" w:cs="宋体"/>
                <w:b/>
                <w:color w:val="auto"/>
                <w:kern w:val="0"/>
                <w:highlight w:val="none"/>
              </w:rPr>
              <w:t>七、验收要求</w:t>
            </w:r>
            <w:r>
              <w:rPr>
                <w:rFonts w:hint="eastAsia" w:ascii="宋体" w:hAnsi="宋体" w:eastAsia="宋体" w:cs="宋体"/>
                <w:bCs/>
                <w:color w:val="auto"/>
                <w:kern w:val="0"/>
                <w:highlight w:val="none"/>
              </w:rPr>
              <w:t>：</w:t>
            </w:r>
          </w:p>
          <w:p w14:paraId="49397BFA">
            <w:pPr>
              <w:pStyle w:val="9"/>
              <w:keepNext w:val="0"/>
              <w:keepLines w:val="0"/>
              <w:pageBreakBefore w:val="0"/>
              <w:kinsoku/>
              <w:wordWrap/>
              <w:overflowPunct/>
              <w:topLinePunct w:val="0"/>
              <w:autoSpaceDE/>
              <w:autoSpaceDN/>
              <w:bidi w:val="0"/>
              <w:adjustRightInd/>
              <w:snapToGrid/>
              <w:spacing w:line="360" w:lineRule="exact"/>
              <w:ind w:firstLine="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验收人员由</w:t>
            </w:r>
            <w:r>
              <w:rPr>
                <w:rFonts w:hint="eastAsia" w:ascii="宋体" w:hAnsi="宋体" w:cs="宋体"/>
                <w:color w:val="auto"/>
                <w:szCs w:val="21"/>
                <w:highlight w:val="none"/>
                <w:lang w:val="en-US" w:eastAsia="zh-CN"/>
              </w:rPr>
              <w:t>采购人</w:t>
            </w:r>
            <w:r>
              <w:rPr>
                <w:rFonts w:hint="eastAsia" w:ascii="宋体" w:hAnsi="宋体" w:eastAsia="宋体" w:cs="宋体"/>
                <w:color w:val="auto"/>
                <w:szCs w:val="21"/>
                <w:highlight w:val="none"/>
              </w:rPr>
              <w:t>指定的相关人员组成验收小组对服务成果进行验收,验收小组严格按照验收的标准要求、国家和行业验收规范要求、招标文件、合同中的相关条款及投标文件要求逐条进行现场验收：</w:t>
            </w:r>
          </w:p>
          <w:p w14:paraId="3FACD8B7">
            <w:pPr>
              <w:pStyle w:val="9"/>
              <w:keepNext w:val="0"/>
              <w:keepLines w:val="0"/>
              <w:pageBreakBefore w:val="0"/>
              <w:kinsoku/>
              <w:wordWrap/>
              <w:overflowPunct/>
              <w:topLinePunct w:val="0"/>
              <w:autoSpaceDE/>
              <w:autoSpaceDN/>
              <w:bidi w:val="0"/>
              <w:adjustRightInd/>
              <w:snapToGrid/>
              <w:spacing w:line="360" w:lineRule="exact"/>
              <w:ind w:firstLine="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1.系统安装完毕后，双方确认系统开通试运行日期，试运行期不少于10天。在试运行期间，若系统指标达不到或无法达到本项目所要求的技术和功能要求的，中标人须进行整改，试运行期做相应顺延。同时，在试运行期间，若系统运行有问题，中标人须无条件重新检测并调试直至验收合格交付使用。</w:t>
            </w:r>
          </w:p>
          <w:p w14:paraId="49E1C747">
            <w:pPr>
              <w:pStyle w:val="9"/>
              <w:keepNext w:val="0"/>
              <w:keepLines w:val="0"/>
              <w:pageBreakBefore w:val="0"/>
              <w:kinsoku/>
              <w:wordWrap/>
              <w:overflowPunct/>
              <w:topLinePunct w:val="0"/>
              <w:autoSpaceDE/>
              <w:autoSpaceDN/>
              <w:bidi w:val="0"/>
              <w:adjustRightInd/>
              <w:snapToGrid/>
              <w:spacing w:line="360" w:lineRule="exact"/>
              <w:ind w:firstLine="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2.验收时，中标人需向</w:t>
            </w:r>
            <w:r>
              <w:rPr>
                <w:rFonts w:hint="eastAsia" w:ascii="宋体" w:hAnsi="宋体" w:cs="宋体"/>
                <w:color w:val="auto"/>
                <w:szCs w:val="21"/>
                <w:highlight w:val="none"/>
                <w:lang w:val="en-US" w:eastAsia="zh-CN"/>
              </w:rPr>
              <w:t>采购人</w:t>
            </w:r>
            <w:r>
              <w:rPr>
                <w:rFonts w:hint="eastAsia" w:ascii="宋体" w:hAnsi="宋体" w:eastAsia="宋体" w:cs="宋体"/>
                <w:color w:val="auto"/>
                <w:szCs w:val="21"/>
                <w:highlight w:val="none"/>
              </w:rPr>
              <w:t>提供完整的技术资料，包括但不限于系统使用说明、详细设计说明书、功能测试报告等。</w:t>
            </w:r>
          </w:p>
          <w:p w14:paraId="7CCB2E32">
            <w:pPr>
              <w:pStyle w:val="9"/>
              <w:keepNext w:val="0"/>
              <w:keepLines w:val="0"/>
              <w:pageBreakBefore w:val="0"/>
              <w:kinsoku/>
              <w:wordWrap/>
              <w:overflowPunct/>
              <w:topLinePunct w:val="0"/>
              <w:autoSpaceDE/>
              <w:autoSpaceDN/>
              <w:bidi w:val="0"/>
              <w:adjustRightInd/>
              <w:snapToGrid/>
              <w:spacing w:line="360" w:lineRule="exact"/>
              <w:ind w:firstLine="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3.数量验收：中标人提交成果，由双方对照采购需求（包含功能目标、技术指标）进行验收。</w:t>
            </w:r>
          </w:p>
          <w:p w14:paraId="6DDBB341">
            <w:pPr>
              <w:pStyle w:val="9"/>
              <w:keepNext w:val="0"/>
              <w:keepLines w:val="0"/>
              <w:pageBreakBefore w:val="0"/>
              <w:kinsoku/>
              <w:wordWrap/>
              <w:overflowPunct/>
              <w:topLinePunct w:val="0"/>
              <w:autoSpaceDE/>
              <w:autoSpaceDN/>
              <w:bidi w:val="0"/>
              <w:adjustRightInd/>
              <w:snapToGrid/>
              <w:spacing w:line="360" w:lineRule="exact"/>
              <w:ind w:firstLine="0"/>
              <w:textAlignment w:val="auto"/>
              <w:rPr>
                <w:rFonts w:hint="eastAsia" w:ascii="宋体" w:hAnsi="宋体" w:eastAsia="宋体" w:cs="宋体"/>
                <w:bCs/>
                <w:color w:val="auto"/>
                <w:szCs w:val="21"/>
                <w:highlight w:val="none"/>
              </w:rPr>
            </w:pPr>
            <w:r>
              <w:rPr>
                <w:rFonts w:hint="eastAsia" w:ascii="宋体" w:hAnsi="宋体" w:eastAsia="宋体" w:cs="宋体"/>
                <w:color w:val="auto"/>
                <w:szCs w:val="21"/>
                <w:highlight w:val="none"/>
              </w:rPr>
              <w:t>4.</w:t>
            </w:r>
            <w:r>
              <w:rPr>
                <w:rFonts w:hint="eastAsia" w:ascii="宋体" w:hAnsi="宋体" w:cs="宋体"/>
                <w:color w:val="auto"/>
                <w:szCs w:val="21"/>
                <w:highlight w:val="none"/>
                <w:lang w:val="en-US" w:eastAsia="zh-CN"/>
              </w:rPr>
              <w:t>采购人</w:t>
            </w:r>
            <w:r>
              <w:rPr>
                <w:rFonts w:hint="eastAsia" w:ascii="宋体" w:hAnsi="宋体" w:eastAsia="宋体" w:cs="宋体"/>
                <w:color w:val="auto"/>
                <w:szCs w:val="21"/>
                <w:highlight w:val="none"/>
              </w:rPr>
              <w:t>保留对中标人所提供产品、服务进行全面测试的权利，如有虚假竞标、不满足招标文件及投标文件要求或所完成的服务不符合</w:t>
            </w:r>
            <w:r>
              <w:rPr>
                <w:rFonts w:hint="eastAsia" w:ascii="宋体" w:hAnsi="宋体" w:cs="宋体"/>
                <w:color w:val="auto"/>
                <w:szCs w:val="21"/>
                <w:highlight w:val="none"/>
                <w:lang w:val="en-US" w:eastAsia="zh-CN"/>
              </w:rPr>
              <w:t>采购人</w:t>
            </w:r>
            <w:r>
              <w:rPr>
                <w:rFonts w:hint="eastAsia" w:ascii="宋体" w:hAnsi="宋体" w:eastAsia="宋体" w:cs="宋体"/>
                <w:color w:val="auto"/>
                <w:szCs w:val="21"/>
                <w:highlight w:val="none"/>
              </w:rPr>
              <w:t>要求的，则视中标人违约，中标人承担所有责任和费用，</w:t>
            </w:r>
            <w:r>
              <w:rPr>
                <w:rFonts w:hint="eastAsia" w:ascii="宋体" w:hAnsi="宋体" w:cs="宋体"/>
                <w:color w:val="auto"/>
                <w:szCs w:val="21"/>
                <w:highlight w:val="none"/>
                <w:lang w:val="en-US" w:eastAsia="zh-CN"/>
              </w:rPr>
              <w:t>采购人</w:t>
            </w:r>
            <w:r>
              <w:rPr>
                <w:rFonts w:hint="eastAsia" w:ascii="宋体" w:hAnsi="宋体" w:eastAsia="宋体" w:cs="宋体"/>
                <w:color w:val="auto"/>
                <w:szCs w:val="21"/>
                <w:highlight w:val="none"/>
              </w:rPr>
              <w:t>保留进一步追究法律责任的权利。</w:t>
            </w:r>
          </w:p>
          <w:p w14:paraId="5059FA48">
            <w:pPr>
              <w:pStyle w:val="9"/>
              <w:keepNext w:val="0"/>
              <w:keepLines w:val="0"/>
              <w:pageBreakBefore w:val="0"/>
              <w:kinsoku/>
              <w:wordWrap/>
              <w:overflowPunct/>
              <w:topLinePunct w:val="0"/>
              <w:autoSpaceDE/>
              <w:autoSpaceDN/>
              <w:bidi w:val="0"/>
              <w:adjustRightInd/>
              <w:snapToGrid/>
              <w:spacing w:line="360" w:lineRule="exact"/>
              <w:ind w:firstLine="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5.验收方法：由</w:t>
            </w:r>
            <w:r>
              <w:rPr>
                <w:rFonts w:hint="eastAsia" w:ascii="宋体" w:hAnsi="宋体" w:cs="宋体"/>
                <w:color w:val="auto"/>
                <w:szCs w:val="21"/>
                <w:highlight w:val="none"/>
                <w:lang w:val="en-US" w:eastAsia="zh-CN"/>
              </w:rPr>
              <w:t>采购人</w:t>
            </w:r>
            <w:r>
              <w:rPr>
                <w:rFonts w:hint="eastAsia" w:ascii="宋体" w:hAnsi="宋体" w:eastAsia="宋体" w:cs="宋体"/>
                <w:color w:val="auto"/>
                <w:szCs w:val="21"/>
                <w:highlight w:val="none"/>
              </w:rPr>
              <w:t>对照采购文件的功能目标及技术指标全面核对检验，中标人须无条件配合</w:t>
            </w:r>
            <w:r>
              <w:rPr>
                <w:rFonts w:hint="eastAsia" w:ascii="宋体" w:hAnsi="宋体" w:cs="宋体"/>
                <w:color w:val="auto"/>
                <w:szCs w:val="21"/>
                <w:highlight w:val="none"/>
                <w:lang w:val="en-US" w:eastAsia="zh-CN"/>
              </w:rPr>
              <w:t>采购人</w:t>
            </w:r>
            <w:r>
              <w:rPr>
                <w:rFonts w:hint="eastAsia" w:ascii="宋体" w:hAnsi="宋体" w:eastAsia="宋体" w:cs="宋体"/>
                <w:color w:val="auto"/>
                <w:szCs w:val="21"/>
                <w:highlight w:val="none"/>
              </w:rPr>
              <w:t>对服务成果进行验收，如发现不符合招标文件、投标文件要求或提供虚假承诺的，按相关规定做违约处理，中标人承担所有责任和费用，</w:t>
            </w:r>
            <w:r>
              <w:rPr>
                <w:rFonts w:hint="eastAsia" w:ascii="宋体" w:hAnsi="宋体" w:cs="宋体"/>
                <w:color w:val="auto"/>
                <w:szCs w:val="21"/>
                <w:highlight w:val="none"/>
                <w:lang w:val="en-US" w:eastAsia="zh-CN"/>
              </w:rPr>
              <w:t>采购人</w:t>
            </w:r>
            <w:r>
              <w:rPr>
                <w:rFonts w:hint="eastAsia" w:ascii="宋体" w:hAnsi="宋体" w:eastAsia="宋体" w:cs="宋体"/>
                <w:color w:val="auto"/>
                <w:szCs w:val="21"/>
                <w:highlight w:val="none"/>
              </w:rPr>
              <w:t>保留进一步追究责任的权利。</w:t>
            </w:r>
          </w:p>
          <w:p w14:paraId="66C7C837">
            <w:pPr>
              <w:pStyle w:val="9"/>
              <w:keepNext w:val="0"/>
              <w:keepLines w:val="0"/>
              <w:pageBreakBefore w:val="0"/>
              <w:kinsoku/>
              <w:wordWrap/>
              <w:overflowPunct/>
              <w:topLinePunct w:val="0"/>
              <w:autoSpaceDE/>
              <w:autoSpaceDN/>
              <w:bidi w:val="0"/>
              <w:adjustRightInd/>
              <w:snapToGrid/>
              <w:spacing w:line="360" w:lineRule="exact"/>
              <w:ind w:firstLine="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6.</w:t>
            </w:r>
            <w:r>
              <w:rPr>
                <w:rFonts w:hint="eastAsia" w:ascii="宋体" w:hAnsi="宋体" w:cs="宋体"/>
                <w:color w:val="auto"/>
                <w:szCs w:val="21"/>
                <w:highlight w:val="none"/>
                <w:lang w:val="en-US" w:eastAsia="zh-CN"/>
              </w:rPr>
              <w:t>采购人</w:t>
            </w:r>
            <w:r>
              <w:rPr>
                <w:rFonts w:hint="eastAsia" w:ascii="宋体" w:hAnsi="宋体" w:eastAsia="宋体" w:cs="宋体"/>
                <w:color w:val="auto"/>
                <w:szCs w:val="21"/>
                <w:highlight w:val="none"/>
              </w:rPr>
              <w:t>有权委托有资质的第三方组织邀请相关部门、单位及有关技术专家针对服务成果按照磋商文件、投标文件及</w:t>
            </w:r>
            <w:r>
              <w:rPr>
                <w:rFonts w:hint="eastAsia" w:ascii="宋体" w:hAnsi="宋体" w:cs="宋体"/>
                <w:color w:val="auto"/>
                <w:szCs w:val="21"/>
                <w:highlight w:val="none"/>
                <w:lang w:val="en-US" w:eastAsia="zh-CN"/>
              </w:rPr>
              <w:t>采购人</w:t>
            </w:r>
            <w:r>
              <w:rPr>
                <w:rFonts w:hint="eastAsia" w:ascii="宋体" w:hAnsi="宋体" w:eastAsia="宋体" w:cs="宋体"/>
                <w:color w:val="auto"/>
                <w:szCs w:val="21"/>
                <w:highlight w:val="none"/>
              </w:rPr>
              <w:t>要求进行检验、核查。其检查结果如不合格或达不到要求按相关规定做违约处理，中标人承担所有责任和费用，</w:t>
            </w:r>
            <w:r>
              <w:rPr>
                <w:rFonts w:hint="eastAsia" w:ascii="宋体" w:hAnsi="宋体" w:cs="宋体"/>
                <w:color w:val="auto"/>
                <w:szCs w:val="21"/>
                <w:highlight w:val="none"/>
                <w:lang w:val="en-US" w:eastAsia="zh-CN"/>
              </w:rPr>
              <w:t>采购人</w:t>
            </w:r>
            <w:r>
              <w:rPr>
                <w:rFonts w:hint="eastAsia" w:ascii="宋体" w:hAnsi="宋体" w:eastAsia="宋体" w:cs="宋体"/>
                <w:color w:val="auto"/>
                <w:szCs w:val="21"/>
                <w:highlight w:val="none"/>
              </w:rPr>
              <w:t>保留进一步追究责任的权利。</w:t>
            </w:r>
          </w:p>
          <w:p w14:paraId="505E824E">
            <w:pPr>
              <w:pStyle w:val="9"/>
              <w:keepNext w:val="0"/>
              <w:keepLines w:val="0"/>
              <w:pageBreakBefore w:val="0"/>
              <w:kinsoku/>
              <w:wordWrap/>
              <w:overflowPunct/>
              <w:topLinePunct w:val="0"/>
              <w:autoSpaceDE/>
              <w:autoSpaceDN/>
              <w:bidi w:val="0"/>
              <w:adjustRightInd/>
              <w:snapToGrid/>
              <w:spacing w:line="360" w:lineRule="exact"/>
              <w:ind w:firstLine="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7.验收地点：</w:t>
            </w:r>
            <w:r>
              <w:rPr>
                <w:rFonts w:hint="eastAsia" w:ascii="宋体" w:hAnsi="宋体" w:cs="宋体"/>
                <w:color w:val="auto"/>
                <w:szCs w:val="21"/>
                <w:highlight w:val="none"/>
                <w:lang w:val="en-US" w:eastAsia="zh-CN"/>
              </w:rPr>
              <w:t>采购人</w:t>
            </w:r>
            <w:r>
              <w:rPr>
                <w:rFonts w:hint="eastAsia" w:ascii="宋体" w:hAnsi="宋体" w:eastAsia="宋体" w:cs="宋体"/>
                <w:color w:val="auto"/>
                <w:szCs w:val="21"/>
                <w:highlight w:val="none"/>
              </w:rPr>
              <w:t>指定地点。</w:t>
            </w:r>
          </w:p>
          <w:p w14:paraId="07984AB2">
            <w:pPr>
              <w:pStyle w:val="9"/>
              <w:keepNext w:val="0"/>
              <w:keepLines w:val="0"/>
              <w:pageBreakBefore w:val="0"/>
              <w:kinsoku/>
              <w:wordWrap/>
              <w:overflowPunct/>
              <w:topLinePunct w:val="0"/>
              <w:autoSpaceDE/>
              <w:autoSpaceDN/>
              <w:bidi w:val="0"/>
              <w:adjustRightInd/>
              <w:snapToGrid/>
              <w:spacing w:line="360" w:lineRule="exact"/>
              <w:ind w:firstLine="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8.验收过程中所产生的一切费用均由中标人承担；报价时应考虑相关费用。</w:t>
            </w:r>
          </w:p>
          <w:p w14:paraId="0D4EBE94">
            <w:pPr>
              <w:keepNext w:val="0"/>
              <w:keepLines w:val="0"/>
              <w:pageBreakBefore w:val="0"/>
              <w:widowControl/>
              <w:shd w:val="clear" w:color="auto" w:fill="FFFFFF"/>
              <w:kinsoku/>
              <w:wordWrap/>
              <w:overflowPunct/>
              <w:topLinePunct w:val="0"/>
              <w:autoSpaceDE/>
              <w:autoSpaceDN/>
              <w:bidi w:val="0"/>
              <w:adjustRightInd/>
              <w:snapToGrid/>
              <w:spacing w:line="360" w:lineRule="exact"/>
              <w:textAlignment w:val="auto"/>
              <w:rPr>
                <w:rFonts w:hint="eastAsia" w:ascii="宋体" w:hAnsi="宋体" w:eastAsia="宋体" w:cs="宋体"/>
                <w:bCs/>
                <w:color w:val="auto"/>
                <w:kern w:val="0"/>
                <w:highlight w:val="none"/>
              </w:rPr>
            </w:pPr>
            <w:r>
              <w:rPr>
                <w:rFonts w:hint="eastAsia" w:ascii="宋体" w:hAnsi="宋体" w:eastAsia="宋体" w:cs="宋体"/>
                <w:color w:val="auto"/>
                <w:szCs w:val="21"/>
                <w:highlight w:val="none"/>
              </w:rPr>
              <w:t>9.验收合格生效：以最后验收合格并交付使用为准，按合同相关规定执行，由于中标人的原因造成不能按时完成验收造成逾期供货事实，由此产生的一切责任均由中标人承担。</w:t>
            </w:r>
          </w:p>
          <w:p w14:paraId="7A8438EF">
            <w:pPr>
              <w:keepNext w:val="0"/>
              <w:keepLines w:val="0"/>
              <w:pageBreakBefore w:val="0"/>
              <w:widowControl/>
              <w:shd w:val="clear" w:color="auto" w:fill="FFFFFF"/>
              <w:kinsoku/>
              <w:wordWrap/>
              <w:overflowPunct/>
              <w:topLinePunct w:val="0"/>
              <w:autoSpaceDE/>
              <w:autoSpaceDN/>
              <w:bidi w:val="0"/>
              <w:adjustRightInd/>
              <w:snapToGrid/>
              <w:spacing w:line="360" w:lineRule="exact"/>
              <w:textAlignment w:val="auto"/>
              <w:rPr>
                <w:rFonts w:hint="eastAsia" w:ascii="宋体" w:hAnsi="宋体" w:eastAsia="宋体" w:cs="宋体"/>
                <w:bCs/>
                <w:color w:val="auto"/>
                <w:kern w:val="0"/>
                <w:highlight w:val="none"/>
              </w:rPr>
            </w:pPr>
            <w:r>
              <w:rPr>
                <w:rFonts w:hint="eastAsia" w:ascii="宋体" w:hAnsi="宋体" w:eastAsia="宋体" w:cs="宋体"/>
                <w:b/>
                <w:color w:val="auto"/>
                <w:kern w:val="0"/>
                <w:highlight w:val="none"/>
              </w:rPr>
              <w:t>八、知识产权</w:t>
            </w:r>
            <w:r>
              <w:rPr>
                <w:rFonts w:hint="eastAsia" w:ascii="宋体" w:hAnsi="宋体" w:eastAsia="宋体" w:cs="宋体"/>
                <w:bCs/>
                <w:color w:val="auto"/>
                <w:kern w:val="0"/>
                <w:highlight w:val="none"/>
              </w:rPr>
              <w:t>：</w:t>
            </w:r>
          </w:p>
          <w:p w14:paraId="2D2A591F">
            <w:pPr>
              <w:keepNext w:val="0"/>
              <w:keepLines w:val="0"/>
              <w:pageBreakBefore w:val="0"/>
              <w:widowControl/>
              <w:shd w:val="clear" w:color="auto" w:fill="FFFFFF"/>
              <w:kinsoku/>
              <w:wordWrap/>
              <w:overflowPunct/>
              <w:topLinePunct w:val="0"/>
              <w:autoSpaceDE/>
              <w:autoSpaceDN/>
              <w:bidi w:val="0"/>
              <w:adjustRightInd/>
              <w:snapToGrid/>
              <w:spacing w:line="360" w:lineRule="exact"/>
              <w:textAlignment w:val="auto"/>
              <w:rPr>
                <w:rFonts w:hint="eastAsia" w:ascii="宋体" w:hAnsi="宋体" w:eastAsia="宋体" w:cs="宋体"/>
                <w:bCs/>
                <w:color w:val="auto"/>
                <w:kern w:val="0"/>
                <w:highlight w:val="none"/>
              </w:rPr>
            </w:pPr>
            <w:r>
              <w:rPr>
                <w:rFonts w:hint="eastAsia" w:ascii="宋体" w:hAnsi="宋体" w:eastAsia="宋体" w:cs="宋体"/>
                <w:bCs/>
                <w:color w:val="auto"/>
                <w:kern w:val="0"/>
                <w:highlight w:val="none"/>
              </w:rPr>
              <w:t>1.本项目所有系统的所有权、使用权归</w:t>
            </w:r>
            <w:r>
              <w:rPr>
                <w:rFonts w:hint="eastAsia" w:ascii="宋体" w:hAnsi="宋体" w:cs="宋体"/>
                <w:color w:val="auto"/>
                <w:szCs w:val="21"/>
                <w:highlight w:val="none"/>
                <w:lang w:val="en-US" w:eastAsia="zh-CN"/>
              </w:rPr>
              <w:t>采购人</w:t>
            </w:r>
            <w:r>
              <w:rPr>
                <w:rFonts w:hint="eastAsia" w:ascii="宋体" w:hAnsi="宋体" w:eastAsia="宋体" w:cs="宋体"/>
                <w:bCs/>
                <w:color w:val="auto"/>
                <w:kern w:val="0"/>
                <w:highlight w:val="none"/>
              </w:rPr>
              <w:t>所有，知识产权归系统开发厂商所有。</w:t>
            </w:r>
          </w:p>
          <w:p w14:paraId="4BB2CC55">
            <w:pPr>
              <w:keepNext w:val="0"/>
              <w:keepLines w:val="0"/>
              <w:pageBreakBefore w:val="0"/>
              <w:widowControl/>
              <w:shd w:val="clear" w:color="auto" w:fill="FFFFFF"/>
              <w:kinsoku/>
              <w:wordWrap/>
              <w:overflowPunct/>
              <w:topLinePunct w:val="0"/>
              <w:autoSpaceDE/>
              <w:autoSpaceDN/>
              <w:bidi w:val="0"/>
              <w:adjustRightInd/>
              <w:snapToGrid/>
              <w:spacing w:line="360" w:lineRule="exact"/>
              <w:textAlignment w:val="auto"/>
              <w:rPr>
                <w:rFonts w:hint="eastAsia" w:ascii="宋体" w:hAnsi="宋体" w:eastAsia="宋体" w:cs="宋体"/>
                <w:bCs/>
                <w:color w:val="auto"/>
                <w:kern w:val="0"/>
                <w:highlight w:val="none"/>
              </w:rPr>
            </w:pPr>
            <w:r>
              <w:rPr>
                <w:rFonts w:hint="eastAsia" w:ascii="宋体" w:hAnsi="宋体" w:eastAsia="宋体" w:cs="宋体"/>
                <w:bCs/>
                <w:color w:val="auto"/>
                <w:kern w:val="0"/>
                <w:highlight w:val="none"/>
              </w:rPr>
              <w:t>2.中标人应保证</w:t>
            </w:r>
            <w:r>
              <w:rPr>
                <w:rFonts w:hint="eastAsia" w:ascii="宋体" w:hAnsi="宋体" w:cs="宋体"/>
                <w:color w:val="auto"/>
                <w:szCs w:val="21"/>
                <w:highlight w:val="none"/>
                <w:lang w:val="en-US" w:eastAsia="zh-CN"/>
              </w:rPr>
              <w:t>采购人</w:t>
            </w:r>
            <w:r>
              <w:rPr>
                <w:rFonts w:hint="eastAsia" w:ascii="宋体" w:hAnsi="宋体" w:eastAsia="宋体" w:cs="宋体"/>
                <w:bCs/>
                <w:color w:val="auto"/>
                <w:kern w:val="0"/>
                <w:highlight w:val="none"/>
              </w:rPr>
              <w:t>及其授权使用者在使用该项目系统时免受第三方在知识产权方面的起诉。如第三方提出侵权指控，中标人须承担由此而引起的一切法律责任和费用，</w:t>
            </w:r>
            <w:r>
              <w:rPr>
                <w:rFonts w:hint="eastAsia" w:ascii="宋体" w:hAnsi="宋体" w:cs="宋体"/>
                <w:color w:val="auto"/>
                <w:szCs w:val="21"/>
                <w:highlight w:val="none"/>
                <w:lang w:val="en-US" w:eastAsia="zh-CN"/>
              </w:rPr>
              <w:t>采购人</w:t>
            </w:r>
            <w:r>
              <w:rPr>
                <w:rFonts w:hint="eastAsia" w:ascii="宋体" w:hAnsi="宋体" w:eastAsia="宋体" w:cs="宋体"/>
                <w:bCs/>
                <w:color w:val="auto"/>
                <w:kern w:val="0"/>
                <w:highlight w:val="none"/>
              </w:rPr>
              <w:t>保留进一步追究责任的权利。</w:t>
            </w:r>
          </w:p>
          <w:p w14:paraId="5A655276">
            <w:pPr>
              <w:keepNext w:val="0"/>
              <w:keepLines w:val="0"/>
              <w:pageBreakBefore w:val="0"/>
              <w:widowControl/>
              <w:shd w:val="clear" w:color="auto" w:fill="FFFFFF"/>
              <w:kinsoku/>
              <w:wordWrap/>
              <w:overflowPunct/>
              <w:topLinePunct w:val="0"/>
              <w:autoSpaceDE/>
              <w:autoSpaceDN/>
              <w:bidi w:val="0"/>
              <w:adjustRightInd/>
              <w:snapToGrid/>
              <w:spacing w:line="360" w:lineRule="exact"/>
              <w:textAlignment w:val="auto"/>
              <w:rPr>
                <w:rFonts w:hint="eastAsia" w:ascii="宋体" w:hAnsi="宋体" w:eastAsia="宋体" w:cs="宋体"/>
                <w:b/>
                <w:bCs/>
                <w:color w:val="auto"/>
                <w:szCs w:val="21"/>
                <w:highlight w:val="none"/>
              </w:rPr>
            </w:pPr>
            <w:r>
              <w:rPr>
                <w:rFonts w:hint="eastAsia" w:ascii="宋体" w:hAnsi="宋体" w:eastAsia="宋体" w:cs="宋体"/>
                <w:b/>
                <w:color w:val="auto"/>
                <w:kern w:val="0"/>
                <w:highlight w:val="none"/>
              </w:rPr>
              <w:t>九、</w:t>
            </w:r>
            <w:r>
              <w:rPr>
                <w:rFonts w:hint="eastAsia" w:ascii="宋体" w:hAnsi="宋体" w:eastAsia="宋体" w:cs="宋体"/>
                <w:b/>
                <w:color w:val="auto"/>
                <w:szCs w:val="21"/>
                <w:highlight w:val="none"/>
              </w:rPr>
              <w:t>保密要</w:t>
            </w:r>
            <w:r>
              <w:rPr>
                <w:rFonts w:hint="eastAsia" w:ascii="宋体" w:hAnsi="宋体" w:eastAsia="宋体" w:cs="宋体"/>
                <w:b/>
                <w:bCs/>
                <w:color w:val="auto"/>
                <w:szCs w:val="21"/>
                <w:highlight w:val="none"/>
              </w:rPr>
              <w:t>求</w:t>
            </w:r>
          </w:p>
          <w:p w14:paraId="1981F48B">
            <w:pPr>
              <w:keepNext w:val="0"/>
              <w:keepLines w:val="0"/>
              <w:pageBreakBefore w:val="0"/>
              <w:widowControl/>
              <w:shd w:val="clear" w:color="auto" w:fill="FFFFFF"/>
              <w:kinsoku/>
              <w:wordWrap/>
              <w:overflowPunct/>
              <w:topLinePunct w:val="0"/>
              <w:autoSpaceDE/>
              <w:autoSpaceDN/>
              <w:bidi w:val="0"/>
              <w:adjustRightInd/>
              <w:snapToGrid/>
              <w:spacing w:line="360" w:lineRule="exac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中标人须</w:t>
            </w:r>
            <w:r>
              <w:rPr>
                <w:rFonts w:hint="eastAsia" w:ascii="宋体" w:hAnsi="宋体" w:eastAsia="宋体" w:cs="宋体"/>
                <w:bCs/>
                <w:color w:val="auto"/>
                <w:kern w:val="0"/>
                <w:szCs w:val="21"/>
                <w:highlight w:val="none"/>
                <w:lang w:bidi="ar"/>
              </w:rPr>
              <w:t>严格执行保密制度，</w:t>
            </w:r>
            <w:r>
              <w:rPr>
                <w:rFonts w:hint="eastAsia" w:ascii="宋体" w:hAnsi="宋体" w:eastAsia="宋体" w:cs="宋体"/>
                <w:color w:val="auto"/>
                <w:szCs w:val="21"/>
                <w:highlight w:val="none"/>
              </w:rPr>
              <w:t>保证对项目实施过程中产生的各类技术文件、信息以及由</w:t>
            </w:r>
            <w:r>
              <w:rPr>
                <w:rFonts w:hint="eastAsia" w:ascii="宋体" w:hAnsi="宋体" w:cs="宋体"/>
                <w:color w:val="auto"/>
                <w:szCs w:val="21"/>
                <w:highlight w:val="none"/>
                <w:lang w:val="en-US" w:eastAsia="zh-CN"/>
              </w:rPr>
              <w:t>采购人</w:t>
            </w:r>
            <w:r>
              <w:rPr>
                <w:rFonts w:hint="eastAsia" w:ascii="宋体" w:hAnsi="宋体" w:eastAsia="宋体" w:cs="宋体"/>
                <w:color w:val="auto"/>
                <w:szCs w:val="21"/>
                <w:highlight w:val="none"/>
              </w:rPr>
              <w:t>提供的所有内部资料、技术文档和信息予以保密；未经</w:t>
            </w:r>
            <w:r>
              <w:rPr>
                <w:rFonts w:hint="eastAsia" w:ascii="宋体" w:hAnsi="宋体" w:cs="宋体"/>
                <w:color w:val="auto"/>
                <w:szCs w:val="21"/>
                <w:highlight w:val="none"/>
                <w:lang w:val="en-US" w:eastAsia="zh-CN"/>
              </w:rPr>
              <w:t>采购人</w:t>
            </w:r>
            <w:r>
              <w:rPr>
                <w:rFonts w:hint="eastAsia" w:ascii="宋体" w:hAnsi="宋体" w:eastAsia="宋体" w:cs="宋体"/>
                <w:color w:val="auto"/>
                <w:szCs w:val="21"/>
                <w:highlight w:val="none"/>
              </w:rPr>
              <w:t>许可，中标人不得以任何形式向第三方透露。如有泄密，需承担相应的法律责任，</w:t>
            </w:r>
            <w:r>
              <w:rPr>
                <w:rFonts w:hint="eastAsia" w:ascii="宋体" w:hAnsi="宋体" w:cs="宋体"/>
                <w:color w:val="auto"/>
                <w:szCs w:val="21"/>
                <w:highlight w:val="none"/>
                <w:lang w:val="en-US" w:eastAsia="zh-CN"/>
              </w:rPr>
              <w:t>采购人</w:t>
            </w:r>
            <w:r>
              <w:rPr>
                <w:rFonts w:hint="eastAsia" w:ascii="宋体" w:hAnsi="宋体" w:eastAsia="宋体" w:cs="宋体"/>
                <w:color w:val="auto"/>
                <w:szCs w:val="21"/>
                <w:highlight w:val="none"/>
              </w:rPr>
              <w:t>保留进一步追究责任的权利。</w:t>
            </w:r>
          </w:p>
          <w:p w14:paraId="0A4593F4">
            <w:pPr>
              <w:keepNext w:val="0"/>
              <w:keepLines w:val="0"/>
              <w:pageBreakBefore w:val="0"/>
              <w:widowControl/>
              <w:shd w:val="clear" w:color="auto" w:fill="FFFFFF"/>
              <w:kinsoku/>
              <w:wordWrap/>
              <w:overflowPunct/>
              <w:topLinePunct w:val="0"/>
              <w:autoSpaceDE/>
              <w:autoSpaceDN/>
              <w:bidi w:val="0"/>
              <w:adjustRightInd/>
              <w:snapToGrid/>
              <w:spacing w:line="360" w:lineRule="exact"/>
              <w:textAlignment w:val="auto"/>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十、其他要求</w:t>
            </w:r>
          </w:p>
          <w:p w14:paraId="03D5437C">
            <w:pPr>
              <w:keepNext w:val="0"/>
              <w:keepLines w:val="0"/>
              <w:pageBreakBefore w:val="0"/>
              <w:kinsoku/>
              <w:wordWrap/>
              <w:overflowPunct/>
              <w:topLinePunct w:val="0"/>
              <w:autoSpaceDE/>
              <w:autoSpaceDN/>
              <w:bidi w:val="0"/>
              <w:adjustRightInd/>
              <w:snapToGrid/>
              <w:spacing w:line="360" w:lineRule="exac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1.本项目供应商提供的服务应符合国家相关标准、行业标准、地方标准或者其他标准。</w:t>
            </w:r>
          </w:p>
          <w:p w14:paraId="05AB4335">
            <w:pPr>
              <w:keepNext w:val="0"/>
              <w:keepLines w:val="0"/>
              <w:pageBreakBefore w:val="0"/>
              <w:kinsoku/>
              <w:wordWrap/>
              <w:overflowPunct/>
              <w:topLinePunct w:val="0"/>
              <w:autoSpaceDE/>
              <w:autoSpaceDN/>
              <w:bidi w:val="0"/>
              <w:adjustRightInd/>
              <w:snapToGrid/>
              <w:spacing w:line="360" w:lineRule="exac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2.供应商所提供的资料必须是真实的，所作出的承诺必须是切实可行的，如提供虚假资料或作出虚假承诺，一经查实，将取消其中标人</w:t>
            </w:r>
            <w:r>
              <w:rPr>
                <w:rFonts w:hint="eastAsia" w:ascii="宋体" w:hAnsi="宋体" w:cs="宋体"/>
                <w:color w:val="auto"/>
                <w:szCs w:val="21"/>
                <w:highlight w:val="none"/>
                <w:lang w:val="en-US" w:eastAsia="zh-CN"/>
              </w:rPr>
              <w:t>中标</w:t>
            </w:r>
            <w:r>
              <w:rPr>
                <w:rFonts w:hint="eastAsia" w:ascii="宋体" w:hAnsi="宋体" w:eastAsia="宋体" w:cs="宋体"/>
                <w:color w:val="auto"/>
                <w:szCs w:val="21"/>
                <w:highlight w:val="none"/>
              </w:rPr>
              <w:t>资格，并按照相关法律法规进行处理，</w:t>
            </w:r>
            <w:r>
              <w:rPr>
                <w:rFonts w:hint="eastAsia" w:ascii="宋体" w:hAnsi="宋体" w:cs="宋体"/>
                <w:color w:val="auto"/>
                <w:szCs w:val="21"/>
                <w:highlight w:val="none"/>
                <w:lang w:val="en-US" w:eastAsia="zh-CN"/>
              </w:rPr>
              <w:t>采购人</w:t>
            </w:r>
            <w:r>
              <w:rPr>
                <w:rFonts w:hint="eastAsia" w:ascii="宋体" w:hAnsi="宋体" w:eastAsia="宋体" w:cs="宋体"/>
                <w:color w:val="auto"/>
                <w:szCs w:val="21"/>
                <w:highlight w:val="none"/>
              </w:rPr>
              <w:t>保留进一步追究责任的权利。</w:t>
            </w:r>
          </w:p>
          <w:p w14:paraId="5C9D6AC4">
            <w:pPr>
              <w:keepNext w:val="0"/>
              <w:keepLines w:val="0"/>
              <w:pageBreakBefore w:val="0"/>
              <w:widowControl/>
              <w:kinsoku/>
              <w:wordWrap/>
              <w:overflowPunct/>
              <w:topLinePunct w:val="0"/>
              <w:autoSpaceDE/>
              <w:autoSpaceDN/>
              <w:bidi w:val="0"/>
              <w:adjustRightInd/>
              <w:snapToGrid/>
              <w:spacing w:line="360" w:lineRule="exact"/>
              <w:jc w:val="left"/>
              <w:textAlignment w:val="auto"/>
              <w:rPr>
                <w:rFonts w:hint="eastAsia" w:ascii="宋体" w:hAnsi="宋体" w:eastAsia="宋体" w:cs="宋体"/>
                <w:color w:val="auto"/>
                <w:highlight w:val="none"/>
                <w:lang w:val="en-US" w:eastAsia="zh-CN"/>
              </w:rPr>
            </w:pPr>
            <w:r>
              <w:rPr>
                <w:rFonts w:hint="eastAsia" w:ascii="宋体" w:hAnsi="宋体" w:eastAsia="宋体" w:cs="宋体"/>
                <w:color w:val="auto"/>
                <w:szCs w:val="21"/>
                <w:highlight w:val="none"/>
              </w:rPr>
              <w:t>3.在接受相关管理部门检查时，中标人须无条件配合提供相关材料。</w:t>
            </w:r>
          </w:p>
        </w:tc>
      </w:tr>
      <w:tr w14:paraId="52FC39E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47" w:hRule="atLeast"/>
          <w:jc w:val="center"/>
        </w:trPr>
        <w:tc>
          <w:tcPr>
            <w:tcW w:w="545" w:type="dxa"/>
            <w:tcBorders>
              <w:top w:val="single" w:color="auto" w:sz="4" w:space="0"/>
              <w:left w:val="single" w:color="auto" w:sz="4" w:space="0"/>
              <w:bottom w:val="single" w:color="auto" w:sz="4" w:space="0"/>
              <w:right w:val="single" w:color="auto" w:sz="4" w:space="0"/>
            </w:tcBorders>
            <w:noWrap w:val="0"/>
            <w:vAlign w:val="center"/>
          </w:tcPr>
          <w:p w14:paraId="7444DBE8">
            <w:pPr>
              <w:keepNext w:val="0"/>
              <w:keepLines w:val="0"/>
              <w:pageBreakBefore w:val="0"/>
              <w:kinsoku/>
              <w:wordWrap/>
              <w:overflowPunct/>
              <w:topLinePunct w:val="0"/>
              <w:autoSpaceDE/>
              <w:autoSpaceDN/>
              <w:bidi w:val="0"/>
              <w:adjustRightInd/>
              <w:snapToGrid/>
              <w:spacing w:line="360" w:lineRule="exact"/>
              <w:jc w:val="center"/>
              <w:textAlignment w:val="auto"/>
              <w:rPr>
                <w:rFonts w:hint="eastAsia" w:ascii="宋体" w:hAnsi="宋体" w:eastAsia="宋体" w:cs="宋体"/>
                <w:color w:val="auto"/>
                <w:highlight w:val="none"/>
              </w:rPr>
            </w:pPr>
            <w:r>
              <w:rPr>
                <w:rFonts w:hint="eastAsia" w:ascii="宋体" w:hAnsi="宋体" w:eastAsia="宋体" w:cs="宋体"/>
                <w:color w:val="auto"/>
                <w:highlight w:val="none"/>
              </w:rPr>
              <w:t>其他说明</w:t>
            </w:r>
          </w:p>
        </w:tc>
        <w:tc>
          <w:tcPr>
            <w:tcW w:w="9576" w:type="dxa"/>
            <w:gridSpan w:val="6"/>
            <w:tcBorders>
              <w:top w:val="single" w:color="auto" w:sz="4" w:space="0"/>
              <w:left w:val="single" w:color="auto" w:sz="4" w:space="0"/>
              <w:bottom w:val="single" w:color="auto" w:sz="4" w:space="0"/>
              <w:right w:val="single" w:color="auto" w:sz="4" w:space="0"/>
            </w:tcBorders>
            <w:noWrap w:val="0"/>
            <w:vAlign w:val="top"/>
          </w:tcPr>
          <w:p w14:paraId="6444C201">
            <w:pPr>
              <w:keepNext w:val="0"/>
              <w:keepLines w:val="0"/>
              <w:pageBreakBefore w:val="0"/>
              <w:widowControl/>
              <w:shd w:val="clear" w:color="auto" w:fill="FFFFFF"/>
              <w:kinsoku/>
              <w:wordWrap/>
              <w:overflowPunct/>
              <w:topLinePunct w:val="0"/>
              <w:autoSpaceDE/>
              <w:autoSpaceDN/>
              <w:bidi w:val="0"/>
              <w:adjustRightInd/>
              <w:snapToGrid/>
              <w:spacing w:line="360" w:lineRule="exact"/>
              <w:textAlignment w:val="auto"/>
              <w:rPr>
                <w:rFonts w:hint="eastAsia" w:ascii="宋体" w:hAnsi="宋体" w:eastAsia="宋体" w:cs="宋体"/>
                <w:color w:val="auto"/>
                <w:highlight w:val="none"/>
              </w:rPr>
            </w:pPr>
            <w:r>
              <w:rPr>
                <w:rFonts w:hint="eastAsia" w:ascii="宋体" w:hAnsi="宋体" w:eastAsia="宋体" w:cs="宋体"/>
                <w:color w:val="auto"/>
                <w:highlight w:val="none"/>
              </w:rPr>
              <w:t>一、进口产品说明（根据项目实际情况选择）</w:t>
            </w:r>
          </w:p>
          <w:p w14:paraId="27679342">
            <w:pPr>
              <w:keepNext w:val="0"/>
              <w:keepLines w:val="0"/>
              <w:pageBreakBefore w:val="0"/>
              <w:widowControl/>
              <w:shd w:val="clear" w:color="auto" w:fill="FFFFFF"/>
              <w:kinsoku/>
              <w:wordWrap/>
              <w:overflowPunct/>
              <w:topLinePunct w:val="0"/>
              <w:autoSpaceDE/>
              <w:autoSpaceDN/>
              <w:bidi w:val="0"/>
              <w:adjustRightInd/>
              <w:snapToGrid/>
              <w:spacing w:line="360" w:lineRule="exact"/>
              <w:ind w:firstLine="0" w:firstLineChars="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本表的第项服务所涉及的货物已按规定办妥进口产品采购审核手续，投标产品可选用进口产品；但如选用进口产品时必须为全套原装进口产品（即通过中国海关报关验放进入中国境内且产自关境外的产品），同时投标人必须负责办理进口产品所有相关手续并承担所有费用。</w:t>
            </w:r>
            <w:r>
              <w:rPr>
                <w:rFonts w:hint="eastAsia" w:ascii="宋体" w:hAnsi="宋体" w:eastAsia="宋体" w:cs="宋体"/>
                <w:b/>
                <w:bCs/>
                <w:color w:val="auto"/>
                <w:szCs w:val="21"/>
                <w:highlight w:val="none"/>
              </w:rPr>
              <w:t>其他货物不接受进口产品参与投标</w:t>
            </w:r>
            <w:r>
              <w:rPr>
                <w:rFonts w:hint="eastAsia" w:ascii="宋体" w:hAnsi="宋体" w:eastAsia="宋体" w:cs="宋体"/>
                <w:color w:val="auto"/>
                <w:szCs w:val="21"/>
                <w:highlight w:val="none"/>
              </w:rPr>
              <w:t>，</w:t>
            </w:r>
            <w:r>
              <w:rPr>
                <w:rFonts w:hint="eastAsia" w:ascii="宋体" w:hAnsi="宋体" w:eastAsia="宋体" w:cs="宋体"/>
                <w:b/>
                <w:color w:val="auto"/>
                <w:szCs w:val="21"/>
                <w:highlight w:val="none"/>
              </w:rPr>
              <w:t>否则作无效标处理。</w:t>
            </w:r>
          </w:p>
          <w:p w14:paraId="4557E495">
            <w:pPr>
              <w:keepNext w:val="0"/>
              <w:keepLines w:val="0"/>
              <w:pageBreakBefore w:val="0"/>
              <w:widowControl/>
              <w:shd w:val="clear" w:color="auto" w:fill="FFFFFF"/>
              <w:kinsoku/>
              <w:wordWrap/>
              <w:overflowPunct/>
              <w:topLinePunct w:val="0"/>
              <w:autoSpaceDE/>
              <w:autoSpaceDN/>
              <w:bidi w:val="0"/>
              <w:adjustRightInd/>
              <w:snapToGrid/>
              <w:spacing w:line="360" w:lineRule="exact"/>
              <w:ind w:firstLine="0" w:firstLineChars="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☑本分标服务所涉及的货物不接受进口产品（即通过中国海关报关验放进入中国境内且产自关境外的产品）参与投标，</w:t>
            </w:r>
            <w:r>
              <w:rPr>
                <w:rFonts w:hint="eastAsia" w:ascii="宋体" w:hAnsi="宋体" w:eastAsia="宋体" w:cs="宋体"/>
                <w:b/>
                <w:color w:val="auto"/>
                <w:szCs w:val="21"/>
                <w:highlight w:val="none"/>
              </w:rPr>
              <w:t>如有进口产品参与投标的作无效标处理</w:t>
            </w:r>
            <w:r>
              <w:rPr>
                <w:rFonts w:hint="eastAsia" w:ascii="宋体" w:hAnsi="宋体" w:eastAsia="宋体" w:cs="宋体"/>
                <w:color w:val="auto"/>
                <w:szCs w:val="21"/>
                <w:highlight w:val="none"/>
              </w:rPr>
              <w:t>。</w:t>
            </w:r>
          </w:p>
          <w:p w14:paraId="4678DD5F">
            <w:pPr>
              <w:keepNext w:val="0"/>
              <w:keepLines w:val="0"/>
              <w:pageBreakBefore w:val="0"/>
              <w:widowControl/>
              <w:shd w:val="clear" w:color="auto" w:fill="FFFFFF"/>
              <w:kinsoku/>
              <w:wordWrap/>
              <w:overflowPunct/>
              <w:topLinePunct w:val="0"/>
              <w:autoSpaceDE/>
              <w:autoSpaceDN/>
              <w:bidi w:val="0"/>
              <w:adjustRightInd/>
              <w:snapToGrid/>
              <w:spacing w:line="360" w:lineRule="exact"/>
              <w:textAlignment w:val="auto"/>
              <w:rPr>
                <w:rFonts w:hint="eastAsia" w:ascii="宋体" w:hAnsi="宋体" w:eastAsia="宋体" w:cs="宋体"/>
                <w:color w:val="auto"/>
                <w:highlight w:val="none"/>
              </w:rPr>
            </w:pPr>
            <w:r>
              <w:rPr>
                <w:rFonts w:hint="eastAsia" w:ascii="宋体" w:hAnsi="宋体" w:eastAsia="宋体" w:cs="宋体"/>
                <w:color w:val="auto"/>
                <w:highlight w:val="none"/>
              </w:rPr>
              <w:t>二、其他</w:t>
            </w:r>
          </w:p>
          <w:p w14:paraId="61556831">
            <w:pPr>
              <w:keepNext w:val="0"/>
              <w:keepLines w:val="0"/>
              <w:pageBreakBefore w:val="0"/>
              <w:widowControl/>
              <w:shd w:val="clear" w:color="auto" w:fill="FFFFFF"/>
              <w:kinsoku/>
              <w:wordWrap/>
              <w:overflowPunct/>
              <w:topLinePunct w:val="0"/>
              <w:autoSpaceDE/>
              <w:autoSpaceDN/>
              <w:bidi w:val="0"/>
              <w:adjustRightInd/>
              <w:snapToGrid/>
              <w:spacing w:line="360" w:lineRule="exact"/>
              <w:textAlignment w:val="auto"/>
              <w:rPr>
                <w:rFonts w:hint="eastAsia" w:ascii="宋体" w:hAnsi="宋体" w:eastAsia="宋体" w:cs="宋体"/>
                <w:color w:val="auto"/>
                <w:highlight w:val="none"/>
              </w:rPr>
            </w:pPr>
            <w:r>
              <w:rPr>
                <w:rFonts w:hint="eastAsia" w:ascii="宋体" w:hAnsi="宋体" w:eastAsia="宋体" w:cs="宋体"/>
                <w:color w:val="auto"/>
                <w:highlight w:val="none"/>
              </w:rPr>
              <w:t>1、是否进行演示：否</w:t>
            </w:r>
          </w:p>
          <w:p w14:paraId="6AD296C9">
            <w:pPr>
              <w:keepNext w:val="0"/>
              <w:keepLines w:val="0"/>
              <w:pageBreakBefore w:val="0"/>
              <w:widowControl/>
              <w:shd w:val="clear" w:color="auto" w:fill="FFFFFF"/>
              <w:kinsoku/>
              <w:wordWrap/>
              <w:overflowPunct/>
              <w:topLinePunct w:val="0"/>
              <w:autoSpaceDE/>
              <w:autoSpaceDN/>
              <w:bidi w:val="0"/>
              <w:adjustRightInd/>
              <w:snapToGrid/>
              <w:spacing w:line="360" w:lineRule="exact"/>
              <w:textAlignment w:val="auto"/>
              <w:rPr>
                <w:rFonts w:hint="eastAsia" w:ascii="宋体" w:hAnsi="宋体" w:eastAsia="宋体" w:cs="宋体"/>
                <w:color w:val="auto"/>
                <w:highlight w:val="none"/>
              </w:rPr>
            </w:pPr>
            <w:r>
              <w:rPr>
                <w:rFonts w:hint="eastAsia" w:ascii="宋体" w:hAnsi="宋体" w:eastAsia="宋体" w:cs="宋体"/>
                <w:color w:val="auto"/>
                <w:highlight w:val="none"/>
              </w:rPr>
              <w:t>2、是否要求提供样品：否</w:t>
            </w:r>
          </w:p>
          <w:p w14:paraId="38C01474">
            <w:pPr>
              <w:keepNext w:val="0"/>
              <w:keepLines w:val="0"/>
              <w:pageBreakBefore w:val="0"/>
              <w:widowControl/>
              <w:shd w:val="clear" w:color="auto" w:fill="FFFFFF"/>
              <w:kinsoku/>
              <w:wordWrap/>
              <w:overflowPunct/>
              <w:topLinePunct w:val="0"/>
              <w:autoSpaceDE/>
              <w:autoSpaceDN/>
              <w:bidi w:val="0"/>
              <w:adjustRightInd/>
              <w:snapToGrid/>
              <w:spacing w:line="360" w:lineRule="exact"/>
              <w:textAlignment w:val="auto"/>
              <w:rPr>
                <w:rFonts w:hint="eastAsia" w:ascii="宋体" w:hAnsi="宋体" w:eastAsia="宋体" w:cs="宋体"/>
                <w:color w:val="auto"/>
                <w:highlight w:val="none"/>
              </w:rPr>
            </w:pPr>
            <w:r>
              <w:rPr>
                <w:rFonts w:hint="eastAsia" w:ascii="宋体" w:hAnsi="宋体" w:eastAsia="宋体" w:cs="宋体"/>
                <w:color w:val="auto"/>
                <w:highlight w:val="none"/>
              </w:rPr>
              <w:t>3、是否现场踏勘：否</w:t>
            </w:r>
          </w:p>
        </w:tc>
      </w:tr>
    </w:tbl>
    <w:p w14:paraId="674C6692">
      <w:pPr>
        <w:spacing w:line="428" w:lineRule="exact"/>
        <w:ind w:left="119"/>
        <w:jc w:val="center"/>
        <w:rPr>
          <w:rFonts w:hint="eastAsia" w:ascii="宋体" w:hAnsi="宋体" w:eastAsia="宋体" w:cs="宋体"/>
          <w:b/>
          <w:bCs/>
          <w:color w:val="auto"/>
          <w:sz w:val="30"/>
          <w:szCs w:val="30"/>
          <w:highlight w:val="none"/>
          <w:lang w:val="en-US" w:eastAsia="zh-CN"/>
        </w:rPr>
      </w:pPr>
    </w:p>
    <w:p w14:paraId="4BD1F6B7">
      <w:pPr>
        <w:spacing w:line="428" w:lineRule="exact"/>
        <w:ind w:left="119"/>
        <w:jc w:val="center"/>
        <w:rPr>
          <w:rFonts w:hint="eastAsia" w:ascii="宋体" w:hAnsi="宋体" w:eastAsia="宋体" w:cs="宋体"/>
          <w:b/>
          <w:bCs/>
          <w:color w:val="auto"/>
          <w:sz w:val="30"/>
          <w:szCs w:val="30"/>
          <w:highlight w:val="none"/>
          <w:lang w:val="en-US" w:eastAsia="zh-CN"/>
        </w:rPr>
      </w:pPr>
    </w:p>
    <w:p w14:paraId="2E6B2B96">
      <w:pPr>
        <w:spacing w:line="428" w:lineRule="exact"/>
        <w:ind w:left="119"/>
        <w:jc w:val="center"/>
        <w:rPr>
          <w:rFonts w:hint="eastAsia" w:ascii="宋体" w:hAnsi="宋体" w:eastAsia="宋体" w:cs="宋体"/>
          <w:b/>
          <w:bCs/>
          <w:color w:val="auto"/>
          <w:sz w:val="30"/>
          <w:szCs w:val="30"/>
          <w:highlight w:val="none"/>
          <w:lang w:val="en-US" w:eastAsia="zh-CN"/>
        </w:rPr>
      </w:pPr>
    </w:p>
    <w:p w14:paraId="75E8910A">
      <w:pPr>
        <w:spacing w:line="428" w:lineRule="exact"/>
        <w:ind w:left="119"/>
        <w:jc w:val="center"/>
        <w:rPr>
          <w:rFonts w:hint="eastAsia" w:ascii="宋体" w:hAnsi="宋体" w:eastAsia="宋体" w:cs="宋体"/>
          <w:b/>
          <w:bCs/>
          <w:color w:val="auto"/>
          <w:sz w:val="30"/>
          <w:szCs w:val="30"/>
          <w:highlight w:val="none"/>
          <w:lang w:val="en-US" w:eastAsia="zh-CN"/>
        </w:rPr>
      </w:pPr>
    </w:p>
    <w:p w14:paraId="7BA36807">
      <w:pPr>
        <w:spacing w:line="428" w:lineRule="exact"/>
        <w:ind w:left="119"/>
        <w:jc w:val="center"/>
        <w:rPr>
          <w:rFonts w:hint="eastAsia" w:ascii="宋体" w:hAnsi="宋体" w:eastAsia="宋体" w:cs="宋体"/>
          <w:b/>
          <w:bCs/>
          <w:color w:val="auto"/>
          <w:sz w:val="30"/>
          <w:szCs w:val="30"/>
          <w:highlight w:val="none"/>
          <w:lang w:val="en-US" w:eastAsia="zh-CN"/>
        </w:rPr>
      </w:pPr>
    </w:p>
    <w:p w14:paraId="1698E2E4">
      <w:pPr>
        <w:spacing w:line="428" w:lineRule="exact"/>
        <w:ind w:left="119"/>
        <w:jc w:val="center"/>
        <w:rPr>
          <w:rFonts w:hint="eastAsia" w:ascii="宋体" w:hAnsi="宋体" w:eastAsia="宋体" w:cs="宋体"/>
          <w:b/>
          <w:bCs/>
          <w:color w:val="auto"/>
          <w:sz w:val="30"/>
          <w:szCs w:val="30"/>
          <w:highlight w:val="none"/>
          <w:lang w:val="en-US" w:eastAsia="zh-CN"/>
        </w:rPr>
      </w:pPr>
    </w:p>
    <w:p w14:paraId="53327D7B">
      <w:pPr>
        <w:spacing w:line="428" w:lineRule="exact"/>
        <w:ind w:left="119"/>
        <w:jc w:val="center"/>
        <w:rPr>
          <w:rFonts w:hint="eastAsia" w:ascii="宋体" w:hAnsi="宋体" w:eastAsia="宋体" w:cs="宋体"/>
          <w:b/>
          <w:bCs/>
          <w:color w:val="auto"/>
          <w:sz w:val="30"/>
          <w:szCs w:val="30"/>
          <w:highlight w:val="none"/>
          <w:lang w:val="en-US" w:eastAsia="zh-CN"/>
        </w:rPr>
      </w:pPr>
    </w:p>
    <w:p w14:paraId="2C356CC5">
      <w:pPr>
        <w:spacing w:line="428" w:lineRule="exact"/>
        <w:ind w:left="119"/>
        <w:jc w:val="center"/>
        <w:rPr>
          <w:rFonts w:hint="eastAsia" w:ascii="宋体" w:hAnsi="宋体" w:eastAsia="宋体" w:cs="宋体"/>
          <w:b/>
          <w:bCs/>
          <w:color w:val="auto"/>
          <w:sz w:val="30"/>
          <w:szCs w:val="30"/>
          <w:highlight w:val="none"/>
          <w:lang w:val="en-US" w:eastAsia="zh-CN"/>
        </w:rPr>
      </w:pPr>
    </w:p>
    <w:p w14:paraId="0E802D31">
      <w:pPr>
        <w:spacing w:line="428" w:lineRule="exact"/>
        <w:ind w:left="119"/>
        <w:jc w:val="center"/>
        <w:rPr>
          <w:rFonts w:hint="eastAsia" w:ascii="宋体" w:hAnsi="宋体" w:eastAsia="宋体" w:cs="宋体"/>
          <w:b/>
          <w:bCs/>
          <w:color w:val="auto"/>
          <w:sz w:val="30"/>
          <w:szCs w:val="30"/>
          <w:highlight w:val="none"/>
          <w:lang w:val="en-US" w:eastAsia="zh-CN"/>
        </w:rPr>
      </w:pPr>
    </w:p>
    <w:p w14:paraId="621EDC2D">
      <w:pPr>
        <w:spacing w:line="428" w:lineRule="exact"/>
        <w:ind w:left="119"/>
        <w:jc w:val="center"/>
        <w:rPr>
          <w:rFonts w:hint="eastAsia" w:ascii="宋体" w:hAnsi="宋体" w:eastAsia="宋体" w:cs="宋体"/>
          <w:b/>
          <w:bCs/>
          <w:color w:val="auto"/>
          <w:sz w:val="30"/>
          <w:szCs w:val="30"/>
          <w:highlight w:val="none"/>
          <w:lang w:val="en-US" w:eastAsia="zh-CN"/>
        </w:rPr>
      </w:pPr>
    </w:p>
    <w:p w14:paraId="35D011F6">
      <w:pPr>
        <w:spacing w:line="428" w:lineRule="exact"/>
        <w:ind w:left="119"/>
        <w:jc w:val="center"/>
        <w:rPr>
          <w:rFonts w:hint="eastAsia" w:ascii="宋体" w:hAnsi="宋体" w:eastAsia="宋体" w:cs="宋体"/>
          <w:b/>
          <w:bCs/>
          <w:color w:val="auto"/>
          <w:sz w:val="30"/>
          <w:szCs w:val="30"/>
          <w:highlight w:val="none"/>
          <w:lang w:val="en-US" w:eastAsia="zh-CN"/>
        </w:rPr>
      </w:pPr>
    </w:p>
    <w:p w14:paraId="3CBADA91">
      <w:pPr>
        <w:spacing w:line="428" w:lineRule="exact"/>
        <w:ind w:left="119"/>
        <w:jc w:val="center"/>
        <w:rPr>
          <w:rFonts w:hint="eastAsia" w:ascii="宋体" w:hAnsi="宋体" w:eastAsia="宋体" w:cs="宋体"/>
          <w:b/>
          <w:bCs/>
          <w:color w:val="auto"/>
          <w:sz w:val="30"/>
          <w:szCs w:val="30"/>
          <w:highlight w:val="none"/>
          <w:lang w:val="en-US" w:eastAsia="zh-CN"/>
        </w:rPr>
      </w:pPr>
    </w:p>
    <w:p w14:paraId="7585DFCF">
      <w:pPr>
        <w:spacing w:line="428" w:lineRule="exact"/>
        <w:ind w:left="119"/>
        <w:jc w:val="center"/>
        <w:rPr>
          <w:rFonts w:hint="eastAsia" w:ascii="宋体" w:hAnsi="宋体" w:eastAsia="宋体" w:cs="宋体"/>
          <w:b/>
          <w:bCs/>
          <w:color w:val="auto"/>
          <w:sz w:val="30"/>
          <w:szCs w:val="30"/>
          <w:highlight w:val="none"/>
          <w:lang w:val="en-US" w:eastAsia="zh-CN"/>
        </w:rPr>
      </w:pPr>
    </w:p>
    <w:p w14:paraId="1D3BEBFE">
      <w:pPr>
        <w:spacing w:line="428" w:lineRule="exact"/>
        <w:ind w:left="119"/>
        <w:jc w:val="center"/>
        <w:rPr>
          <w:rFonts w:hint="eastAsia" w:ascii="宋体" w:hAnsi="宋体" w:eastAsia="宋体" w:cs="宋体"/>
          <w:b/>
          <w:bCs/>
          <w:color w:val="auto"/>
          <w:sz w:val="30"/>
          <w:szCs w:val="30"/>
          <w:highlight w:val="none"/>
          <w:lang w:val="en-US" w:eastAsia="zh-CN"/>
        </w:rPr>
      </w:pPr>
    </w:p>
    <w:p w14:paraId="68D3D534">
      <w:pPr>
        <w:spacing w:line="428" w:lineRule="exact"/>
        <w:ind w:left="119"/>
        <w:jc w:val="center"/>
        <w:rPr>
          <w:rFonts w:hint="eastAsia" w:ascii="宋体" w:hAnsi="宋体" w:eastAsia="宋体" w:cs="宋体"/>
          <w:b/>
          <w:bCs/>
          <w:color w:val="auto"/>
          <w:sz w:val="30"/>
          <w:szCs w:val="30"/>
          <w:highlight w:val="none"/>
          <w:lang w:val="en-US" w:eastAsia="zh-CN"/>
        </w:rPr>
      </w:pPr>
    </w:p>
    <w:p w14:paraId="00FEFF37">
      <w:pPr>
        <w:spacing w:line="428" w:lineRule="exact"/>
        <w:ind w:left="119"/>
        <w:jc w:val="center"/>
        <w:rPr>
          <w:rFonts w:hint="eastAsia" w:ascii="宋体" w:hAnsi="宋体" w:eastAsia="宋体" w:cs="宋体"/>
          <w:b/>
          <w:bCs/>
          <w:color w:val="auto"/>
          <w:sz w:val="30"/>
          <w:szCs w:val="30"/>
          <w:highlight w:val="none"/>
          <w:lang w:val="en-US" w:eastAsia="zh-CN"/>
        </w:rPr>
      </w:pPr>
    </w:p>
    <w:p w14:paraId="1106608A">
      <w:pPr>
        <w:spacing w:line="428" w:lineRule="exact"/>
        <w:ind w:left="119"/>
        <w:jc w:val="center"/>
        <w:rPr>
          <w:rFonts w:hint="eastAsia" w:ascii="宋体" w:hAnsi="宋体" w:eastAsia="宋体" w:cs="宋体"/>
          <w:b/>
          <w:bCs/>
          <w:color w:val="auto"/>
          <w:sz w:val="30"/>
          <w:szCs w:val="30"/>
          <w:highlight w:val="none"/>
          <w:lang w:val="en-US" w:eastAsia="zh-CN"/>
        </w:rPr>
      </w:pPr>
    </w:p>
    <w:p w14:paraId="674E713C">
      <w:pPr>
        <w:spacing w:line="428" w:lineRule="exact"/>
        <w:ind w:left="119"/>
        <w:jc w:val="center"/>
        <w:rPr>
          <w:rFonts w:hint="eastAsia" w:ascii="宋体" w:hAnsi="宋体" w:eastAsia="宋体" w:cs="宋体"/>
          <w:b/>
          <w:bCs/>
          <w:color w:val="auto"/>
          <w:sz w:val="30"/>
          <w:szCs w:val="30"/>
          <w:highlight w:val="none"/>
          <w:lang w:val="en-US" w:eastAsia="zh-CN"/>
        </w:rPr>
      </w:pPr>
    </w:p>
    <w:p w14:paraId="2E0AFD4E">
      <w:pPr>
        <w:spacing w:line="428" w:lineRule="exact"/>
        <w:ind w:left="119"/>
        <w:jc w:val="center"/>
        <w:rPr>
          <w:rFonts w:hint="eastAsia" w:ascii="宋体" w:hAnsi="宋体" w:eastAsia="宋体" w:cs="宋体"/>
          <w:b/>
          <w:bCs/>
          <w:color w:val="auto"/>
          <w:sz w:val="30"/>
          <w:szCs w:val="30"/>
          <w:highlight w:val="none"/>
          <w:lang w:val="en-US" w:eastAsia="zh-CN"/>
        </w:rPr>
      </w:pPr>
    </w:p>
    <w:p w14:paraId="52307542">
      <w:pPr>
        <w:spacing w:line="428" w:lineRule="exact"/>
        <w:ind w:left="119"/>
        <w:jc w:val="center"/>
        <w:rPr>
          <w:rFonts w:hint="eastAsia" w:ascii="宋体" w:hAnsi="宋体" w:eastAsia="宋体" w:cs="宋体"/>
          <w:b/>
          <w:bCs/>
          <w:color w:val="auto"/>
          <w:sz w:val="30"/>
          <w:szCs w:val="30"/>
          <w:highlight w:val="none"/>
          <w:lang w:val="en-US" w:eastAsia="zh-CN"/>
        </w:rPr>
      </w:pPr>
    </w:p>
    <w:p w14:paraId="558E8D97">
      <w:pPr>
        <w:spacing w:line="428" w:lineRule="exact"/>
        <w:ind w:left="119"/>
        <w:jc w:val="center"/>
        <w:rPr>
          <w:rFonts w:hint="eastAsia" w:ascii="宋体" w:hAnsi="宋体" w:eastAsia="宋体" w:cs="宋体"/>
          <w:b/>
          <w:bCs/>
          <w:color w:val="auto"/>
          <w:sz w:val="30"/>
          <w:szCs w:val="30"/>
          <w:highlight w:val="none"/>
          <w:lang w:val="en-US" w:eastAsia="zh-CN"/>
        </w:rPr>
      </w:pPr>
    </w:p>
    <w:p w14:paraId="65805132">
      <w:pPr>
        <w:spacing w:line="428" w:lineRule="exact"/>
        <w:ind w:left="119"/>
        <w:jc w:val="center"/>
        <w:rPr>
          <w:rFonts w:hint="eastAsia" w:ascii="宋体" w:hAnsi="宋体" w:eastAsia="宋体" w:cs="宋体"/>
          <w:b/>
          <w:bCs/>
          <w:color w:val="auto"/>
          <w:sz w:val="30"/>
          <w:szCs w:val="30"/>
          <w:highlight w:val="none"/>
          <w:lang w:val="en-US" w:eastAsia="zh-CN"/>
        </w:rPr>
      </w:pPr>
    </w:p>
    <w:p w14:paraId="731A6EAA">
      <w:pPr>
        <w:spacing w:line="428" w:lineRule="exact"/>
        <w:ind w:left="119"/>
        <w:jc w:val="center"/>
        <w:rPr>
          <w:rFonts w:hint="eastAsia" w:ascii="宋体" w:hAnsi="宋体" w:eastAsia="宋体" w:cs="宋体"/>
          <w:b/>
          <w:bCs/>
          <w:color w:val="auto"/>
          <w:sz w:val="30"/>
          <w:szCs w:val="30"/>
          <w:highlight w:val="none"/>
          <w:lang w:val="en-US" w:eastAsia="zh-CN"/>
        </w:rPr>
      </w:pPr>
    </w:p>
    <w:p w14:paraId="559BF338">
      <w:pPr>
        <w:spacing w:line="428" w:lineRule="exact"/>
        <w:ind w:left="119"/>
        <w:jc w:val="center"/>
        <w:rPr>
          <w:rFonts w:hint="eastAsia" w:ascii="宋体" w:hAnsi="宋体" w:eastAsia="宋体" w:cs="宋体"/>
          <w:b/>
          <w:bCs/>
          <w:color w:val="auto"/>
          <w:sz w:val="30"/>
          <w:szCs w:val="30"/>
          <w:highlight w:val="none"/>
          <w:lang w:val="en-US" w:eastAsia="zh-CN"/>
        </w:rPr>
      </w:pPr>
    </w:p>
    <w:p w14:paraId="098EF060">
      <w:pPr>
        <w:spacing w:line="428" w:lineRule="exact"/>
        <w:ind w:left="119"/>
        <w:jc w:val="center"/>
        <w:rPr>
          <w:rFonts w:hint="eastAsia" w:ascii="宋体" w:hAnsi="宋体" w:eastAsia="宋体" w:cs="宋体"/>
          <w:b/>
          <w:bCs/>
          <w:color w:val="auto"/>
          <w:sz w:val="30"/>
          <w:szCs w:val="30"/>
          <w:highlight w:val="none"/>
          <w:lang w:val="en-US" w:eastAsia="zh-CN"/>
        </w:rPr>
      </w:pPr>
    </w:p>
    <w:p w14:paraId="795F76C7">
      <w:pPr>
        <w:spacing w:line="428" w:lineRule="exact"/>
        <w:ind w:left="119"/>
        <w:jc w:val="center"/>
        <w:rPr>
          <w:rFonts w:hint="eastAsia" w:ascii="宋体" w:hAnsi="宋体" w:eastAsia="宋体" w:cs="宋体"/>
          <w:b/>
          <w:bCs/>
          <w:color w:val="auto"/>
          <w:sz w:val="30"/>
          <w:szCs w:val="30"/>
          <w:highlight w:val="none"/>
          <w:lang w:val="en-US" w:eastAsia="zh-CN"/>
        </w:rPr>
      </w:pPr>
    </w:p>
    <w:p w14:paraId="3E3365E7">
      <w:pPr>
        <w:spacing w:line="428" w:lineRule="exact"/>
        <w:ind w:left="119"/>
        <w:jc w:val="center"/>
        <w:rPr>
          <w:rFonts w:hint="eastAsia" w:ascii="宋体" w:hAnsi="宋体" w:eastAsia="宋体" w:cs="宋体"/>
          <w:b/>
          <w:bCs/>
          <w:color w:val="auto"/>
          <w:sz w:val="30"/>
          <w:szCs w:val="30"/>
          <w:highlight w:val="none"/>
          <w:lang w:val="en-US" w:eastAsia="zh-CN"/>
        </w:rPr>
      </w:pPr>
    </w:p>
    <w:p w14:paraId="6E43FF85">
      <w:pPr>
        <w:pStyle w:val="14"/>
        <w:spacing w:before="130" w:line="411" w:lineRule="auto"/>
        <w:jc w:val="center"/>
        <w:rPr>
          <w:rFonts w:hint="eastAsia" w:ascii="宋体" w:hAnsi="宋体" w:eastAsia="宋体" w:cs="宋体"/>
          <w:b/>
          <w:bCs/>
          <w:color w:val="auto"/>
          <w:sz w:val="32"/>
          <w:szCs w:val="32"/>
          <w:highlight w:val="none"/>
        </w:rPr>
      </w:pPr>
      <w:r>
        <w:rPr>
          <w:rFonts w:hint="eastAsia" w:ascii="宋体" w:hAnsi="宋体" w:eastAsia="宋体" w:cs="宋体"/>
          <w:b/>
          <w:bCs/>
          <w:color w:val="auto"/>
          <w:spacing w:val="-2"/>
          <w:sz w:val="32"/>
          <w:szCs w:val="32"/>
          <w:highlight w:val="none"/>
        </w:rPr>
        <w:t>附图</w:t>
      </w:r>
      <w:r>
        <w:rPr>
          <w:rFonts w:hint="eastAsia" w:ascii="宋体" w:hAnsi="宋体" w:eastAsia="宋体" w:cs="宋体"/>
          <w:b/>
          <w:bCs/>
          <w:color w:val="auto"/>
          <w:spacing w:val="-70"/>
          <w:sz w:val="32"/>
          <w:szCs w:val="32"/>
          <w:highlight w:val="none"/>
        </w:rPr>
        <w:t xml:space="preserve"> </w:t>
      </w:r>
      <w:r>
        <w:rPr>
          <w:rFonts w:hint="eastAsia" w:ascii="宋体" w:hAnsi="宋体" w:eastAsia="宋体" w:cs="宋体"/>
          <w:b/>
          <w:bCs/>
          <w:color w:val="auto"/>
          <w:spacing w:val="-2"/>
          <w:sz w:val="32"/>
          <w:szCs w:val="32"/>
          <w:highlight w:val="none"/>
          <w:lang w:val="en-US" w:eastAsia="zh-CN"/>
        </w:rPr>
        <w:t>1</w:t>
      </w:r>
      <w:r>
        <w:rPr>
          <w:rFonts w:hint="eastAsia" w:ascii="宋体" w:hAnsi="宋体" w:eastAsia="宋体" w:cs="宋体"/>
          <w:b/>
          <w:bCs/>
          <w:color w:val="auto"/>
          <w:spacing w:val="21"/>
          <w:w w:val="101"/>
          <w:sz w:val="32"/>
          <w:szCs w:val="32"/>
          <w:highlight w:val="none"/>
          <w:lang w:eastAsia="zh-CN"/>
        </w:rPr>
        <w:t>：</w:t>
      </w:r>
      <w:r>
        <w:rPr>
          <w:rFonts w:hint="eastAsia" w:ascii="宋体" w:hAnsi="宋体" w:eastAsia="宋体" w:cs="宋体"/>
          <w:b/>
          <w:bCs/>
          <w:color w:val="auto"/>
          <w:spacing w:val="-2"/>
          <w:sz w:val="32"/>
          <w:szCs w:val="32"/>
          <w:highlight w:val="none"/>
        </w:rPr>
        <w:t>西津国家重要湿地保护与恢复项目监</w:t>
      </w:r>
      <w:r>
        <w:rPr>
          <w:rFonts w:hint="eastAsia" w:ascii="宋体" w:hAnsi="宋体" w:eastAsia="宋体" w:cs="宋体"/>
          <w:b/>
          <w:bCs/>
          <w:color w:val="auto"/>
          <w:spacing w:val="-3"/>
          <w:sz w:val="32"/>
          <w:szCs w:val="32"/>
          <w:highlight w:val="none"/>
        </w:rPr>
        <w:t>测卡口布局图</w:t>
      </w:r>
    </w:p>
    <w:p w14:paraId="3EC40680">
      <w:pPr>
        <w:spacing w:line="11570" w:lineRule="exact"/>
        <w:jc w:val="center"/>
        <w:rPr>
          <w:color w:val="auto"/>
          <w:highlight w:val="none"/>
        </w:rPr>
      </w:pPr>
      <w:r>
        <w:rPr>
          <w:color w:val="auto"/>
          <w:position w:val="-231"/>
          <w:highlight w:val="none"/>
        </w:rPr>
        <w:drawing>
          <wp:inline distT="0" distB="0" distL="0" distR="0">
            <wp:extent cx="5350510" cy="7346950"/>
            <wp:effectExtent l="0" t="0" r="2540" b="6350"/>
            <wp:docPr id="84" name="IM 84"/>
            <wp:cNvGraphicFramePr/>
            <a:graphic xmlns:a="http://schemas.openxmlformats.org/drawingml/2006/main">
              <a:graphicData uri="http://schemas.openxmlformats.org/drawingml/2006/picture">
                <pic:pic xmlns:pic="http://schemas.openxmlformats.org/drawingml/2006/picture">
                  <pic:nvPicPr>
                    <pic:cNvPr id="84" name="IM 84"/>
                    <pic:cNvPicPr/>
                  </pic:nvPicPr>
                  <pic:blipFill>
                    <a:blip r:embed="rId11"/>
                    <a:stretch>
                      <a:fillRect/>
                    </a:stretch>
                  </pic:blipFill>
                  <pic:spPr>
                    <a:xfrm>
                      <a:off x="0" y="0"/>
                      <a:ext cx="5350763" cy="7347204"/>
                    </a:xfrm>
                    <a:prstGeom prst="rect">
                      <a:avLst/>
                    </a:prstGeom>
                  </pic:spPr>
                </pic:pic>
              </a:graphicData>
            </a:graphic>
          </wp:inline>
        </w:drawing>
      </w:r>
    </w:p>
    <w:p w14:paraId="173F449E">
      <w:pPr>
        <w:spacing w:line="428" w:lineRule="exact"/>
        <w:ind w:left="119"/>
        <w:rPr>
          <w:rFonts w:hint="eastAsia" w:ascii="宋体" w:hAnsi="宋体" w:eastAsia="宋体" w:cs="宋体"/>
          <w:color w:val="auto"/>
          <w:highlight w:val="none"/>
        </w:rPr>
        <w:sectPr>
          <w:pgSz w:w="11906" w:h="16838"/>
          <w:pgMar w:top="1134" w:right="1134" w:bottom="1134" w:left="1134" w:header="720" w:footer="720" w:gutter="0"/>
          <w:cols w:space="720" w:num="1"/>
          <w:docGrid w:type="lines" w:linePitch="331" w:charSpace="0"/>
        </w:sectPr>
      </w:pPr>
    </w:p>
    <w:p w14:paraId="47ED6077">
      <w:pPr>
        <w:pStyle w:val="14"/>
        <w:spacing w:before="130" w:line="411" w:lineRule="auto"/>
        <w:jc w:val="center"/>
        <w:rPr>
          <w:rFonts w:hint="eastAsia" w:ascii="宋体" w:hAnsi="宋体" w:eastAsia="宋体" w:cs="宋体"/>
          <w:b/>
          <w:bCs/>
          <w:color w:val="auto"/>
          <w:spacing w:val="-2"/>
          <w:sz w:val="32"/>
          <w:szCs w:val="32"/>
          <w:highlight w:val="none"/>
        </w:rPr>
      </w:pPr>
      <w:r>
        <w:rPr>
          <w:rFonts w:hint="eastAsia" w:ascii="宋体" w:hAnsi="宋体" w:eastAsia="宋体" w:cs="宋体"/>
          <w:b/>
          <w:bCs/>
          <w:color w:val="auto"/>
          <w:spacing w:val="-2"/>
          <w:sz w:val="32"/>
          <w:szCs w:val="32"/>
          <w:highlight w:val="none"/>
          <w:lang w:val="en-US" w:eastAsia="zh-CN"/>
        </w:rPr>
        <w:t>附表2：</w:t>
      </w:r>
      <w:r>
        <w:rPr>
          <w:rFonts w:hint="eastAsia" w:ascii="宋体" w:hAnsi="宋体" w:eastAsia="宋体" w:cs="宋体"/>
          <w:b/>
          <w:bCs/>
          <w:color w:val="auto"/>
          <w:spacing w:val="-2"/>
          <w:sz w:val="32"/>
          <w:szCs w:val="32"/>
          <w:highlight w:val="none"/>
        </w:rPr>
        <w:t>表 3.3-2  生态监测指标表</w:t>
      </w:r>
    </w:p>
    <w:tbl>
      <w:tblPr>
        <w:tblStyle w:val="121"/>
        <w:tblW w:w="9065"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400"/>
        <w:gridCol w:w="6420"/>
        <w:gridCol w:w="1245"/>
      </w:tblGrid>
      <w:tr w14:paraId="2E1BA78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6" w:hRule="atLeast"/>
          <w:jc w:val="center"/>
        </w:trPr>
        <w:tc>
          <w:tcPr>
            <w:tcW w:w="1400" w:type="dxa"/>
            <w:vAlign w:val="top"/>
          </w:tcPr>
          <w:p w14:paraId="1B95FEF9">
            <w:pPr>
              <w:spacing w:before="88" w:line="222" w:lineRule="auto"/>
              <w:ind w:left="129"/>
              <w:rPr>
                <w:rFonts w:hint="eastAsia" w:ascii="宋体" w:hAnsi="宋体" w:eastAsia="宋体" w:cs="宋体"/>
                <w:color w:val="auto"/>
                <w:sz w:val="21"/>
                <w:szCs w:val="21"/>
                <w:highlight w:val="none"/>
              </w:rPr>
            </w:pPr>
            <w:r>
              <w:rPr>
                <w:rFonts w:hint="eastAsia" w:ascii="宋体" w:hAnsi="宋体" w:eastAsia="宋体" w:cs="宋体"/>
                <w:b/>
                <w:bCs/>
                <w:color w:val="auto"/>
                <w:spacing w:val="3"/>
                <w:sz w:val="21"/>
                <w:szCs w:val="21"/>
                <w:highlight w:val="none"/>
              </w:rPr>
              <w:t>监测内容</w:t>
            </w:r>
          </w:p>
        </w:tc>
        <w:tc>
          <w:tcPr>
            <w:tcW w:w="6420" w:type="dxa"/>
            <w:vAlign w:val="top"/>
          </w:tcPr>
          <w:p w14:paraId="38A0E008">
            <w:pPr>
              <w:spacing w:before="88" w:line="222" w:lineRule="auto"/>
              <w:ind w:left="126"/>
              <w:rPr>
                <w:rFonts w:hint="eastAsia" w:ascii="宋体" w:hAnsi="宋体" w:eastAsia="宋体" w:cs="宋体"/>
                <w:color w:val="auto"/>
                <w:sz w:val="21"/>
                <w:szCs w:val="21"/>
                <w:highlight w:val="none"/>
              </w:rPr>
            </w:pPr>
            <w:r>
              <w:rPr>
                <w:rFonts w:hint="eastAsia" w:ascii="宋体" w:hAnsi="宋体" w:eastAsia="宋体" w:cs="宋体"/>
                <w:b/>
                <w:bCs/>
                <w:color w:val="auto"/>
                <w:spacing w:val="3"/>
                <w:sz w:val="21"/>
                <w:szCs w:val="21"/>
                <w:highlight w:val="none"/>
              </w:rPr>
              <w:t>监测指标</w:t>
            </w:r>
          </w:p>
        </w:tc>
        <w:tc>
          <w:tcPr>
            <w:tcW w:w="1245" w:type="dxa"/>
            <w:vAlign w:val="top"/>
          </w:tcPr>
          <w:p w14:paraId="27FE4EB3">
            <w:pPr>
              <w:spacing w:before="87" w:line="223" w:lineRule="auto"/>
              <w:ind w:left="131"/>
              <w:rPr>
                <w:rFonts w:hint="eastAsia" w:ascii="宋体" w:hAnsi="宋体" w:eastAsia="宋体" w:cs="宋体"/>
                <w:color w:val="auto"/>
                <w:sz w:val="21"/>
                <w:szCs w:val="21"/>
                <w:highlight w:val="none"/>
              </w:rPr>
            </w:pPr>
            <w:r>
              <w:rPr>
                <w:rFonts w:hint="eastAsia" w:ascii="宋体" w:hAnsi="宋体" w:eastAsia="宋体" w:cs="宋体"/>
                <w:b/>
                <w:bCs/>
                <w:color w:val="auto"/>
                <w:spacing w:val="3"/>
                <w:sz w:val="21"/>
                <w:szCs w:val="21"/>
                <w:highlight w:val="none"/>
              </w:rPr>
              <w:t>监测频次</w:t>
            </w:r>
          </w:p>
        </w:tc>
      </w:tr>
      <w:tr w14:paraId="3A626A0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4" w:hRule="atLeast"/>
          <w:jc w:val="center"/>
        </w:trPr>
        <w:tc>
          <w:tcPr>
            <w:tcW w:w="1400" w:type="dxa"/>
            <w:vAlign w:val="top"/>
          </w:tcPr>
          <w:p w14:paraId="73FCCD45">
            <w:pPr>
              <w:spacing w:before="37" w:line="214" w:lineRule="auto"/>
              <w:ind w:left="127" w:right="287" w:hanging="2"/>
              <w:rPr>
                <w:rFonts w:hint="eastAsia" w:ascii="宋体" w:hAnsi="宋体" w:eastAsia="宋体" w:cs="宋体"/>
                <w:color w:val="auto"/>
                <w:sz w:val="21"/>
                <w:szCs w:val="21"/>
                <w:highlight w:val="none"/>
              </w:rPr>
            </w:pPr>
            <w:r>
              <w:rPr>
                <w:rFonts w:hint="eastAsia" w:ascii="宋体" w:hAnsi="宋体" w:eastAsia="宋体" w:cs="宋体"/>
                <w:color w:val="auto"/>
                <w:spacing w:val="5"/>
                <w:sz w:val="21"/>
                <w:szCs w:val="21"/>
                <w:highlight w:val="none"/>
              </w:rPr>
              <w:t>湿地基本</w:t>
            </w:r>
            <w:r>
              <w:rPr>
                <w:rFonts w:hint="eastAsia" w:ascii="宋体" w:hAnsi="宋体" w:eastAsia="宋体" w:cs="宋体"/>
                <w:color w:val="auto"/>
                <w:spacing w:val="-4"/>
                <w:sz w:val="21"/>
                <w:szCs w:val="21"/>
                <w:highlight w:val="none"/>
              </w:rPr>
              <w:t>情况</w:t>
            </w:r>
          </w:p>
        </w:tc>
        <w:tc>
          <w:tcPr>
            <w:tcW w:w="6420" w:type="dxa"/>
            <w:vAlign w:val="top"/>
          </w:tcPr>
          <w:p w14:paraId="6250A097">
            <w:pPr>
              <w:spacing w:before="37" w:line="214" w:lineRule="auto"/>
              <w:ind w:left="126" w:right="229" w:hanging="4"/>
              <w:rPr>
                <w:rFonts w:hint="eastAsia" w:ascii="宋体" w:hAnsi="宋体" w:eastAsia="宋体" w:cs="宋体"/>
                <w:color w:val="auto"/>
                <w:sz w:val="21"/>
                <w:szCs w:val="21"/>
                <w:highlight w:val="none"/>
              </w:rPr>
            </w:pPr>
            <w:r>
              <w:rPr>
                <w:rFonts w:hint="eastAsia" w:ascii="宋体" w:hAnsi="宋体" w:eastAsia="宋体" w:cs="宋体"/>
                <w:color w:val="auto"/>
                <w:spacing w:val="3"/>
                <w:sz w:val="21"/>
                <w:szCs w:val="21"/>
                <w:highlight w:val="none"/>
              </w:rPr>
              <w:t>湿地类型</w:t>
            </w:r>
            <w:r>
              <w:rPr>
                <w:rFonts w:hint="eastAsia" w:ascii="宋体" w:hAnsi="宋体" w:eastAsia="宋体" w:cs="宋体"/>
                <w:color w:val="auto"/>
                <w:spacing w:val="-63"/>
                <w:sz w:val="21"/>
                <w:szCs w:val="21"/>
                <w:highlight w:val="none"/>
              </w:rPr>
              <w:t xml:space="preserve"> </w:t>
            </w:r>
            <w:r>
              <w:rPr>
                <w:rFonts w:hint="eastAsia" w:ascii="宋体" w:hAnsi="宋体" w:eastAsia="宋体" w:cs="宋体"/>
                <w:color w:val="auto"/>
                <w:spacing w:val="3"/>
                <w:sz w:val="21"/>
                <w:szCs w:val="21"/>
                <w:highlight w:val="none"/>
              </w:rPr>
              <w:t>、面积及分布</w:t>
            </w:r>
            <w:r>
              <w:rPr>
                <w:rFonts w:hint="eastAsia" w:ascii="宋体" w:hAnsi="宋体" w:eastAsia="宋体" w:cs="宋体"/>
                <w:color w:val="auto"/>
                <w:spacing w:val="-71"/>
                <w:sz w:val="21"/>
                <w:szCs w:val="21"/>
                <w:highlight w:val="none"/>
              </w:rPr>
              <w:t xml:space="preserve"> </w:t>
            </w:r>
            <w:r>
              <w:rPr>
                <w:rFonts w:hint="eastAsia" w:ascii="宋体" w:hAnsi="宋体" w:eastAsia="宋体" w:cs="宋体"/>
                <w:color w:val="auto"/>
                <w:spacing w:val="3"/>
                <w:sz w:val="21"/>
                <w:szCs w:val="21"/>
                <w:highlight w:val="none"/>
              </w:rPr>
              <w:t>、</w:t>
            </w:r>
            <w:r>
              <w:rPr>
                <w:rFonts w:hint="eastAsia" w:ascii="宋体" w:hAnsi="宋体" w:eastAsia="宋体" w:cs="宋体"/>
                <w:color w:val="auto"/>
                <w:spacing w:val="-45"/>
                <w:sz w:val="21"/>
                <w:szCs w:val="21"/>
                <w:highlight w:val="none"/>
              </w:rPr>
              <w:t xml:space="preserve"> </w:t>
            </w:r>
            <w:r>
              <w:rPr>
                <w:rFonts w:hint="eastAsia" w:ascii="宋体" w:hAnsi="宋体" w:eastAsia="宋体" w:cs="宋体"/>
                <w:color w:val="auto"/>
                <w:spacing w:val="3"/>
                <w:sz w:val="21"/>
                <w:szCs w:val="21"/>
                <w:highlight w:val="none"/>
              </w:rPr>
              <w:t>自然岸线比例</w:t>
            </w:r>
            <w:r>
              <w:rPr>
                <w:rFonts w:hint="eastAsia" w:ascii="宋体" w:hAnsi="宋体" w:eastAsia="宋体" w:cs="宋体"/>
                <w:color w:val="auto"/>
                <w:spacing w:val="-72"/>
                <w:sz w:val="21"/>
                <w:szCs w:val="21"/>
                <w:highlight w:val="none"/>
              </w:rPr>
              <w:t xml:space="preserve"> </w:t>
            </w:r>
            <w:r>
              <w:rPr>
                <w:rFonts w:hint="eastAsia" w:ascii="宋体" w:hAnsi="宋体" w:eastAsia="宋体" w:cs="宋体"/>
                <w:color w:val="auto"/>
                <w:spacing w:val="3"/>
                <w:sz w:val="21"/>
                <w:szCs w:val="21"/>
                <w:highlight w:val="none"/>
              </w:rPr>
              <w:t>、土地利用类型</w:t>
            </w:r>
            <w:r>
              <w:rPr>
                <w:rFonts w:hint="eastAsia" w:ascii="宋体" w:hAnsi="宋体" w:eastAsia="宋体" w:cs="宋体"/>
                <w:color w:val="auto"/>
                <w:spacing w:val="5"/>
                <w:sz w:val="21"/>
                <w:szCs w:val="21"/>
                <w:highlight w:val="none"/>
              </w:rPr>
              <w:t>变化</w:t>
            </w:r>
            <w:r>
              <w:rPr>
                <w:rFonts w:hint="eastAsia" w:ascii="宋体" w:hAnsi="宋体" w:eastAsia="宋体" w:cs="宋体"/>
                <w:color w:val="auto"/>
                <w:spacing w:val="-66"/>
                <w:sz w:val="21"/>
                <w:szCs w:val="21"/>
                <w:highlight w:val="none"/>
              </w:rPr>
              <w:t xml:space="preserve"> </w:t>
            </w:r>
            <w:r>
              <w:rPr>
                <w:rFonts w:hint="eastAsia" w:ascii="宋体" w:hAnsi="宋体" w:eastAsia="宋体" w:cs="宋体"/>
                <w:color w:val="auto"/>
                <w:spacing w:val="5"/>
                <w:sz w:val="21"/>
                <w:szCs w:val="21"/>
                <w:highlight w:val="none"/>
              </w:rPr>
              <w:t>、工程建设占地面积；</w:t>
            </w:r>
          </w:p>
        </w:tc>
        <w:tc>
          <w:tcPr>
            <w:tcW w:w="1245" w:type="dxa"/>
            <w:vAlign w:val="center"/>
          </w:tcPr>
          <w:p w14:paraId="22E264AC">
            <w:pPr>
              <w:pStyle w:val="120"/>
              <w:spacing w:before="150" w:line="358" w:lineRule="exact"/>
              <w:ind w:left="136"/>
              <w:jc w:val="center"/>
              <w:rPr>
                <w:rFonts w:hint="eastAsia" w:ascii="宋体" w:hAnsi="宋体" w:eastAsia="宋体" w:cs="宋体"/>
                <w:color w:val="auto"/>
                <w:sz w:val="21"/>
                <w:szCs w:val="21"/>
                <w:highlight w:val="none"/>
              </w:rPr>
            </w:pPr>
            <w:r>
              <w:rPr>
                <w:rFonts w:hint="eastAsia" w:ascii="宋体" w:hAnsi="宋体" w:eastAsia="宋体" w:cs="宋体"/>
                <w:color w:val="auto"/>
                <w:spacing w:val="-6"/>
                <w:position w:val="2"/>
                <w:sz w:val="21"/>
                <w:szCs w:val="21"/>
                <w:highlight w:val="none"/>
              </w:rPr>
              <w:t>1次/年</w:t>
            </w:r>
          </w:p>
        </w:tc>
      </w:tr>
      <w:tr w14:paraId="5D42A64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4" w:hRule="atLeast"/>
          <w:jc w:val="center"/>
        </w:trPr>
        <w:tc>
          <w:tcPr>
            <w:tcW w:w="1400" w:type="dxa"/>
            <w:vAlign w:val="top"/>
          </w:tcPr>
          <w:p w14:paraId="37AE10A7">
            <w:pPr>
              <w:spacing w:line="257" w:lineRule="auto"/>
              <w:rPr>
                <w:rFonts w:hint="eastAsia" w:ascii="宋体" w:hAnsi="宋体" w:eastAsia="宋体" w:cs="宋体"/>
                <w:color w:val="auto"/>
                <w:sz w:val="21"/>
                <w:szCs w:val="21"/>
                <w:highlight w:val="none"/>
              </w:rPr>
            </w:pPr>
          </w:p>
          <w:p w14:paraId="0A9B827E">
            <w:pPr>
              <w:spacing w:before="78" w:line="223" w:lineRule="auto"/>
              <w:ind w:left="122"/>
              <w:rPr>
                <w:rFonts w:hint="eastAsia" w:ascii="宋体" w:hAnsi="宋体" w:eastAsia="宋体" w:cs="宋体"/>
                <w:color w:val="auto"/>
                <w:sz w:val="21"/>
                <w:szCs w:val="21"/>
                <w:highlight w:val="none"/>
              </w:rPr>
            </w:pPr>
            <w:r>
              <w:rPr>
                <w:rFonts w:hint="eastAsia" w:ascii="宋体" w:hAnsi="宋体" w:eastAsia="宋体" w:cs="宋体"/>
                <w:color w:val="auto"/>
                <w:spacing w:val="6"/>
                <w:sz w:val="21"/>
                <w:szCs w:val="21"/>
                <w:highlight w:val="none"/>
              </w:rPr>
              <w:t>水质因子</w:t>
            </w:r>
          </w:p>
        </w:tc>
        <w:tc>
          <w:tcPr>
            <w:tcW w:w="6420" w:type="dxa"/>
            <w:vAlign w:val="top"/>
          </w:tcPr>
          <w:p w14:paraId="22A641DD">
            <w:pPr>
              <w:pStyle w:val="120"/>
              <w:spacing w:before="36" w:line="220" w:lineRule="auto"/>
              <w:ind w:left="118" w:right="32" w:hanging="15"/>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pH</w:t>
            </w:r>
            <w:r>
              <w:rPr>
                <w:rFonts w:hint="eastAsia" w:ascii="宋体" w:hAnsi="宋体" w:eastAsia="宋体" w:cs="宋体"/>
                <w:color w:val="auto"/>
                <w:spacing w:val="44"/>
                <w:sz w:val="21"/>
                <w:szCs w:val="21"/>
                <w:highlight w:val="none"/>
              </w:rPr>
              <w:t xml:space="preserve"> </w:t>
            </w:r>
            <w:r>
              <w:rPr>
                <w:rFonts w:hint="eastAsia" w:ascii="宋体" w:hAnsi="宋体" w:eastAsia="宋体" w:cs="宋体"/>
                <w:color w:val="auto"/>
                <w:spacing w:val="3"/>
                <w:sz w:val="21"/>
                <w:szCs w:val="21"/>
                <w:highlight w:val="none"/>
              </w:rPr>
              <w:t>值、溶解氧</w:t>
            </w:r>
            <w:r>
              <w:rPr>
                <w:rFonts w:hint="eastAsia" w:ascii="宋体" w:hAnsi="宋体" w:eastAsia="宋体" w:cs="宋体"/>
                <w:color w:val="auto"/>
                <w:spacing w:val="-72"/>
                <w:sz w:val="21"/>
                <w:szCs w:val="21"/>
                <w:highlight w:val="none"/>
              </w:rPr>
              <w:t xml:space="preserve"> </w:t>
            </w:r>
            <w:r>
              <w:rPr>
                <w:rFonts w:hint="eastAsia" w:ascii="宋体" w:hAnsi="宋体" w:eastAsia="宋体" w:cs="宋体"/>
                <w:color w:val="auto"/>
                <w:spacing w:val="3"/>
                <w:sz w:val="21"/>
                <w:szCs w:val="21"/>
                <w:highlight w:val="none"/>
              </w:rPr>
              <w:t>、五</w:t>
            </w:r>
            <w:r>
              <w:rPr>
                <w:rFonts w:hint="eastAsia" w:ascii="宋体" w:hAnsi="宋体" w:eastAsia="宋体" w:cs="宋体"/>
                <w:color w:val="auto"/>
                <w:spacing w:val="-39"/>
                <w:sz w:val="21"/>
                <w:szCs w:val="21"/>
                <w:highlight w:val="none"/>
              </w:rPr>
              <w:t xml:space="preserve"> </w:t>
            </w:r>
            <w:r>
              <w:rPr>
                <w:rFonts w:hint="eastAsia" w:ascii="宋体" w:hAnsi="宋体" w:eastAsia="宋体" w:cs="宋体"/>
                <w:color w:val="auto"/>
                <w:spacing w:val="3"/>
                <w:sz w:val="21"/>
                <w:szCs w:val="21"/>
                <w:highlight w:val="none"/>
              </w:rPr>
              <w:t>日生化需氧量（</w:t>
            </w:r>
            <w:r>
              <w:rPr>
                <w:rFonts w:hint="eastAsia" w:ascii="宋体" w:hAnsi="宋体" w:eastAsia="宋体" w:cs="宋体"/>
                <w:color w:val="auto"/>
                <w:sz w:val="21"/>
                <w:szCs w:val="21"/>
                <w:highlight w:val="none"/>
              </w:rPr>
              <w:t>BOD</w:t>
            </w:r>
            <w:r>
              <w:rPr>
                <w:rFonts w:hint="eastAsia" w:ascii="宋体" w:hAnsi="宋体" w:eastAsia="宋体" w:cs="宋体"/>
                <w:color w:val="auto"/>
                <w:spacing w:val="3"/>
                <w:sz w:val="21"/>
                <w:szCs w:val="21"/>
                <w:highlight w:val="none"/>
              </w:rPr>
              <w:t>）</w:t>
            </w:r>
            <w:r>
              <w:rPr>
                <w:rFonts w:hint="eastAsia" w:ascii="宋体" w:hAnsi="宋体" w:eastAsia="宋体" w:cs="宋体"/>
                <w:color w:val="auto"/>
                <w:spacing w:val="-65"/>
                <w:sz w:val="21"/>
                <w:szCs w:val="21"/>
                <w:highlight w:val="none"/>
              </w:rPr>
              <w:t xml:space="preserve"> </w:t>
            </w:r>
            <w:r>
              <w:rPr>
                <w:rFonts w:hint="eastAsia" w:ascii="宋体" w:hAnsi="宋体" w:eastAsia="宋体" w:cs="宋体"/>
                <w:color w:val="auto"/>
                <w:spacing w:val="3"/>
                <w:sz w:val="21"/>
                <w:szCs w:val="21"/>
                <w:highlight w:val="none"/>
              </w:rPr>
              <w:t>、高锰酸盐指</w:t>
            </w:r>
            <w:r>
              <w:rPr>
                <w:rFonts w:hint="eastAsia" w:ascii="宋体" w:hAnsi="宋体" w:eastAsia="宋体" w:cs="宋体"/>
                <w:color w:val="auto"/>
                <w:spacing w:val="-1"/>
                <w:sz w:val="21"/>
                <w:szCs w:val="21"/>
                <w:highlight w:val="none"/>
              </w:rPr>
              <w:t>数（COD）</w:t>
            </w:r>
            <w:r>
              <w:rPr>
                <w:rFonts w:hint="eastAsia" w:ascii="宋体" w:hAnsi="宋体" w:eastAsia="宋体" w:cs="宋体"/>
                <w:color w:val="auto"/>
                <w:spacing w:val="-52"/>
                <w:sz w:val="21"/>
                <w:szCs w:val="21"/>
                <w:highlight w:val="none"/>
              </w:rPr>
              <w:t xml:space="preserve"> </w:t>
            </w:r>
            <w:r>
              <w:rPr>
                <w:rFonts w:hint="eastAsia" w:ascii="宋体" w:hAnsi="宋体" w:eastAsia="宋体" w:cs="宋体"/>
                <w:color w:val="auto"/>
                <w:spacing w:val="-1"/>
                <w:sz w:val="21"/>
                <w:szCs w:val="21"/>
                <w:highlight w:val="none"/>
              </w:rPr>
              <w:t>、氨氮</w:t>
            </w:r>
            <w:r>
              <w:rPr>
                <w:rFonts w:hint="eastAsia" w:ascii="宋体" w:hAnsi="宋体" w:eastAsia="宋体" w:cs="宋体"/>
                <w:color w:val="auto"/>
                <w:spacing w:val="-72"/>
                <w:sz w:val="21"/>
                <w:szCs w:val="21"/>
                <w:highlight w:val="none"/>
              </w:rPr>
              <w:t xml:space="preserve"> </w:t>
            </w:r>
            <w:r>
              <w:rPr>
                <w:rFonts w:hint="eastAsia" w:ascii="宋体" w:hAnsi="宋体" w:eastAsia="宋体" w:cs="宋体"/>
                <w:color w:val="auto"/>
                <w:spacing w:val="-1"/>
                <w:sz w:val="21"/>
                <w:szCs w:val="21"/>
                <w:highlight w:val="none"/>
              </w:rPr>
              <w:t>、总硬度</w:t>
            </w:r>
            <w:r>
              <w:rPr>
                <w:rFonts w:hint="eastAsia" w:ascii="宋体" w:hAnsi="宋体" w:eastAsia="宋体" w:cs="宋体"/>
                <w:color w:val="auto"/>
                <w:spacing w:val="-72"/>
                <w:sz w:val="21"/>
                <w:szCs w:val="21"/>
                <w:highlight w:val="none"/>
              </w:rPr>
              <w:t xml:space="preserve"> </w:t>
            </w:r>
            <w:r>
              <w:rPr>
                <w:rFonts w:hint="eastAsia" w:ascii="宋体" w:hAnsi="宋体" w:eastAsia="宋体" w:cs="宋体"/>
                <w:color w:val="auto"/>
                <w:spacing w:val="-1"/>
                <w:sz w:val="21"/>
                <w:szCs w:val="21"/>
                <w:highlight w:val="none"/>
              </w:rPr>
              <w:t>、挥发酚、砷</w:t>
            </w:r>
            <w:r>
              <w:rPr>
                <w:rFonts w:hint="eastAsia" w:ascii="宋体" w:hAnsi="宋体" w:eastAsia="宋体" w:cs="宋体"/>
                <w:color w:val="auto"/>
                <w:spacing w:val="-71"/>
                <w:sz w:val="21"/>
                <w:szCs w:val="21"/>
                <w:highlight w:val="none"/>
              </w:rPr>
              <w:t xml:space="preserve"> </w:t>
            </w:r>
            <w:r>
              <w:rPr>
                <w:rFonts w:hint="eastAsia" w:ascii="宋体" w:hAnsi="宋体" w:eastAsia="宋体" w:cs="宋体"/>
                <w:color w:val="auto"/>
                <w:spacing w:val="-1"/>
                <w:sz w:val="21"/>
                <w:szCs w:val="21"/>
                <w:highlight w:val="none"/>
              </w:rPr>
              <w:t>、总磷</w:t>
            </w:r>
            <w:r>
              <w:rPr>
                <w:rFonts w:hint="eastAsia" w:ascii="宋体" w:hAnsi="宋体" w:eastAsia="宋体" w:cs="宋体"/>
                <w:color w:val="auto"/>
                <w:spacing w:val="-72"/>
                <w:sz w:val="21"/>
                <w:szCs w:val="21"/>
                <w:highlight w:val="none"/>
              </w:rPr>
              <w:t xml:space="preserve"> </w:t>
            </w:r>
            <w:r>
              <w:rPr>
                <w:rFonts w:hint="eastAsia" w:ascii="宋体" w:hAnsi="宋体" w:eastAsia="宋体" w:cs="宋体"/>
                <w:color w:val="auto"/>
                <w:spacing w:val="-1"/>
                <w:sz w:val="21"/>
                <w:szCs w:val="21"/>
                <w:highlight w:val="none"/>
              </w:rPr>
              <w:t>、总氮、</w:t>
            </w:r>
            <w:r>
              <w:rPr>
                <w:rFonts w:hint="eastAsia" w:ascii="宋体" w:hAnsi="宋体" w:eastAsia="宋体" w:cs="宋体"/>
                <w:color w:val="auto"/>
                <w:sz w:val="21"/>
                <w:szCs w:val="21"/>
                <w:highlight w:val="none"/>
              </w:rPr>
              <w:t>盐度</w:t>
            </w:r>
            <w:r>
              <w:rPr>
                <w:rFonts w:hint="eastAsia" w:ascii="宋体" w:hAnsi="宋体" w:eastAsia="宋体" w:cs="宋体"/>
                <w:color w:val="auto"/>
                <w:spacing w:val="-69"/>
                <w:sz w:val="21"/>
                <w:szCs w:val="21"/>
                <w:highlight w:val="none"/>
              </w:rPr>
              <w:t xml:space="preserve"> </w:t>
            </w:r>
            <w:r>
              <w:rPr>
                <w:rFonts w:hint="eastAsia" w:ascii="宋体" w:hAnsi="宋体" w:eastAsia="宋体" w:cs="宋体"/>
                <w:color w:val="auto"/>
                <w:sz w:val="21"/>
                <w:szCs w:val="21"/>
                <w:highlight w:val="none"/>
              </w:rPr>
              <w:t>、叶绿素</w:t>
            </w:r>
            <w:r>
              <w:rPr>
                <w:rFonts w:hint="eastAsia" w:ascii="宋体" w:hAnsi="宋体" w:eastAsia="宋体" w:cs="宋体"/>
                <w:color w:val="auto"/>
                <w:spacing w:val="-34"/>
                <w:sz w:val="21"/>
                <w:szCs w:val="21"/>
                <w:highlight w:val="none"/>
              </w:rPr>
              <w:t xml:space="preserve"> </w:t>
            </w:r>
            <w:r>
              <w:rPr>
                <w:rFonts w:hint="eastAsia" w:ascii="宋体" w:hAnsi="宋体" w:eastAsia="宋体" w:cs="宋体"/>
                <w:color w:val="auto"/>
                <w:sz w:val="21"/>
                <w:szCs w:val="21"/>
                <w:highlight w:val="none"/>
              </w:rPr>
              <w:t>a</w:t>
            </w:r>
            <w:r>
              <w:rPr>
                <w:rFonts w:hint="eastAsia" w:ascii="宋体" w:hAnsi="宋体" w:eastAsia="宋体" w:cs="宋体"/>
                <w:color w:val="auto"/>
                <w:spacing w:val="-18"/>
                <w:sz w:val="21"/>
                <w:szCs w:val="21"/>
                <w:highlight w:val="none"/>
              </w:rPr>
              <w:t xml:space="preserve"> </w:t>
            </w:r>
            <w:r>
              <w:rPr>
                <w:rFonts w:hint="eastAsia" w:ascii="宋体" w:hAnsi="宋体" w:eastAsia="宋体" w:cs="宋体"/>
                <w:color w:val="auto"/>
                <w:sz w:val="21"/>
                <w:szCs w:val="21"/>
                <w:highlight w:val="none"/>
              </w:rPr>
              <w:t>、透明度；</w:t>
            </w:r>
          </w:p>
        </w:tc>
        <w:tc>
          <w:tcPr>
            <w:tcW w:w="1245" w:type="dxa"/>
            <w:vAlign w:val="center"/>
          </w:tcPr>
          <w:p w14:paraId="34A25434">
            <w:pPr>
              <w:pStyle w:val="120"/>
              <w:spacing w:before="299" w:line="360" w:lineRule="exact"/>
              <w:ind w:left="136"/>
              <w:jc w:val="center"/>
              <w:rPr>
                <w:rFonts w:hint="eastAsia" w:ascii="宋体" w:hAnsi="宋体" w:eastAsia="宋体" w:cs="宋体"/>
                <w:color w:val="auto"/>
                <w:sz w:val="21"/>
                <w:szCs w:val="21"/>
                <w:highlight w:val="none"/>
              </w:rPr>
            </w:pPr>
            <w:r>
              <w:rPr>
                <w:rFonts w:hint="eastAsia" w:ascii="宋体" w:hAnsi="宋体" w:eastAsia="宋体" w:cs="宋体"/>
                <w:color w:val="auto"/>
                <w:spacing w:val="-9"/>
                <w:position w:val="2"/>
                <w:sz w:val="21"/>
                <w:szCs w:val="21"/>
                <w:highlight w:val="none"/>
              </w:rPr>
              <w:t>1月/次</w:t>
            </w:r>
          </w:p>
        </w:tc>
      </w:tr>
      <w:tr w14:paraId="7D74D05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2" w:hRule="atLeast"/>
          <w:jc w:val="center"/>
        </w:trPr>
        <w:tc>
          <w:tcPr>
            <w:tcW w:w="1400" w:type="dxa"/>
            <w:vAlign w:val="top"/>
          </w:tcPr>
          <w:p w14:paraId="01B4E506">
            <w:pPr>
              <w:spacing w:before="86" w:line="223" w:lineRule="auto"/>
              <w:ind w:left="122"/>
              <w:rPr>
                <w:rFonts w:hint="eastAsia" w:ascii="宋体" w:hAnsi="宋体" w:eastAsia="宋体" w:cs="宋体"/>
                <w:color w:val="auto"/>
                <w:sz w:val="21"/>
                <w:szCs w:val="21"/>
                <w:highlight w:val="none"/>
              </w:rPr>
            </w:pPr>
            <w:r>
              <w:rPr>
                <w:rFonts w:hint="eastAsia" w:ascii="宋体" w:hAnsi="宋体" w:eastAsia="宋体" w:cs="宋体"/>
                <w:color w:val="auto"/>
                <w:spacing w:val="-1"/>
                <w:sz w:val="21"/>
                <w:szCs w:val="21"/>
                <w:highlight w:val="none"/>
              </w:rPr>
              <w:t>水文</w:t>
            </w:r>
          </w:p>
        </w:tc>
        <w:tc>
          <w:tcPr>
            <w:tcW w:w="6420" w:type="dxa"/>
            <w:vAlign w:val="top"/>
          </w:tcPr>
          <w:p w14:paraId="55151610">
            <w:pPr>
              <w:spacing w:before="85" w:line="222" w:lineRule="auto"/>
              <w:ind w:left="119"/>
              <w:rPr>
                <w:rFonts w:hint="eastAsia" w:ascii="宋体" w:hAnsi="宋体" w:eastAsia="宋体" w:cs="宋体"/>
                <w:color w:val="auto"/>
                <w:sz w:val="21"/>
                <w:szCs w:val="21"/>
                <w:highlight w:val="none"/>
              </w:rPr>
            </w:pPr>
            <w:r>
              <w:rPr>
                <w:rFonts w:hint="eastAsia" w:ascii="宋体" w:hAnsi="宋体" w:eastAsia="宋体" w:cs="宋体"/>
                <w:color w:val="auto"/>
                <w:spacing w:val="-1"/>
                <w:sz w:val="21"/>
                <w:szCs w:val="21"/>
                <w:highlight w:val="none"/>
              </w:rPr>
              <w:t>流量</w:t>
            </w:r>
            <w:r>
              <w:rPr>
                <w:rFonts w:hint="eastAsia" w:ascii="宋体" w:hAnsi="宋体" w:eastAsia="宋体" w:cs="宋体"/>
                <w:color w:val="auto"/>
                <w:spacing w:val="-66"/>
                <w:sz w:val="21"/>
                <w:szCs w:val="21"/>
                <w:highlight w:val="none"/>
              </w:rPr>
              <w:t xml:space="preserve"> </w:t>
            </w:r>
            <w:r>
              <w:rPr>
                <w:rFonts w:hint="eastAsia" w:ascii="宋体" w:hAnsi="宋体" w:eastAsia="宋体" w:cs="宋体"/>
                <w:color w:val="auto"/>
                <w:spacing w:val="-1"/>
                <w:sz w:val="21"/>
                <w:szCs w:val="21"/>
                <w:highlight w:val="none"/>
              </w:rPr>
              <w:t>、水位</w:t>
            </w:r>
            <w:r>
              <w:rPr>
                <w:rFonts w:hint="eastAsia" w:ascii="宋体" w:hAnsi="宋体" w:eastAsia="宋体" w:cs="宋体"/>
                <w:color w:val="auto"/>
                <w:spacing w:val="-72"/>
                <w:sz w:val="21"/>
                <w:szCs w:val="21"/>
                <w:highlight w:val="none"/>
              </w:rPr>
              <w:t xml:space="preserve"> </w:t>
            </w:r>
            <w:r>
              <w:rPr>
                <w:rFonts w:hint="eastAsia" w:ascii="宋体" w:hAnsi="宋体" w:eastAsia="宋体" w:cs="宋体"/>
                <w:color w:val="auto"/>
                <w:spacing w:val="-1"/>
                <w:sz w:val="21"/>
                <w:szCs w:val="21"/>
                <w:highlight w:val="none"/>
              </w:rPr>
              <w:t>、降雨量</w:t>
            </w:r>
          </w:p>
        </w:tc>
        <w:tc>
          <w:tcPr>
            <w:tcW w:w="1245" w:type="dxa"/>
            <w:vAlign w:val="center"/>
          </w:tcPr>
          <w:p w14:paraId="16C8203B">
            <w:pPr>
              <w:pStyle w:val="120"/>
              <w:spacing w:before="48" w:line="343" w:lineRule="exact"/>
              <w:ind w:left="136"/>
              <w:jc w:val="center"/>
              <w:rPr>
                <w:rFonts w:hint="eastAsia" w:ascii="宋体" w:hAnsi="宋体" w:eastAsia="宋体" w:cs="宋体"/>
                <w:color w:val="auto"/>
                <w:sz w:val="21"/>
                <w:szCs w:val="21"/>
                <w:highlight w:val="none"/>
              </w:rPr>
            </w:pPr>
            <w:r>
              <w:rPr>
                <w:rFonts w:hint="eastAsia" w:ascii="宋体" w:hAnsi="宋体" w:eastAsia="宋体" w:cs="宋体"/>
                <w:color w:val="auto"/>
                <w:spacing w:val="-9"/>
                <w:position w:val="2"/>
                <w:sz w:val="21"/>
                <w:szCs w:val="21"/>
                <w:highlight w:val="none"/>
              </w:rPr>
              <w:t>1月/次</w:t>
            </w:r>
          </w:p>
        </w:tc>
      </w:tr>
      <w:tr w14:paraId="4C79108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4" w:hRule="atLeast"/>
          <w:jc w:val="center"/>
        </w:trPr>
        <w:tc>
          <w:tcPr>
            <w:tcW w:w="1400" w:type="dxa"/>
            <w:vAlign w:val="top"/>
          </w:tcPr>
          <w:p w14:paraId="213FDAE4">
            <w:pPr>
              <w:spacing w:before="188" w:line="222" w:lineRule="auto"/>
              <w:ind w:left="122"/>
              <w:rPr>
                <w:rFonts w:hint="eastAsia" w:ascii="宋体" w:hAnsi="宋体" w:eastAsia="宋体" w:cs="宋体"/>
                <w:color w:val="auto"/>
                <w:sz w:val="21"/>
                <w:szCs w:val="21"/>
                <w:highlight w:val="none"/>
              </w:rPr>
            </w:pPr>
            <w:r>
              <w:rPr>
                <w:rFonts w:hint="eastAsia" w:ascii="宋体" w:hAnsi="宋体" w:eastAsia="宋体" w:cs="宋体"/>
                <w:color w:val="auto"/>
                <w:spacing w:val="-1"/>
                <w:sz w:val="21"/>
                <w:szCs w:val="21"/>
                <w:highlight w:val="none"/>
              </w:rPr>
              <w:t>植被</w:t>
            </w:r>
          </w:p>
        </w:tc>
        <w:tc>
          <w:tcPr>
            <w:tcW w:w="6420" w:type="dxa"/>
            <w:vAlign w:val="top"/>
          </w:tcPr>
          <w:p w14:paraId="276710F2">
            <w:pPr>
              <w:spacing w:before="37" w:line="214" w:lineRule="auto"/>
              <w:ind w:left="119" w:right="229" w:firstLine="2"/>
              <w:rPr>
                <w:rFonts w:hint="eastAsia" w:ascii="宋体" w:hAnsi="宋体" w:eastAsia="宋体" w:cs="宋体"/>
                <w:color w:val="auto"/>
                <w:sz w:val="21"/>
                <w:szCs w:val="21"/>
                <w:highlight w:val="none"/>
              </w:rPr>
            </w:pPr>
            <w:r>
              <w:rPr>
                <w:rFonts w:hint="eastAsia" w:ascii="宋体" w:hAnsi="宋体" w:eastAsia="宋体" w:cs="宋体"/>
                <w:color w:val="auto"/>
                <w:spacing w:val="4"/>
                <w:sz w:val="21"/>
                <w:szCs w:val="21"/>
                <w:highlight w:val="none"/>
              </w:rPr>
              <w:t>类型</w:t>
            </w:r>
            <w:r>
              <w:rPr>
                <w:rFonts w:hint="eastAsia" w:ascii="宋体" w:hAnsi="宋体" w:eastAsia="宋体" w:cs="宋体"/>
                <w:color w:val="auto"/>
                <w:spacing w:val="-59"/>
                <w:sz w:val="21"/>
                <w:szCs w:val="21"/>
                <w:highlight w:val="none"/>
              </w:rPr>
              <w:t xml:space="preserve"> </w:t>
            </w:r>
            <w:r>
              <w:rPr>
                <w:rFonts w:hint="eastAsia" w:ascii="宋体" w:hAnsi="宋体" w:eastAsia="宋体" w:cs="宋体"/>
                <w:color w:val="auto"/>
                <w:spacing w:val="4"/>
                <w:sz w:val="21"/>
                <w:szCs w:val="21"/>
                <w:highlight w:val="none"/>
              </w:rPr>
              <w:t>、面积</w:t>
            </w:r>
            <w:r>
              <w:rPr>
                <w:rFonts w:hint="eastAsia" w:ascii="宋体" w:hAnsi="宋体" w:eastAsia="宋体" w:cs="宋体"/>
                <w:color w:val="auto"/>
                <w:spacing w:val="-72"/>
                <w:sz w:val="21"/>
                <w:szCs w:val="21"/>
                <w:highlight w:val="none"/>
              </w:rPr>
              <w:t xml:space="preserve"> </w:t>
            </w:r>
            <w:r>
              <w:rPr>
                <w:rFonts w:hint="eastAsia" w:ascii="宋体" w:hAnsi="宋体" w:eastAsia="宋体" w:cs="宋体"/>
                <w:color w:val="auto"/>
                <w:spacing w:val="4"/>
                <w:sz w:val="21"/>
                <w:szCs w:val="21"/>
                <w:highlight w:val="none"/>
              </w:rPr>
              <w:t>、覆盖率、群落因子（群落外貌</w:t>
            </w:r>
            <w:r>
              <w:rPr>
                <w:rFonts w:hint="eastAsia" w:ascii="宋体" w:hAnsi="宋体" w:eastAsia="宋体" w:cs="宋体"/>
                <w:color w:val="auto"/>
                <w:spacing w:val="-72"/>
                <w:sz w:val="21"/>
                <w:szCs w:val="21"/>
                <w:highlight w:val="none"/>
              </w:rPr>
              <w:t xml:space="preserve"> </w:t>
            </w:r>
            <w:r>
              <w:rPr>
                <w:rFonts w:hint="eastAsia" w:ascii="宋体" w:hAnsi="宋体" w:eastAsia="宋体" w:cs="宋体"/>
                <w:color w:val="auto"/>
                <w:spacing w:val="4"/>
                <w:sz w:val="21"/>
                <w:szCs w:val="21"/>
                <w:highlight w:val="none"/>
              </w:rPr>
              <w:t>、结构</w:t>
            </w:r>
            <w:r>
              <w:rPr>
                <w:rFonts w:hint="eastAsia" w:ascii="宋体" w:hAnsi="宋体" w:eastAsia="宋体" w:cs="宋体"/>
                <w:color w:val="auto"/>
                <w:spacing w:val="-72"/>
                <w:sz w:val="21"/>
                <w:szCs w:val="21"/>
                <w:highlight w:val="none"/>
              </w:rPr>
              <w:t xml:space="preserve"> </w:t>
            </w:r>
            <w:r>
              <w:rPr>
                <w:rFonts w:hint="eastAsia" w:ascii="宋体" w:hAnsi="宋体" w:eastAsia="宋体" w:cs="宋体"/>
                <w:color w:val="auto"/>
                <w:spacing w:val="4"/>
                <w:sz w:val="21"/>
                <w:szCs w:val="21"/>
                <w:highlight w:val="none"/>
              </w:rPr>
              <w:t>、健</w:t>
            </w:r>
            <w:r>
              <w:rPr>
                <w:rFonts w:hint="eastAsia" w:ascii="宋体" w:hAnsi="宋体" w:eastAsia="宋体" w:cs="宋体"/>
                <w:color w:val="auto"/>
                <w:spacing w:val="11"/>
                <w:sz w:val="21"/>
                <w:szCs w:val="21"/>
                <w:highlight w:val="none"/>
              </w:rPr>
              <w:t>康状况、人为干扰和破坏情况等</w:t>
            </w:r>
            <w:r>
              <w:rPr>
                <w:rFonts w:hint="eastAsia" w:ascii="宋体" w:hAnsi="宋体" w:eastAsia="宋体" w:cs="宋体"/>
                <w:color w:val="auto"/>
                <w:spacing w:val="18"/>
                <w:sz w:val="21"/>
                <w:szCs w:val="21"/>
                <w:highlight w:val="none"/>
              </w:rPr>
              <w:t>）；</w:t>
            </w:r>
          </w:p>
        </w:tc>
        <w:tc>
          <w:tcPr>
            <w:tcW w:w="1245" w:type="dxa"/>
            <w:vAlign w:val="center"/>
          </w:tcPr>
          <w:p w14:paraId="1B800EA2">
            <w:pPr>
              <w:pStyle w:val="120"/>
              <w:spacing w:before="152" w:line="358" w:lineRule="exact"/>
              <w:ind w:left="136"/>
              <w:jc w:val="center"/>
              <w:rPr>
                <w:rFonts w:hint="eastAsia" w:ascii="宋体" w:hAnsi="宋体" w:eastAsia="宋体" w:cs="宋体"/>
                <w:color w:val="auto"/>
                <w:sz w:val="21"/>
                <w:szCs w:val="21"/>
                <w:highlight w:val="none"/>
              </w:rPr>
            </w:pPr>
            <w:r>
              <w:rPr>
                <w:rFonts w:hint="eastAsia" w:ascii="宋体" w:hAnsi="宋体" w:eastAsia="宋体" w:cs="宋体"/>
                <w:color w:val="auto"/>
                <w:spacing w:val="-6"/>
                <w:position w:val="2"/>
                <w:sz w:val="21"/>
                <w:szCs w:val="21"/>
                <w:highlight w:val="none"/>
              </w:rPr>
              <w:t>1次/年</w:t>
            </w:r>
          </w:p>
        </w:tc>
      </w:tr>
      <w:tr w14:paraId="7452688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4" w:hRule="atLeast"/>
          <w:jc w:val="center"/>
        </w:trPr>
        <w:tc>
          <w:tcPr>
            <w:tcW w:w="1400" w:type="dxa"/>
            <w:vAlign w:val="top"/>
          </w:tcPr>
          <w:p w14:paraId="7EF0EC15">
            <w:pPr>
              <w:spacing w:line="259" w:lineRule="auto"/>
              <w:rPr>
                <w:rFonts w:hint="eastAsia" w:ascii="宋体" w:hAnsi="宋体" w:eastAsia="宋体" w:cs="宋体"/>
                <w:color w:val="auto"/>
                <w:sz w:val="21"/>
                <w:szCs w:val="21"/>
                <w:highlight w:val="none"/>
              </w:rPr>
            </w:pPr>
          </w:p>
          <w:p w14:paraId="58F41054">
            <w:pPr>
              <w:spacing w:before="78" w:line="221" w:lineRule="auto"/>
              <w:ind w:left="122"/>
              <w:rPr>
                <w:rFonts w:hint="eastAsia" w:ascii="宋体" w:hAnsi="宋体" w:eastAsia="宋体" w:cs="宋体"/>
                <w:color w:val="auto"/>
                <w:sz w:val="21"/>
                <w:szCs w:val="21"/>
                <w:highlight w:val="none"/>
              </w:rPr>
            </w:pPr>
            <w:r>
              <w:rPr>
                <w:rFonts w:hint="eastAsia" w:ascii="宋体" w:hAnsi="宋体" w:eastAsia="宋体" w:cs="宋体"/>
                <w:color w:val="auto"/>
                <w:spacing w:val="-1"/>
                <w:sz w:val="21"/>
                <w:szCs w:val="21"/>
                <w:highlight w:val="none"/>
              </w:rPr>
              <w:t>植物</w:t>
            </w:r>
          </w:p>
        </w:tc>
        <w:tc>
          <w:tcPr>
            <w:tcW w:w="6420" w:type="dxa"/>
            <w:vAlign w:val="top"/>
          </w:tcPr>
          <w:p w14:paraId="7D6D8E71">
            <w:pPr>
              <w:spacing w:before="39" w:line="219" w:lineRule="auto"/>
              <w:ind w:left="119" w:right="229" w:firstLine="2"/>
              <w:jc w:val="both"/>
              <w:rPr>
                <w:rFonts w:hint="eastAsia" w:ascii="宋体" w:hAnsi="宋体" w:eastAsia="宋体" w:cs="宋体"/>
                <w:color w:val="auto"/>
                <w:sz w:val="21"/>
                <w:szCs w:val="21"/>
                <w:highlight w:val="none"/>
              </w:rPr>
            </w:pPr>
            <w:r>
              <w:rPr>
                <w:rFonts w:hint="eastAsia" w:ascii="宋体" w:hAnsi="宋体" w:eastAsia="宋体" w:cs="宋体"/>
                <w:color w:val="auto"/>
                <w:spacing w:val="8"/>
                <w:sz w:val="21"/>
                <w:szCs w:val="21"/>
                <w:highlight w:val="none"/>
              </w:rPr>
              <w:t>种类多样性及其变化（高等植物种类</w:t>
            </w:r>
            <w:r>
              <w:rPr>
                <w:rFonts w:hint="eastAsia" w:ascii="宋体" w:hAnsi="宋体" w:eastAsia="宋体" w:cs="宋体"/>
                <w:color w:val="auto"/>
                <w:spacing w:val="-72"/>
                <w:sz w:val="21"/>
                <w:szCs w:val="21"/>
                <w:highlight w:val="none"/>
              </w:rPr>
              <w:t xml:space="preserve"> </w:t>
            </w:r>
            <w:r>
              <w:rPr>
                <w:rFonts w:hint="eastAsia" w:ascii="宋体" w:hAnsi="宋体" w:eastAsia="宋体" w:cs="宋体"/>
                <w:color w:val="auto"/>
                <w:spacing w:val="8"/>
                <w:sz w:val="21"/>
                <w:szCs w:val="21"/>
                <w:highlight w:val="none"/>
              </w:rPr>
              <w:t>、数量）</w:t>
            </w:r>
            <w:r>
              <w:rPr>
                <w:rFonts w:hint="eastAsia" w:ascii="宋体" w:hAnsi="宋体" w:eastAsia="宋体" w:cs="宋体"/>
                <w:color w:val="auto"/>
                <w:spacing w:val="-58"/>
                <w:sz w:val="21"/>
                <w:szCs w:val="21"/>
                <w:highlight w:val="none"/>
              </w:rPr>
              <w:t xml:space="preserve"> </w:t>
            </w:r>
            <w:r>
              <w:rPr>
                <w:rFonts w:hint="eastAsia" w:ascii="宋体" w:hAnsi="宋体" w:eastAsia="宋体" w:cs="宋体"/>
                <w:color w:val="auto"/>
                <w:spacing w:val="8"/>
                <w:sz w:val="21"/>
                <w:szCs w:val="21"/>
                <w:highlight w:val="none"/>
              </w:rPr>
              <w:t>、重要物种（特有植物</w:t>
            </w:r>
            <w:r>
              <w:rPr>
                <w:rFonts w:hint="eastAsia" w:ascii="宋体" w:hAnsi="宋体" w:eastAsia="宋体" w:cs="宋体"/>
                <w:color w:val="auto"/>
                <w:spacing w:val="-66"/>
                <w:sz w:val="21"/>
                <w:szCs w:val="21"/>
                <w:highlight w:val="none"/>
              </w:rPr>
              <w:t xml:space="preserve"> </w:t>
            </w:r>
            <w:r>
              <w:rPr>
                <w:rFonts w:hint="eastAsia" w:ascii="宋体" w:hAnsi="宋体" w:eastAsia="宋体" w:cs="宋体"/>
                <w:color w:val="auto"/>
                <w:spacing w:val="8"/>
                <w:sz w:val="21"/>
                <w:szCs w:val="21"/>
                <w:highlight w:val="none"/>
              </w:rPr>
              <w:t>、珍稀濒危和重点保护植物）</w:t>
            </w:r>
            <w:r>
              <w:rPr>
                <w:rFonts w:hint="eastAsia" w:ascii="宋体" w:hAnsi="宋体" w:eastAsia="宋体" w:cs="宋体"/>
                <w:color w:val="auto"/>
                <w:spacing w:val="-61"/>
                <w:sz w:val="21"/>
                <w:szCs w:val="21"/>
                <w:highlight w:val="none"/>
              </w:rPr>
              <w:t xml:space="preserve"> </w:t>
            </w:r>
            <w:r>
              <w:rPr>
                <w:rFonts w:hint="eastAsia" w:ascii="宋体" w:hAnsi="宋体" w:eastAsia="宋体" w:cs="宋体"/>
                <w:color w:val="auto"/>
                <w:spacing w:val="8"/>
                <w:sz w:val="21"/>
                <w:szCs w:val="21"/>
                <w:highlight w:val="none"/>
              </w:rPr>
              <w:t>的分布和种</w:t>
            </w:r>
            <w:r>
              <w:rPr>
                <w:rFonts w:hint="eastAsia" w:ascii="宋体" w:hAnsi="宋体" w:eastAsia="宋体" w:cs="宋体"/>
                <w:color w:val="auto"/>
                <w:spacing w:val="6"/>
                <w:sz w:val="21"/>
                <w:szCs w:val="21"/>
                <w:highlight w:val="none"/>
              </w:rPr>
              <w:t>群数量变化（种类</w:t>
            </w:r>
            <w:r>
              <w:rPr>
                <w:rFonts w:hint="eastAsia" w:ascii="宋体" w:hAnsi="宋体" w:eastAsia="宋体" w:cs="宋体"/>
                <w:color w:val="auto"/>
                <w:spacing w:val="-71"/>
                <w:sz w:val="21"/>
                <w:szCs w:val="21"/>
                <w:highlight w:val="none"/>
              </w:rPr>
              <w:t xml:space="preserve"> </w:t>
            </w:r>
            <w:r>
              <w:rPr>
                <w:rFonts w:hint="eastAsia" w:ascii="宋体" w:hAnsi="宋体" w:eastAsia="宋体" w:cs="宋体"/>
                <w:color w:val="auto"/>
                <w:spacing w:val="6"/>
                <w:sz w:val="21"/>
                <w:szCs w:val="21"/>
                <w:highlight w:val="none"/>
              </w:rPr>
              <w:t>、分布</w:t>
            </w:r>
            <w:r>
              <w:rPr>
                <w:rFonts w:hint="eastAsia" w:ascii="宋体" w:hAnsi="宋体" w:eastAsia="宋体" w:cs="宋体"/>
                <w:color w:val="auto"/>
                <w:spacing w:val="-72"/>
                <w:sz w:val="21"/>
                <w:szCs w:val="21"/>
                <w:highlight w:val="none"/>
              </w:rPr>
              <w:t xml:space="preserve"> </w:t>
            </w:r>
            <w:r>
              <w:rPr>
                <w:rFonts w:hint="eastAsia" w:ascii="宋体" w:hAnsi="宋体" w:eastAsia="宋体" w:cs="宋体"/>
                <w:color w:val="auto"/>
                <w:spacing w:val="6"/>
                <w:sz w:val="21"/>
                <w:szCs w:val="21"/>
                <w:highlight w:val="none"/>
              </w:rPr>
              <w:t>、种群数量</w:t>
            </w:r>
            <w:r>
              <w:rPr>
                <w:rFonts w:hint="eastAsia" w:ascii="宋体" w:hAnsi="宋体" w:eastAsia="宋体" w:cs="宋体"/>
                <w:color w:val="auto"/>
                <w:spacing w:val="14"/>
                <w:sz w:val="21"/>
                <w:szCs w:val="21"/>
                <w:highlight w:val="none"/>
              </w:rPr>
              <w:t>）；</w:t>
            </w:r>
          </w:p>
        </w:tc>
        <w:tc>
          <w:tcPr>
            <w:tcW w:w="1245" w:type="dxa"/>
            <w:vAlign w:val="center"/>
          </w:tcPr>
          <w:p w14:paraId="0B13E37B">
            <w:pPr>
              <w:pStyle w:val="120"/>
              <w:spacing w:before="301" w:line="359" w:lineRule="exact"/>
              <w:ind w:left="136"/>
              <w:jc w:val="center"/>
              <w:rPr>
                <w:rFonts w:hint="eastAsia" w:ascii="宋体" w:hAnsi="宋体" w:eastAsia="宋体" w:cs="宋体"/>
                <w:color w:val="auto"/>
                <w:sz w:val="21"/>
                <w:szCs w:val="21"/>
                <w:highlight w:val="none"/>
              </w:rPr>
            </w:pPr>
            <w:r>
              <w:rPr>
                <w:rFonts w:hint="eastAsia" w:ascii="宋体" w:hAnsi="宋体" w:eastAsia="宋体" w:cs="宋体"/>
                <w:color w:val="auto"/>
                <w:spacing w:val="-6"/>
                <w:position w:val="2"/>
                <w:sz w:val="21"/>
                <w:szCs w:val="21"/>
                <w:highlight w:val="none"/>
              </w:rPr>
              <w:t>1次/年</w:t>
            </w:r>
          </w:p>
        </w:tc>
      </w:tr>
      <w:tr w14:paraId="0DF601B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5" w:hRule="atLeast"/>
          <w:jc w:val="center"/>
        </w:trPr>
        <w:tc>
          <w:tcPr>
            <w:tcW w:w="1400" w:type="dxa"/>
            <w:vAlign w:val="top"/>
          </w:tcPr>
          <w:p w14:paraId="37A77CF2">
            <w:pPr>
              <w:spacing w:before="188" w:line="221" w:lineRule="auto"/>
              <w:ind w:left="125"/>
              <w:rPr>
                <w:rFonts w:hint="eastAsia" w:ascii="宋体" w:hAnsi="宋体" w:eastAsia="宋体" w:cs="宋体"/>
                <w:color w:val="auto"/>
                <w:sz w:val="21"/>
                <w:szCs w:val="21"/>
                <w:highlight w:val="none"/>
              </w:rPr>
            </w:pPr>
            <w:r>
              <w:rPr>
                <w:rFonts w:hint="eastAsia" w:ascii="宋体" w:hAnsi="宋体" w:eastAsia="宋体" w:cs="宋体"/>
                <w:color w:val="auto"/>
                <w:spacing w:val="5"/>
                <w:sz w:val="21"/>
                <w:szCs w:val="21"/>
                <w:highlight w:val="none"/>
              </w:rPr>
              <w:t>底栖动物</w:t>
            </w:r>
          </w:p>
        </w:tc>
        <w:tc>
          <w:tcPr>
            <w:tcW w:w="6420" w:type="dxa"/>
            <w:vAlign w:val="top"/>
          </w:tcPr>
          <w:p w14:paraId="10A37939">
            <w:pPr>
              <w:spacing w:before="41" w:line="213" w:lineRule="auto"/>
              <w:ind w:left="124" w:right="229" w:hanging="3"/>
              <w:rPr>
                <w:rFonts w:hint="eastAsia" w:ascii="宋体" w:hAnsi="宋体" w:eastAsia="宋体" w:cs="宋体"/>
                <w:color w:val="auto"/>
                <w:sz w:val="21"/>
                <w:szCs w:val="21"/>
                <w:highlight w:val="none"/>
              </w:rPr>
            </w:pPr>
            <w:r>
              <w:rPr>
                <w:rFonts w:hint="eastAsia" w:ascii="宋体" w:hAnsi="宋体" w:eastAsia="宋体" w:cs="宋体"/>
                <w:color w:val="auto"/>
                <w:spacing w:val="4"/>
                <w:sz w:val="21"/>
                <w:szCs w:val="21"/>
                <w:highlight w:val="none"/>
              </w:rPr>
              <w:t>种类及分布</w:t>
            </w:r>
            <w:r>
              <w:rPr>
                <w:rFonts w:hint="eastAsia" w:ascii="宋体" w:hAnsi="宋体" w:eastAsia="宋体" w:cs="宋体"/>
                <w:color w:val="auto"/>
                <w:spacing w:val="-59"/>
                <w:sz w:val="21"/>
                <w:szCs w:val="21"/>
                <w:highlight w:val="none"/>
              </w:rPr>
              <w:t xml:space="preserve"> </w:t>
            </w:r>
            <w:r>
              <w:rPr>
                <w:rFonts w:hint="eastAsia" w:ascii="宋体" w:hAnsi="宋体" w:eastAsia="宋体" w:cs="宋体"/>
                <w:color w:val="auto"/>
                <w:spacing w:val="4"/>
                <w:sz w:val="21"/>
                <w:szCs w:val="21"/>
                <w:highlight w:val="none"/>
              </w:rPr>
              <w:t>、多样性、密度</w:t>
            </w:r>
            <w:r>
              <w:rPr>
                <w:rFonts w:hint="eastAsia" w:ascii="宋体" w:hAnsi="宋体" w:eastAsia="宋体" w:cs="宋体"/>
                <w:color w:val="auto"/>
                <w:spacing w:val="-71"/>
                <w:sz w:val="21"/>
                <w:szCs w:val="21"/>
                <w:highlight w:val="none"/>
              </w:rPr>
              <w:t xml:space="preserve"> </w:t>
            </w:r>
            <w:r>
              <w:rPr>
                <w:rFonts w:hint="eastAsia" w:ascii="宋体" w:hAnsi="宋体" w:eastAsia="宋体" w:cs="宋体"/>
                <w:color w:val="auto"/>
                <w:spacing w:val="4"/>
                <w:sz w:val="21"/>
                <w:szCs w:val="21"/>
                <w:highlight w:val="none"/>
              </w:rPr>
              <w:t>、生物量</w:t>
            </w:r>
            <w:r>
              <w:rPr>
                <w:rFonts w:hint="eastAsia" w:ascii="宋体" w:hAnsi="宋体" w:eastAsia="宋体" w:cs="宋体"/>
                <w:color w:val="auto"/>
                <w:spacing w:val="-72"/>
                <w:sz w:val="21"/>
                <w:szCs w:val="21"/>
                <w:highlight w:val="none"/>
              </w:rPr>
              <w:t xml:space="preserve"> </w:t>
            </w:r>
            <w:r>
              <w:rPr>
                <w:rFonts w:hint="eastAsia" w:ascii="宋体" w:hAnsi="宋体" w:eastAsia="宋体" w:cs="宋体"/>
                <w:color w:val="auto"/>
                <w:spacing w:val="4"/>
                <w:sz w:val="21"/>
                <w:szCs w:val="21"/>
                <w:highlight w:val="none"/>
              </w:rPr>
              <w:t>、特有种</w:t>
            </w:r>
            <w:r>
              <w:rPr>
                <w:rFonts w:hint="eastAsia" w:ascii="宋体" w:hAnsi="宋体" w:eastAsia="宋体" w:cs="宋体"/>
                <w:color w:val="auto"/>
                <w:spacing w:val="-72"/>
                <w:sz w:val="21"/>
                <w:szCs w:val="21"/>
                <w:highlight w:val="none"/>
              </w:rPr>
              <w:t xml:space="preserve"> </w:t>
            </w:r>
            <w:r>
              <w:rPr>
                <w:rFonts w:hint="eastAsia" w:ascii="宋体" w:hAnsi="宋体" w:eastAsia="宋体" w:cs="宋体"/>
                <w:color w:val="auto"/>
                <w:spacing w:val="4"/>
                <w:sz w:val="21"/>
                <w:szCs w:val="21"/>
                <w:highlight w:val="none"/>
              </w:rPr>
              <w:t>、珍稀濒</w:t>
            </w:r>
            <w:r>
              <w:rPr>
                <w:rFonts w:hint="eastAsia" w:ascii="宋体" w:hAnsi="宋体" w:eastAsia="宋体" w:cs="宋体"/>
                <w:color w:val="auto"/>
                <w:spacing w:val="3"/>
                <w:sz w:val="21"/>
                <w:szCs w:val="21"/>
                <w:highlight w:val="none"/>
              </w:rPr>
              <w:t>危物种等；</w:t>
            </w:r>
          </w:p>
        </w:tc>
        <w:tc>
          <w:tcPr>
            <w:tcW w:w="1245" w:type="dxa"/>
            <w:vAlign w:val="center"/>
          </w:tcPr>
          <w:p w14:paraId="22114B83">
            <w:pPr>
              <w:pStyle w:val="120"/>
              <w:spacing w:before="153" w:line="359" w:lineRule="exact"/>
              <w:ind w:left="136"/>
              <w:jc w:val="center"/>
              <w:rPr>
                <w:rFonts w:hint="eastAsia" w:ascii="宋体" w:hAnsi="宋体" w:eastAsia="宋体" w:cs="宋体"/>
                <w:color w:val="auto"/>
                <w:sz w:val="21"/>
                <w:szCs w:val="21"/>
                <w:highlight w:val="none"/>
              </w:rPr>
            </w:pPr>
            <w:r>
              <w:rPr>
                <w:rFonts w:hint="eastAsia" w:ascii="宋体" w:hAnsi="宋体" w:eastAsia="宋体" w:cs="宋体"/>
                <w:color w:val="auto"/>
                <w:spacing w:val="-6"/>
                <w:position w:val="2"/>
                <w:sz w:val="21"/>
                <w:szCs w:val="21"/>
                <w:highlight w:val="none"/>
              </w:rPr>
              <w:t>1次/年</w:t>
            </w:r>
          </w:p>
        </w:tc>
      </w:tr>
      <w:tr w14:paraId="23A9ABC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5" w:hRule="atLeast"/>
          <w:jc w:val="center"/>
        </w:trPr>
        <w:tc>
          <w:tcPr>
            <w:tcW w:w="1400" w:type="dxa"/>
            <w:vAlign w:val="top"/>
          </w:tcPr>
          <w:p w14:paraId="15303BD7">
            <w:pPr>
              <w:spacing w:before="40" w:line="196" w:lineRule="auto"/>
              <w:ind w:left="131"/>
              <w:rPr>
                <w:rFonts w:hint="eastAsia" w:ascii="宋体" w:hAnsi="宋体" w:eastAsia="宋体" w:cs="宋体"/>
                <w:color w:val="auto"/>
                <w:sz w:val="21"/>
                <w:szCs w:val="21"/>
                <w:highlight w:val="none"/>
              </w:rPr>
            </w:pPr>
            <w:r>
              <w:rPr>
                <w:rFonts w:hint="eastAsia" w:ascii="宋体" w:hAnsi="宋体" w:eastAsia="宋体" w:cs="宋体"/>
                <w:color w:val="auto"/>
                <w:spacing w:val="-6"/>
                <w:sz w:val="21"/>
                <w:szCs w:val="21"/>
                <w:highlight w:val="none"/>
              </w:rPr>
              <w:t>鱼类</w:t>
            </w:r>
          </w:p>
        </w:tc>
        <w:tc>
          <w:tcPr>
            <w:tcW w:w="6420" w:type="dxa"/>
            <w:vAlign w:val="top"/>
          </w:tcPr>
          <w:p w14:paraId="142C7E70">
            <w:pPr>
              <w:spacing w:before="40" w:line="196" w:lineRule="auto"/>
              <w:ind w:left="121"/>
              <w:rPr>
                <w:rFonts w:hint="eastAsia" w:ascii="宋体" w:hAnsi="宋体" w:eastAsia="宋体" w:cs="宋体"/>
                <w:color w:val="auto"/>
                <w:sz w:val="21"/>
                <w:szCs w:val="21"/>
                <w:highlight w:val="none"/>
              </w:rPr>
            </w:pPr>
            <w:r>
              <w:rPr>
                <w:rFonts w:hint="eastAsia" w:ascii="宋体" w:hAnsi="宋体" w:eastAsia="宋体" w:cs="宋体"/>
                <w:color w:val="auto"/>
                <w:spacing w:val="-2"/>
                <w:sz w:val="21"/>
                <w:szCs w:val="21"/>
                <w:highlight w:val="none"/>
              </w:rPr>
              <w:t>种类</w:t>
            </w:r>
            <w:r>
              <w:rPr>
                <w:rFonts w:hint="eastAsia" w:ascii="宋体" w:hAnsi="宋体" w:eastAsia="宋体" w:cs="宋体"/>
                <w:color w:val="auto"/>
                <w:spacing w:val="-72"/>
                <w:sz w:val="21"/>
                <w:szCs w:val="21"/>
                <w:highlight w:val="none"/>
              </w:rPr>
              <w:t xml:space="preserve"> </w:t>
            </w:r>
            <w:r>
              <w:rPr>
                <w:rFonts w:hint="eastAsia" w:ascii="宋体" w:hAnsi="宋体" w:eastAsia="宋体" w:cs="宋体"/>
                <w:color w:val="auto"/>
                <w:spacing w:val="-2"/>
                <w:sz w:val="21"/>
                <w:szCs w:val="21"/>
                <w:highlight w:val="none"/>
              </w:rPr>
              <w:t>、分布；</w:t>
            </w:r>
          </w:p>
        </w:tc>
        <w:tc>
          <w:tcPr>
            <w:tcW w:w="1245" w:type="dxa"/>
            <w:vAlign w:val="center"/>
          </w:tcPr>
          <w:p w14:paraId="40C0AD8A">
            <w:pPr>
              <w:pStyle w:val="120"/>
              <w:spacing w:before="5" w:line="223" w:lineRule="auto"/>
              <w:ind w:left="141"/>
              <w:jc w:val="center"/>
              <w:rPr>
                <w:rFonts w:hint="eastAsia" w:ascii="宋体" w:hAnsi="宋体" w:eastAsia="宋体" w:cs="宋体"/>
                <w:color w:val="auto"/>
                <w:sz w:val="21"/>
                <w:szCs w:val="21"/>
                <w:highlight w:val="none"/>
              </w:rPr>
            </w:pPr>
            <w:r>
              <w:rPr>
                <w:rFonts w:hint="eastAsia" w:ascii="宋体" w:hAnsi="宋体" w:eastAsia="宋体" w:cs="宋体"/>
                <w:color w:val="auto"/>
                <w:spacing w:val="-12"/>
                <w:sz w:val="21"/>
                <w:szCs w:val="21"/>
                <w:highlight w:val="none"/>
              </w:rPr>
              <w:t>≥</w:t>
            </w:r>
            <w:r>
              <w:rPr>
                <w:rFonts w:hint="eastAsia" w:ascii="宋体" w:hAnsi="宋体" w:eastAsia="宋体" w:cs="宋体"/>
                <w:color w:val="auto"/>
                <w:spacing w:val="-78"/>
                <w:sz w:val="21"/>
                <w:szCs w:val="21"/>
                <w:highlight w:val="none"/>
              </w:rPr>
              <w:t xml:space="preserve"> </w:t>
            </w:r>
            <w:r>
              <w:rPr>
                <w:rFonts w:hint="eastAsia" w:ascii="宋体" w:hAnsi="宋体" w:eastAsia="宋体" w:cs="宋体"/>
                <w:color w:val="auto"/>
                <w:spacing w:val="-12"/>
                <w:sz w:val="21"/>
                <w:szCs w:val="21"/>
                <w:highlight w:val="none"/>
              </w:rPr>
              <w:t>1次/年</w:t>
            </w:r>
          </w:p>
        </w:tc>
      </w:tr>
      <w:tr w14:paraId="4B0472A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5" w:hRule="atLeast"/>
          <w:jc w:val="center"/>
        </w:trPr>
        <w:tc>
          <w:tcPr>
            <w:tcW w:w="1400" w:type="dxa"/>
            <w:vAlign w:val="top"/>
          </w:tcPr>
          <w:p w14:paraId="2632E550">
            <w:pPr>
              <w:spacing w:before="38" w:line="214" w:lineRule="auto"/>
              <w:ind w:left="124" w:right="287" w:firstLine="10"/>
              <w:rPr>
                <w:rFonts w:hint="eastAsia" w:ascii="宋体" w:hAnsi="宋体" w:eastAsia="宋体" w:cs="宋体"/>
                <w:color w:val="auto"/>
                <w:sz w:val="21"/>
                <w:szCs w:val="21"/>
                <w:highlight w:val="none"/>
              </w:rPr>
            </w:pPr>
            <w:r>
              <w:rPr>
                <w:rFonts w:hint="eastAsia" w:ascii="宋体" w:hAnsi="宋体" w:eastAsia="宋体" w:cs="宋体"/>
                <w:color w:val="auto"/>
                <w:spacing w:val="3"/>
                <w:sz w:val="21"/>
                <w:szCs w:val="21"/>
                <w:highlight w:val="none"/>
              </w:rPr>
              <w:t>两栖和爬</w:t>
            </w:r>
            <w:r>
              <w:rPr>
                <w:rFonts w:hint="eastAsia" w:ascii="宋体" w:hAnsi="宋体" w:eastAsia="宋体" w:cs="宋体"/>
                <w:color w:val="auto"/>
                <w:spacing w:val="-2"/>
                <w:sz w:val="21"/>
                <w:szCs w:val="21"/>
                <w:highlight w:val="none"/>
              </w:rPr>
              <w:t>行类</w:t>
            </w:r>
          </w:p>
        </w:tc>
        <w:tc>
          <w:tcPr>
            <w:tcW w:w="6420" w:type="dxa"/>
            <w:vAlign w:val="top"/>
          </w:tcPr>
          <w:p w14:paraId="7B56EFD9">
            <w:pPr>
              <w:spacing w:before="190" w:line="220" w:lineRule="auto"/>
              <w:ind w:left="121"/>
              <w:rPr>
                <w:rFonts w:hint="eastAsia" w:ascii="宋体" w:hAnsi="宋体" w:eastAsia="宋体" w:cs="宋体"/>
                <w:color w:val="auto"/>
                <w:sz w:val="21"/>
                <w:szCs w:val="21"/>
                <w:highlight w:val="none"/>
              </w:rPr>
            </w:pPr>
            <w:r>
              <w:rPr>
                <w:rFonts w:hint="eastAsia" w:ascii="宋体" w:hAnsi="宋体" w:eastAsia="宋体" w:cs="宋体"/>
                <w:color w:val="auto"/>
                <w:spacing w:val="-2"/>
                <w:sz w:val="21"/>
                <w:szCs w:val="21"/>
                <w:highlight w:val="none"/>
              </w:rPr>
              <w:t>种类</w:t>
            </w:r>
            <w:r>
              <w:rPr>
                <w:rFonts w:hint="eastAsia" w:ascii="宋体" w:hAnsi="宋体" w:eastAsia="宋体" w:cs="宋体"/>
                <w:color w:val="auto"/>
                <w:spacing w:val="-72"/>
                <w:sz w:val="21"/>
                <w:szCs w:val="21"/>
                <w:highlight w:val="none"/>
              </w:rPr>
              <w:t xml:space="preserve"> </w:t>
            </w:r>
            <w:r>
              <w:rPr>
                <w:rFonts w:hint="eastAsia" w:ascii="宋体" w:hAnsi="宋体" w:eastAsia="宋体" w:cs="宋体"/>
                <w:color w:val="auto"/>
                <w:spacing w:val="-2"/>
                <w:sz w:val="21"/>
                <w:szCs w:val="21"/>
                <w:highlight w:val="none"/>
              </w:rPr>
              <w:t>、分布；</w:t>
            </w:r>
          </w:p>
        </w:tc>
        <w:tc>
          <w:tcPr>
            <w:tcW w:w="1245" w:type="dxa"/>
            <w:vAlign w:val="center"/>
          </w:tcPr>
          <w:p w14:paraId="740A00E4">
            <w:pPr>
              <w:pStyle w:val="120"/>
              <w:spacing w:before="152" w:line="359" w:lineRule="exact"/>
              <w:ind w:left="141"/>
              <w:jc w:val="center"/>
              <w:rPr>
                <w:rFonts w:hint="eastAsia" w:ascii="宋体" w:hAnsi="宋体" w:eastAsia="宋体" w:cs="宋体"/>
                <w:color w:val="auto"/>
                <w:sz w:val="21"/>
                <w:szCs w:val="21"/>
                <w:highlight w:val="none"/>
              </w:rPr>
            </w:pPr>
            <w:r>
              <w:rPr>
                <w:rFonts w:hint="eastAsia" w:ascii="宋体" w:hAnsi="宋体" w:eastAsia="宋体" w:cs="宋体"/>
                <w:color w:val="auto"/>
                <w:spacing w:val="-12"/>
                <w:position w:val="2"/>
                <w:sz w:val="21"/>
                <w:szCs w:val="21"/>
                <w:highlight w:val="none"/>
              </w:rPr>
              <w:t>≥</w:t>
            </w:r>
            <w:r>
              <w:rPr>
                <w:rFonts w:hint="eastAsia" w:ascii="宋体" w:hAnsi="宋体" w:eastAsia="宋体" w:cs="宋体"/>
                <w:color w:val="auto"/>
                <w:spacing w:val="-78"/>
                <w:position w:val="2"/>
                <w:sz w:val="21"/>
                <w:szCs w:val="21"/>
                <w:highlight w:val="none"/>
              </w:rPr>
              <w:t xml:space="preserve"> </w:t>
            </w:r>
            <w:r>
              <w:rPr>
                <w:rFonts w:hint="eastAsia" w:ascii="宋体" w:hAnsi="宋体" w:eastAsia="宋体" w:cs="宋体"/>
                <w:color w:val="auto"/>
                <w:spacing w:val="-12"/>
                <w:position w:val="2"/>
                <w:sz w:val="21"/>
                <w:szCs w:val="21"/>
                <w:highlight w:val="none"/>
              </w:rPr>
              <w:t>1次/年</w:t>
            </w:r>
          </w:p>
        </w:tc>
      </w:tr>
      <w:tr w14:paraId="0BA825E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5" w:hRule="atLeast"/>
          <w:jc w:val="center"/>
        </w:trPr>
        <w:tc>
          <w:tcPr>
            <w:tcW w:w="1400" w:type="dxa"/>
            <w:vAlign w:val="top"/>
          </w:tcPr>
          <w:p w14:paraId="5A48A99A">
            <w:pPr>
              <w:spacing w:before="38" w:line="197" w:lineRule="auto"/>
              <w:ind w:left="133"/>
              <w:rPr>
                <w:rFonts w:hint="eastAsia" w:ascii="宋体" w:hAnsi="宋体" w:eastAsia="宋体" w:cs="宋体"/>
                <w:color w:val="auto"/>
                <w:sz w:val="21"/>
                <w:szCs w:val="21"/>
                <w:highlight w:val="none"/>
              </w:rPr>
            </w:pPr>
            <w:r>
              <w:rPr>
                <w:rFonts w:hint="eastAsia" w:ascii="宋体" w:hAnsi="宋体" w:eastAsia="宋体" w:cs="宋体"/>
                <w:color w:val="auto"/>
                <w:spacing w:val="-6"/>
                <w:sz w:val="21"/>
                <w:szCs w:val="21"/>
                <w:highlight w:val="none"/>
              </w:rPr>
              <w:t>鸟类</w:t>
            </w:r>
          </w:p>
        </w:tc>
        <w:tc>
          <w:tcPr>
            <w:tcW w:w="6420" w:type="dxa"/>
            <w:vAlign w:val="top"/>
          </w:tcPr>
          <w:p w14:paraId="31D3E425">
            <w:pPr>
              <w:spacing w:before="38" w:line="197" w:lineRule="auto"/>
              <w:ind w:left="121"/>
              <w:rPr>
                <w:rFonts w:hint="eastAsia" w:ascii="宋体" w:hAnsi="宋体" w:eastAsia="宋体" w:cs="宋体"/>
                <w:color w:val="auto"/>
                <w:sz w:val="21"/>
                <w:szCs w:val="21"/>
                <w:highlight w:val="none"/>
              </w:rPr>
            </w:pPr>
            <w:r>
              <w:rPr>
                <w:rFonts w:hint="eastAsia" w:ascii="宋体" w:hAnsi="宋体" w:eastAsia="宋体" w:cs="宋体"/>
                <w:color w:val="auto"/>
                <w:spacing w:val="3"/>
                <w:sz w:val="21"/>
                <w:szCs w:val="21"/>
                <w:highlight w:val="none"/>
              </w:rPr>
              <w:t>种类</w:t>
            </w:r>
            <w:r>
              <w:rPr>
                <w:rFonts w:hint="eastAsia" w:ascii="宋体" w:hAnsi="宋体" w:eastAsia="宋体" w:cs="宋体"/>
                <w:color w:val="auto"/>
                <w:spacing w:val="-72"/>
                <w:sz w:val="21"/>
                <w:szCs w:val="21"/>
                <w:highlight w:val="none"/>
              </w:rPr>
              <w:t xml:space="preserve"> </w:t>
            </w:r>
            <w:r>
              <w:rPr>
                <w:rFonts w:hint="eastAsia" w:ascii="宋体" w:hAnsi="宋体" w:eastAsia="宋体" w:cs="宋体"/>
                <w:color w:val="auto"/>
                <w:spacing w:val="3"/>
                <w:sz w:val="21"/>
                <w:szCs w:val="21"/>
                <w:highlight w:val="none"/>
              </w:rPr>
              <w:t>、数量</w:t>
            </w:r>
            <w:r>
              <w:rPr>
                <w:rFonts w:hint="eastAsia" w:ascii="宋体" w:hAnsi="宋体" w:eastAsia="宋体" w:cs="宋体"/>
                <w:color w:val="auto"/>
                <w:spacing w:val="-72"/>
                <w:sz w:val="21"/>
                <w:szCs w:val="21"/>
                <w:highlight w:val="none"/>
              </w:rPr>
              <w:t xml:space="preserve"> </w:t>
            </w:r>
            <w:r>
              <w:rPr>
                <w:rFonts w:hint="eastAsia" w:ascii="宋体" w:hAnsi="宋体" w:eastAsia="宋体" w:cs="宋体"/>
                <w:color w:val="auto"/>
                <w:spacing w:val="3"/>
                <w:sz w:val="21"/>
                <w:szCs w:val="21"/>
                <w:highlight w:val="none"/>
              </w:rPr>
              <w:t>、居留型、分布；</w:t>
            </w:r>
          </w:p>
        </w:tc>
        <w:tc>
          <w:tcPr>
            <w:tcW w:w="1245" w:type="dxa"/>
            <w:vAlign w:val="center"/>
          </w:tcPr>
          <w:p w14:paraId="3D3FEA69">
            <w:pPr>
              <w:pStyle w:val="120"/>
              <w:spacing w:before="3" w:line="224" w:lineRule="auto"/>
              <w:ind w:left="141"/>
              <w:jc w:val="center"/>
              <w:rPr>
                <w:rFonts w:hint="eastAsia" w:ascii="宋体" w:hAnsi="宋体" w:eastAsia="宋体" w:cs="宋体"/>
                <w:color w:val="auto"/>
                <w:sz w:val="21"/>
                <w:szCs w:val="21"/>
                <w:highlight w:val="none"/>
              </w:rPr>
            </w:pPr>
            <w:r>
              <w:rPr>
                <w:rFonts w:hint="eastAsia" w:ascii="宋体" w:hAnsi="宋体" w:eastAsia="宋体" w:cs="宋体"/>
                <w:color w:val="auto"/>
                <w:spacing w:val="-4"/>
                <w:sz w:val="21"/>
                <w:szCs w:val="21"/>
                <w:highlight w:val="none"/>
              </w:rPr>
              <w:t>≥2次/年</w:t>
            </w:r>
          </w:p>
        </w:tc>
      </w:tr>
      <w:tr w14:paraId="2B435BD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5" w:hRule="atLeast"/>
          <w:jc w:val="center"/>
        </w:trPr>
        <w:tc>
          <w:tcPr>
            <w:tcW w:w="1400" w:type="dxa"/>
            <w:vAlign w:val="top"/>
          </w:tcPr>
          <w:p w14:paraId="433E2B3D">
            <w:pPr>
              <w:spacing w:before="38" w:line="197" w:lineRule="auto"/>
              <w:ind w:left="130"/>
              <w:rPr>
                <w:rFonts w:hint="eastAsia" w:ascii="宋体" w:hAnsi="宋体" w:eastAsia="宋体" w:cs="宋体"/>
                <w:color w:val="auto"/>
                <w:sz w:val="21"/>
                <w:szCs w:val="21"/>
                <w:highlight w:val="none"/>
              </w:rPr>
            </w:pPr>
            <w:r>
              <w:rPr>
                <w:rFonts w:hint="eastAsia" w:ascii="宋体" w:hAnsi="宋体" w:eastAsia="宋体" w:cs="宋体"/>
                <w:color w:val="auto"/>
                <w:spacing w:val="1"/>
                <w:sz w:val="21"/>
                <w:szCs w:val="21"/>
                <w:highlight w:val="none"/>
              </w:rPr>
              <w:t>哺乳类</w:t>
            </w:r>
          </w:p>
        </w:tc>
        <w:tc>
          <w:tcPr>
            <w:tcW w:w="6420" w:type="dxa"/>
            <w:vAlign w:val="top"/>
          </w:tcPr>
          <w:p w14:paraId="265A4AE6">
            <w:pPr>
              <w:spacing w:before="38" w:line="197" w:lineRule="auto"/>
              <w:ind w:left="121"/>
              <w:rPr>
                <w:rFonts w:hint="eastAsia" w:ascii="宋体" w:hAnsi="宋体" w:eastAsia="宋体" w:cs="宋体"/>
                <w:color w:val="auto"/>
                <w:sz w:val="21"/>
                <w:szCs w:val="21"/>
                <w:highlight w:val="none"/>
              </w:rPr>
            </w:pPr>
            <w:r>
              <w:rPr>
                <w:rFonts w:hint="eastAsia" w:ascii="宋体" w:hAnsi="宋体" w:eastAsia="宋体" w:cs="宋体"/>
                <w:color w:val="auto"/>
                <w:spacing w:val="-2"/>
                <w:sz w:val="21"/>
                <w:szCs w:val="21"/>
                <w:highlight w:val="none"/>
              </w:rPr>
              <w:t>种类</w:t>
            </w:r>
            <w:r>
              <w:rPr>
                <w:rFonts w:hint="eastAsia" w:ascii="宋体" w:hAnsi="宋体" w:eastAsia="宋体" w:cs="宋体"/>
                <w:color w:val="auto"/>
                <w:spacing w:val="-72"/>
                <w:sz w:val="21"/>
                <w:szCs w:val="21"/>
                <w:highlight w:val="none"/>
              </w:rPr>
              <w:t xml:space="preserve"> </w:t>
            </w:r>
            <w:r>
              <w:rPr>
                <w:rFonts w:hint="eastAsia" w:ascii="宋体" w:hAnsi="宋体" w:eastAsia="宋体" w:cs="宋体"/>
                <w:color w:val="auto"/>
                <w:spacing w:val="-2"/>
                <w:sz w:val="21"/>
                <w:szCs w:val="21"/>
                <w:highlight w:val="none"/>
              </w:rPr>
              <w:t>、分布；</w:t>
            </w:r>
          </w:p>
        </w:tc>
        <w:tc>
          <w:tcPr>
            <w:tcW w:w="1245" w:type="dxa"/>
            <w:vAlign w:val="center"/>
          </w:tcPr>
          <w:p w14:paraId="5598504E">
            <w:pPr>
              <w:pStyle w:val="120"/>
              <w:spacing w:before="3" w:line="224" w:lineRule="auto"/>
              <w:ind w:left="136"/>
              <w:jc w:val="center"/>
              <w:rPr>
                <w:rFonts w:hint="eastAsia" w:ascii="宋体" w:hAnsi="宋体" w:eastAsia="宋体" w:cs="宋体"/>
                <w:color w:val="auto"/>
                <w:sz w:val="21"/>
                <w:szCs w:val="21"/>
                <w:highlight w:val="none"/>
              </w:rPr>
            </w:pPr>
            <w:r>
              <w:rPr>
                <w:rFonts w:hint="eastAsia" w:ascii="宋体" w:hAnsi="宋体" w:eastAsia="宋体" w:cs="宋体"/>
                <w:color w:val="auto"/>
                <w:spacing w:val="-6"/>
                <w:sz w:val="21"/>
                <w:szCs w:val="21"/>
                <w:highlight w:val="none"/>
              </w:rPr>
              <w:t>1次/年</w:t>
            </w:r>
          </w:p>
        </w:tc>
      </w:tr>
      <w:tr w14:paraId="70043C3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5" w:hRule="atLeast"/>
          <w:jc w:val="center"/>
        </w:trPr>
        <w:tc>
          <w:tcPr>
            <w:tcW w:w="1400" w:type="dxa"/>
            <w:vAlign w:val="top"/>
          </w:tcPr>
          <w:p w14:paraId="364B63B1">
            <w:pPr>
              <w:spacing w:before="41" w:line="213" w:lineRule="auto"/>
              <w:ind w:left="123" w:right="287" w:firstLine="1"/>
              <w:rPr>
                <w:rFonts w:hint="eastAsia" w:ascii="宋体" w:hAnsi="宋体" w:eastAsia="宋体" w:cs="宋体"/>
                <w:color w:val="auto"/>
                <w:sz w:val="21"/>
                <w:szCs w:val="21"/>
                <w:highlight w:val="none"/>
              </w:rPr>
            </w:pPr>
            <w:r>
              <w:rPr>
                <w:rFonts w:hint="eastAsia" w:ascii="宋体" w:hAnsi="宋体" w:eastAsia="宋体" w:cs="宋体"/>
                <w:color w:val="auto"/>
                <w:spacing w:val="5"/>
                <w:sz w:val="21"/>
                <w:szCs w:val="21"/>
                <w:highlight w:val="none"/>
              </w:rPr>
              <w:t>外来入侵</w:t>
            </w:r>
            <w:r>
              <w:rPr>
                <w:rFonts w:hint="eastAsia" w:ascii="宋体" w:hAnsi="宋体" w:eastAsia="宋体" w:cs="宋体"/>
                <w:color w:val="auto"/>
                <w:spacing w:val="-2"/>
                <w:sz w:val="21"/>
                <w:szCs w:val="21"/>
                <w:highlight w:val="none"/>
              </w:rPr>
              <w:t>物种</w:t>
            </w:r>
          </w:p>
        </w:tc>
        <w:tc>
          <w:tcPr>
            <w:tcW w:w="6420" w:type="dxa"/>
            <w:vAlign w:val="top"/>
          </w:tcPr>
          <w:p w14:paraId="614739DA">
            <w:pPr>
              <w:spacing w:before="189" w:line="220" w:lineRule="auto"/>
              <w:ind w:left="121"/>
              <w:rPr>
                <w:rFonts w:hint="eastAsia" w:ascii="宋体" w:hAnsi="宋体" w:eastAsia="宋体" w:cs="宋体"/>
                <w:color w:val="auto"/>
                <w:sz w:val="21"/>
                <w:szCs w:val="21"/>
                <w:highlight w:val="none"/>
              </w:rPr>
            </w:pPr>
            <w:r>
              <w:rPr>
                <w:rFonts w:hint="eastAsia" w:ascii="宋体" w:hAnsi="宋体" w:eastAsia="宋体" w:cs="宋体"/>
                <w:color w:val="auto"/>
                <w:spacing w:val="-2"/>
                <w:sz w:val="21"/>
                <w:szCs w:val="21"/>
                <w:highlight w:val="none"/>
              </w:rPr>
              <w:t>种类</w:t>
            </w:r>
            <w:r>
              <w:rPr>
                <w:rFonts w:hint="eastAsia" w:ascii="宋体" w:hAnsi="宋体" w:eastAsia="宋体" w:cs="宋体"/>
                <w:color w:val="auto"/>
                <w:spacing w:val="-72"/>
                <w:sz w:val="21"/>
                <w:szCs w:val="21"/>
                <w:highlight w:val="none"/>
              </w:rPr>
              <w:t xml:space="preserve"> </w:t>
            </w:r>
            <w:r>
              <w:rPr>
                <w:rFonts w:hint="eastAsia" w:ascii="宋体" w:hAnsi="宋体" w:eastAsia="宋体" w:cs="宋体"/>
                <w:color w:val="auto"/>
                <w:spacing w:val="-2"/>
                <w:sz w:val="21"/>
                <w:szCs w:val="21"/>
                <w:highlight w:val="none"/>
              </w:rPr>
              <w:t>、分布；</w:t>
            </w:r>
          </w:p>
        </w:tc>
        <w:tc>
          <w:tcPr>
            <w:tcW w:w="1245" w:type="dxa"/>
            <w:vAlign w:val="center"/>
          </w:tcPr>
          <w:p w14:paraId="25AECEBA">
            <w:pPr>
              <w:pStyle w:val="120"/>
              <w:spacing w:before="154" w:line="358" w:lineRule="exact"/>
              <w:ind w:left="136"/>
              <w:jc w:val="center"/>
              <w:rPr>
                <w:rFonts w:hint="eastAsia" w:ascii="宋体" w:hAnsi="宋体" w:eastAsia="宋体" w:cs="宋体"/>
                <w:color w:val="auto"/>
                <w:sz w:val="21"/>
                <w:szCs w:val="21"/>
                <w:highlight w:val="none"/>
              </w:rPr>
            </w:pPr>
            <w:r>
              <w:rPr>
                <w:rFonts w:hint="eastAsia" w:ascii="宋体" w:hAnsi="宋体" w:eastAsia="宋体" w:cs="宋体"/>
                <w:color w:val="auto"/>
                <w:spacing w:val="-6"/>
                <w:position w:val="2"/>
                <w:sz w:val="21"/>
                <w:szCs w:val="21"/>
                <w:highlight w:val="none"/>
              </w:rPr>
              <w:t>1次/年</w:t>
            </w:r>
          </w:p>
        </w:tc>
      </w:tr>
      <w:tr w14:paraId="2D85489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9" w:hRule="atLeast"/>
          <w:jc w:val="center"/>
        </w:trPr>
        <w:tc>
          <w:tcPr>
            <w:tcW w:w="1400" w:type="dxa"/>
            <w:vAlign w:val="top"/>
          </w:tcPr>
          <w:p w14:paraId="195708AA">
            <w:pPr>
              <w:spacing w:before="40" w:line="215" w:lineRule="auto"/>
              <w:ind w:left="123" w:right="287" w:firstLine="10"/>
              <w:rPr>
                <w:rFonts w:hint="eastAsia" w:ascii="宋体" w:hAnsi="宋体" w:eastAsia="宋体" w:cs="宋体"/>
                <w:color w:val="auto"/>
                <w:sz w:val="21"/>
                <w:szCs w:val="21"/>
                <w:highlight w:val="none"/>
              </w:rPr>
            </w:pPr>
            <w:r>
              <w:rPr>
                <w:rFonts w:hint="eastAsia" w:ascii="宋体" w:hAnsi="宋体" w:eastAsia="宋体" w:cs="宋体"/>
                <w:color w:val="auto"/>
                <w:spacing w:val="3"/>
                <w:sz w:val="21"/>
                <w:szCs w:val="21"/>
                <w:highlight w:val="none"/>
              </w:rPr>
              <w:t>受威胁状</w:t>
            </w:r>
            <w:r>
              <w:rPr>
                <w:rFonts w:hint="eastAsia" w:ascii="宋体" w:hAnsi="宋体" w:eastAsia="宋体" w:cs="宋体"/>
                <w:color w:val="auto"/>
                <w:sz w:val="21"/>
                <w:szCs w:val="21"/>
                <w:highlight w:val="none"/>
              </w:rPr>
              <w:t>况</w:t>
            </w:r>
          </w:p>
        </w:tc>
        <w:tc>
          <w:tcPr>
            <w:tcW w:w="6420" w:type="dxa"/>
            <w:vAlign w:val="top"/>
          </w:tcPr>
          <w:p w14:paraId="76070869">
            <w:pPr>
              <w:spacing w:before="188" w:line="221" w:lineRule="auto"/>
              <w:ind w:left="119"/>
              <w:rPr>
                <w:rFonts w:hint="eastAsia" w:ascii="宋体" w:hAnsi="宋体" w:eastAsia="宋体" w:cs="宋体"/>
                <w:color w:val="auto"/>
                <w:sz w:val="21"/>
                <w:szCs w:val="21"/>
                <w:highlight w:val="none"/>
              </w:rPr>
            </w:pPr>
            <w:r>
              <w:rPr>
                <w:rFonts w:hint="eastAsia" w:ascii="宋体" w:hAnsi="宋体" w:eastAsia="宋体" w:cs="宋体"/>
                <w:color w:val="auto"/>
                <w:spacing w:val="6"/>
                <w:sz w:val="21"/>
                <w:szCs w:val="21"/>
                <w:highlight w:val="none"/>
              </w:rPr>
              <w:t>基础设施建设</w:t>
            </w:r>
            <w:r>
              <w:rPr>
                <w:rFonts w:hint="eastAsia" w:ascii="宋体" w:hAnsi="宋体" w:eastAsia="宋体" w:cs="宋体"/>
                <w:color w:val="auto"/>
                <w:spacing w:val="-70"/>
                <w:sz w:val="21"/>
                <w:szCs w:val="21"/>
                <w:highlight w:val="none"/>
              </w:rPr>
              <w:t xml:space="preserve"> </w:t>
            </w:r>
            <w:r>
              <w:rPr>
                <w:rFonts w:hint="eastAsia" w:ascii="宋体" w:hAnsi="宋体" w:eastAsia="宋体" w:cs="宋体"/>
                <w:color w:val="auto"/>
                <w:spacing w:val="6"/>
                <w:sz w:val="21"/>
                <w:szCs w:val="21"/>
                <w:highlight w:val="none"/>
              </w:rPr>
              <w:t>、禁止行为</w:t>
            </w:r>
            <w:r>
              <w:rPr>
                <w:rFonts w:hint="eastAsia" w:ascii="宋体" w:hAnsi="宋体" w:eastAsia="宋体" w:cs="宋体"/>
                <w:color w:val="auto"/>
                <w:spacing w:val="-72"/>
                <w:sz w:val="21"/>
                <w:szCs w:val="21"/>
                <w:highlight w:val="none"/>
              </w:rPr>
              <w:t xml:space="preserve"> </w:t>
            </w:r>
            <w:r>
              <w:rPr>
                <w:rFonts w:hint="eastAsia" w:ascii="宋体" w:hAnsi="宋体" w:eastAsia="宋体" w:cs="宋体"/>
                <w:color w:val="auto"/>
                <w:spacing w:val="6"/>
                <w:sz w:val="21"/>
                <w:szCs w:val="21"/>
                <w:highlight w:val="none"/>
              </w:rPr>
              <w:t>、受威胁状</w:t>
            </w:r>
            <w:r>
              <w:rPr>
                <w:rFonts w:hint="eastAsia" w:ascii="宋体" w:hAnsi="宋体" w:cs="宋体"/>
                <w:color w:val="auto"/>
                <w:spacing w:val="6"/>
                <w:sz w:val="21"/>
                <w:szCs w:val="21"/>
                <w:highlight w:val="none"/>
                <w:lang w:val="en-US" w:eastAsia="zh-CN"/>
              </w:rPr>
              <w:t>况</w:t>
            </w:r>
            <w:r>
              <w:rPr>
                <w:rFonts w:hint="eastAsia" w:ascii="宋体" w:hAnsi="宋体" w:eastAsia="宋体" w:cs="宋体"/>
                <w:color w:val="auto"/>
                <w:spacing w:val="6"/>
                <w:sz w:val="21"/>
                <w:szCs w:val="21"/>
                <w:highlight w:val="none"/>
              </w:rPr>
              <w:t>等；</w:t>
            </w:r>
          </w:p>
        </w:tc>
        <w:tc>
          <w:tcPr>
            <w:tcW w:w="1245" w:type="dxa"/>
            <w:vAlign w:val="center"/>
          </w:tcPr>
          <w:p w14:paraId="692298FE">
            <w:pPr>
              <w:pStyle w:val="120"/>
              <w:spacing w:before="153" w:line="359" w:lineRule="exact"/>
              <w:ind w:left="136"/>
              <w:jc w:val="center"/>
              <w:rPr>
                <w:rFonts w:hint="eastAsia" w:ascii="宋体" w:hAnsi="宋体" w:eastAsia="宋体" w:cs="宋体"/>
                <w:color w:val="auto"/>
                <w:sz w:val="21"/>
                <w:szCs w:val="21"/>
                <w:highlight w:val="none"/>
              </w:rPr>
            </w:pPr>
            <w:r>
              <w:rPr>
                <w:rFonts w:hint="eastAsia" w:ascii="宋体" w:hAnsi="宋体" w:eastAsia="宋体" w:cs="宋体"/>
                <w:color w:val="auto"/>
                <w:spacing w:val="-6"/>
                <w:position w:val="2"/>
                <w:sz w:val="21"/>
                <w:szCs w:val="21"/>
                <w:highlight w:val="none"/>
              </w:rPr>
              <w:t>1次/年</w:t>
            </w:r>
          </w:p>
        </w:tc>
      </w:tr>
    </w:tbl>
    <w:p w14:paraId="7FC731A6">
      <w:pPr>
        <w:spacing w:line="428" w:lineRule="exact"/>
        <w:ind w:left="119"/>
        <w:rPr>
          <w:rFonts w:hint="eastAsia" w:ascii="宋体" w:hAnsi="宋体" w:eastAsia="宋体" w:cs="宋体"/>
          <w:color w:val="auto"/>
          <w:highlight w:val="none"/>
        </w:rPr>
        <w:sectPr>
          <w:pgSz w:w="11906" w:h="16838"/>
          <w:pgMar w:top="1134" w:right="1134" w:bottom="1134" w:left="1134" w:header="720" w:footer="720" w:gutter="0"/>
          <w:cols w:space="720" w:num="1"/>
          <w:docGrid w:type="lines" w:linePitch="331" w:charSpace="0"/>
        </w:sectPr>
      </w:pPr>
    </w:p>
    <w:tbl>
      <w:tblPr>
        <w:tblStyle w:val="35"/>
        <w:tblW w:w="10121"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545"/>
        <w:gridCol w:w="545"/>
        <w:gridCol w:w="1240"/>
        <w:gridCol w:w="640"/>
        <w:gridCol w:w="583"/>
        <w:gridCol w:w="5395"/>
        <w:gridCol w:w="1173"/>
      </w:tblGrid>
      <w:tr w14:paraId="1653354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16" w:hRule="atLeast"/>
          <w:jc w:val="center"/>
        </w:trPr>
        <w:tc>
          <w:tcPr>
            <w:tcW w:w="10121" w:type="dxa"/>
            <w:gridSpan w:val="7"/>
            <w:tcBorders>
              <w:top w:val="single" w:color="auto" w:sz="4" w:space="0"/>
              <w:left w:val="single" w:color="auto" w:sz="4" w:space="0"/>
              <w:bottom w:val="nil"/>
              <w:right w:val="single" w:color="auto" w:sz="4" w:space="0"/>
            </w:tcBorders>
            <w:noWrap w:val="0"/>
            <w:vAlign w:val="center"/>
          </w:tcPr>
          <w:p w14:paraId="207FA92B">
            <w:pPr>
              <w:keepNext w:val="0"/>
              <w:keepLines w:val="0"/>
              <w:pageBreakBefore w:val="0"/>
              <w:kinsoku/>
              <w:wordWrap/>
              <w:overflowPunct/>
              <w:topLinePunct w:val="0"/>
              <w:autoSpaceDE/>
              <w:autoSpaceDN/>
              <w:bidi w:val="0"/>
              <w:adjustRightInd/>
              <w:snapToGrid/>
              <w:spacing w:line="360" w:lineRule="exact"/>
              <w:jc w:val="center"/>
              <w:textAlignment w:val="auto"/>
              <w:rPr>
                <w:rFonts w:hint="eastAsia" w:ascii="宋体" w:hAnsi="宋体" w:eastAsia="宋体" w:cs="宋体"/>
                <w:b/>
                <w:bCs w:val="0"/>
                <w:color w:val="auto"/>
                <w:sz w:val="30"/>
                <w:szCs w:val="30"/>
                <w:highlight w:val="none"/>
              </w:rPr>
            </w:pPr>
            <w:r>
              <w:rPr>
                <w:rFonts w:hint="eastAsia" w:ascii="宋体" w:hAnsi="宋体" w:eastAsia="宋体" w:cs="宋体"/>
                <w:b/>
                <w:bCs w:val="0"/>
                <w:color w:val="auto"/>
                <w:sz w:val="30"/>
                <w:szCs w:val="30"/>
                <w:highlight w:val="none"/>
              </w:rPr>
              <w:t>服务需求一览表</w:t>
            </w:r>
          </w:p>
        </w:tc>
      </w:tr>
      <w:tr w14:paraId="27F2E57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16" w:hRule="atLeast"/>
          <w:jc w:val="center"/>
        </w:trPr>
        <w:tc>
          <w:tcPr>
            <w:tcW w:w="1090" w:type="dxa"/>
            <w:gridSpan w:val="2"/>
            <w:tcBorders>
              <w:top w:val="single" w:color="auto" w:sz="4" w:space="0"/>
              <w:left w:val="single" w:color="auto" w:sz="4" w:space="0"/>
              <w:bottom w:val="nil"/>
              <w:right w:val="single" w:color="auto" w:sz="4" w:space="0"/>
            </w:tcBorders>
            <w:noWrap w:val="0"/>
            <w:vAlign w:val="center"/>
          </w:tcPr>
          <w:p w14:paraId="47D207AF">
            <w:pPr>
              <w:keepNext w:val="0"/>
              <w:keepLines w:val="0"/>
              <w:pageBreakBefore w:val="0"/>
              <w:kinsoku/>
              <w:wordWrap/>
              <w:overflowPunct/>
              <w:topLinePunct w:val="0"/>
              <w:autoSpaceDE/>
              <w:autoSpaceDN/>
              <w:bidi w:val="0"/>
              <w:adjustRightInd/>
              <w:snapToGrid/>
              <w:spacing w:line="360" w:lineRule="exact"/>
              <w:jc w:val="center"/>
              <w:textAlignment w:val="auto"/>
              <w:rPr>
                <w:rFonts w:hint="eastAsia" w:ascii="宋体" w:hAnsi="宋体" w:eastAsia="宋体" w:cs="宋体"/>
                <w:b/>
                <w:bCs w:val="0"/>
                <w:color w:val="auto"/>
                <w:sz w:val="30"/>
                <w:szCs w:val="30"/>
                <w:highlight w:val="none"/>
              </w:rPr>
            </w:pPr>
            <w:r>
              <w:rPr>
                <w:rFonts w:hint="eastAsia" w:ascii="宋体" w:hAnsi="宋体" w:eastAsia="宋体" w:cs="宋体"/>
                <w:b/>
                <w:bCs w:val="0"/>
                <w:color w:val="auto"/>
                <w:sz w:val="30"/>
                <w:szCs w:val="30"/>
                <w:highlight w:val="none"/>
              </w:rPr>
              <w:t>标段</w:t>
            </w:r>
          </w:p>
        </w:tc>
        <w:tc>
          <w:tcPr>
            <w:tcW w:w="9031" w:type="dxa"/>
            <w:gridSpan w:val="5"/>
            <w:tcBorders>
              <w:top w:val="single" w:color="auto" w:sz="4" w:space="0"/>
              <w:left w:val="single" w:color="auto" w:sz="4" w:space="0"/>
              <w:bottom w:val="nil"/>
              <w:right w:val="single" w:color="auto" w:sz="4" w:space="0"/>
            </w:tcBorders>
            <w:noWrap w:val="0"/>
            <w:vAlign w:val="center"/>
          </w:tcPr>
          <w:p w14:paraId="0C06939F">
            <w:pPr>
              <w:keepNext w:val="0"/>
              <w:keepLines w:val="0"/>
              <w:pageBreakBefore w:val="0"/>
              <w:kinsoku/>
              <w:wordWrap/>
              <w:overflowPunct/>
              <w:topLinePunct w:val="0"/>
              <w:autoSpaceDE/>
              <w:autoSpaceDN/>
              <w:bidi w:val="0"/>
              <w:adjustRightInd/>
              <w:snapToGrid/>
              <w:spacing w:line="360" w:lineRule="exact"/>
              <w:jc w:val="left"/>
              <w:textAlignment w:val="auto"/>
              <w:rPr>
                <w:rFonts w:hint="default" w:ascii="宋体" w:hAnsi="宋体" w:eastAsia="宋体" w:cs="宋体"/>
                <w:b/>
                <w:bCs w:val="0"/>
                <w:color w:val="auto"/>
                <w:sz w:val="30"/>
                <w:szCs w:val="30"/>
                <w:highlight w:val="none"/>
                <w:lang w:val="en-US"/>
              </w:rPr>
            </w:pPr>
            <w:r>
              <w:rPr>
                <w:rFonts w:hint="eastAsia" w:ascii="宋体" w:hAnsi="宋体" w:eastAsia="宋体" w:cs="宋体"/>
                <w:b/>
                <w:bCs w:val="0"/>
                <w:color w:val="auto"/>
                <w:sz w:val="30"/>
                <w:szCs w:val="30"/>
                <w:highlight w:val="none"/>
                <w:lang w:val="en-US" w:eastAsia="zh-CN"/>
              </w:rPr>
              <w:t>分标2</w:t>
            </w:r>
          </w:p>
        </w:tc>
      </w:tr>
      <w:tr w14:paraId="533959C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16" w:hRule="atLeast"/>
          <w:jc w:val="center"/>
        </w:trPr>
        <w:tc>
          <w:tcPr>
            <w:tcW w:w="545" w:type="dxa"/>
            <w:vMerge w:val="restart"/>
            <w:tcBorders>
              <w:top w:val="single" w:color="auto" w:sz="4" w:space="0"/>
              <w:left w:val="single" w:color="auto" w:sz="4" w:space="0"/>
              <w:right w:val="single" w:color="auto" w:sz="4" w:space="0"/>
            </w:tcBorders>
            <w:noWrap w:val="0"/>
            <w:vAlign w:val="center"/>
          </w:tcPr>
          <w:p w14:paraId="709694A6">
            <w:pPr>
              <w:keepNext w:val="0"/>
              <w:keepLines w:val="0"/>
              <w:pageBreakBefore w:val="0"/>
              <w:kinsoku/>
              <w:wordWrap/>
              <w:overflowPunct/>
              <w:topLinePunct w:val="0"/>
              <w:autoSpaceDE/>
              <w:autoSpaceDN/>
              <w:bidi w:val="0"/>
              <w:adjustRightInd/>
              <w:snapToGrid/>
              <w:spacing w:line="360" w:lineRule="exact"/>
              <w:jc w:val="center"/>
              <w:textAlignment w:val="auto"/>
              <w:rPr>
                <w:rFonts w:hint="eastAsia" w:ascii="宋体" w:hAnsi="宋体" w:eastAsia="宋体" w:cs="宋体"/>
                <w:color w:val="auto"/>
                <w:sz w:val="24"/>
                <w:highlight w:val="none"/>
              </w:rPr>
            </w:pPr>
            <w:r>
              <w:rPr>
                <w:rFonts w:hint="eastAsia" w:ascii="宋体" w:hAnsi="宋体" w:eastAsia="宋体" w:cs="宋体"/>
                <w:color w:val="auto"/>
                <w:highlight w:val="none"/>
              </w:rPr>
              <w:t>采购清单及服务数</w:t>
            </w:r>
          </w:p>
        </w:tc>
        <w:tc>
          <w:tcPr>
            <w:tcW w:w="545" w:type="dxa"/>
            <w:tcBorders>
              <w:top w:val="single" w:color="auto" w:sz="4" w:space="0"/>
              <w:left w:val="single" w:color="auto" w:sz="4" w:space="0"/>
              <w:bottom w:val="single" w:color="auto" w:sz="4" w:space="0"/>
              <w:right w:val="single" w:color="auto" w:sz="4" w:space="0"/>
            </w:tcBorders>
            <w:noWrap w:val="0"/>
            <w:tcMar>
              <w:top w:w="0" w:type="dxa"/>
              <w:left w:w="0" w:type="dxa"/>
              <w:bottom w:w="0" w:type="dxa"/>
              <w:right w:w="0" w:type="dxa"/>
            </w:tcMar>
            <w:vAlign w:val="center"/>
          </w:tcPr>
          <w:p w14:paraId="4B62C612">
            <w:pPr>
              <w:keepNext w:val="0"/>
              <w:keepLines w:val="0"/>
              <w:pageBreakBefore w:val="0"/>
              <w:kinsoku/>
              <w:wordWrap/>
              <w:overflowPunct/>
              <w:topLinePunct w:val="0"/>
              <w:autoSpaceDE/>
              <w:autoSpaceDN/>
              <w:bidi w:val="0"/>
              <w:adjustRightInd/>
              <w:snapToGrid/>
              <w:spacing w:line="36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序号</w:t>
            </w:r>
          </w:p>
        </w:tc>
        <w:tc>
          <w:tcPr>
            <w:tcW w:w="1240" w:type="dxa"/>
            <w:tcBorders>
              <w:top w:val="single" w:color="auto" w:sz="4" w:space="0"/>
              <w:left w:val="single" w:color="auto" w:sz="4" w:space="0"/>
              <w:bottom w:val="single" w:color="auto" w:sz="4" w:space="0"/>
              <w:right w:val="single" w:color="auto" w:sz="4" w:space="0"/>
            </w:tcBorders>
            <w:noWrap w:val="0"/>
            <w:vAlign w:val="center"/>
          </w:tcPr>
          <w:p w14:paraId="68557817">
            <w:pPr>
              <w:keepNext w:val="0"/>
              <w:keepLines w:val="0"/>
              <w:pageBreakBefore w:val="0"/>
              <w:kinsoku/>
              <w:wordWrap/>
              <w:overflowPunct/>
              <w:topLinePunct w:val="0"/>
              <w:autoSpaceDE/>
              <w:autoSpaceDN/>
              <w:bidi w:val="0"/>
              <w:adjustRightInd/>
              <w:snapToGrid/>
              <w:spacing w:line="36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标的</w:t>
            </w:r>
            <w:r>
              <w:rPr>
                <w:rFonts w:hint="eastAsia" w:ascii="宋体" w:hAnsi="宋体" w:eastAsia="宋体" w:cs="宋体"/>
                <w:color w:val="auto"/>
                <w:sz w:val="21"/>
                <w:szCs w:val="21"/>
                <w:highlight w:val="none"/>
              </w:rPr>
              <w:t>名称</w:t>
            </w:r>
          </w:p>
        </w:tc>
        <w:tc>
          <w:tcPr>
            <w:tcW w:w="640" w:type="dxa"/>
            <w:tcBorders>
              <w:top w:val="single" w:color="auto" w:sz="4" w:space="0"/>
              <w:left w:val="single" w:color="auto" w:sz="4" w:space="0"/>
              <w:bottom w:val="single" w:color="auto" w:sz="4" w:space="0"/>
              <w:right w:val="single" w:color="auto" w:sz="4" w:space="0"/>
            </w:tcBorders>
            <w:noWrap w:val="0"/>
            <w:vAlign w:val="center"/>
          </w:tcPr>
          <w:p w14:paraId="0D171339">
            <w:pPr>
              <w:keepNext w:val="0"/>
              <w:keepLines w:val="0"/>
              <w:pageBreakBefore w:val="0"/>
              <w:kinsoku/>
              <w:wordWrap/>
              <w:overflowPunct/>
              <w:topLinePunct w:val="0"/>
              <w:autoSpaceDE/>
              <w:autoSpaceDN/>
              <w:bidi w:val="0"/>
              <w:adjustRightInd/>
              <w:snapToGrid/>
              <w:spacing w:line="36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单位</w:t>
            </w:r>
          </w:p>
        </w:tc>
        <w:tc>
          <w:tcPr>
            <w:tcW w:w="583" w:type="dxa"/>
            <w:tcBorders>
              <w:top w:val="single" w:color="auto" w:sz="4" w:space="0"/>
              <w:left w:val="single" w:color="auto" w:sz="4" w:space="0"/>
              <w:bottom w:val="single" w:color="auto" w:sz="4" w:space="0"/>
              <w:right w:val="single" w:color="auto" w:sz="4" w:space="0"/>
            </w:tcBorders>
            <w:noWrap w:val="0"/>
            <w:vAlign w:val="center"/>
          </w:tcPr>
          <w:p w14:paraId="78317DB8">
            <w:pPr>
              <w:keepNext w:val="0"/>
              <w:keepLines w:val="0"/>
              <w:pageBreakBefore w:val="0"/>
              <w:kinsoku/>
              <w:wordWrap/>
              <w:overflowPunct/>
              <w:topLinePunct w:val="0"/>
              <w:autoSpaceDE/>
              <w:autoSpaceDN/>
              <w:bidi w:val="0"/>
              <w:adjustRightInd/>
              <w:snapToGrid/>
              <w:spacing w:line="36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数量</w:t>
            </w:r>
          </w:p>
        </w:tc>
        <w:tc>
          <w:tcPr>
            <w:tcW w:w="5395" w:type="dxa"/>
            <w:tcBorders>
              <w:top w:val="single" w:color="auto" w:sz="4" w:space="0"/>
              <w:left w:val="single" w:color="auto" w:sz="4" w:space="0"/>
              <w:bottom w:val="single" w:color="auto" w:sz="4" w:space="0"/>
              <w:right w:val="single" w:color="auto" w:sz="4" w:space="0"/>
            </w:tcBorders>
            <w:noWrap w:val="0"/>
            <w:vAlign w:val="center"/>
          </w:tcPr>
          <w:p w14:paraId="4EF4EED6">
            <w:pPr>
              <w:keepNext w:val="0"/>
              <w:keepLines w:val="0"/>
              <w:pageBreakBefore w:val="0"/>
              <w:kinsoku/>
              <w:wordWrap/>
              <w:overflowPunct/>
              <w:topLinePunct w:val="0"/>
              <w:autoSpaceDE/>
              <w:autoSpaceDN/>
              <w:bidi w:val="0"/>
              <w:adjustRightInd/>
              <w:snapToGrid/>
              <w:spacing w:line="36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服务参数</w:t>
            </w:r>
          </w:p>
        </w:tc>
        <w:tc>
          <w:tcPr>
            <w:tcW w:w="1173" w:type="dxa"/>
            <w:tcBorders>
              <w:top w:val="single" w:color="auto" w:sz="4" w:space="0"/>
              <w:left w:val="single" w:color="auto" w:sz="4" w:space="0"/>
              <w:bottom w:val="single" w:color="auto" w:sz="4" w:space="0"/>
              <w:right w:val="single" w:color="auto" w:sz="4" w:space="0"/>
            </w:tcBorders>
            <w:noWrap w:val="0"/>
            <w:vAlign w:val="center"/>
          </w:tcPr>
          <w:p w14:paraId="5C6C2238">
            <w:pPr>
              <w:keepNext w:val="0"/>
              <w:keepLines w:val="0"/>
              <w:pageBreakBefore w:val="0"/>
              <w:kinsoku/>
              <w:wordWrap/>
              <w:overflowPunct/>
              <w:topLinePunct w:val="0"/>
              <w:autoSpaceDE/>
              <w:autoSpaceDN/>
              <w:bidi w:val="0"/>
              <w:adjustRightInd/>
              <w:snapToGrid/>
              <w:spacing w:line="36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中小企业划分标准所属行业名称（行业名称及划分见本章附件2）</w:t>
            </w:r>
          </w:p>
        </w:tc>
      </w:tr>
      <w:tr w14:paraId="6570363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431" w:hRule="atLeast"/>
          <w:jc w:val="center"/>
        </w:trPr>
        <w:tc>
          <w:tcPr>
            <w:tcW w:w="545" w:type="dxa"/>
            <w:vMerge w:val="continue"/>
            <w:tcBorders>
              <w:left w:val="single" w:color="auto" w:sz="4" w:space="0"/>
              <w:right w:val="single" w:color="auto" w:sz="4" w:space="0"/>
            </w:tcBorders>
            <w:noWrap w:val="0"/>
            <w:vAlign w:val="center"/>
          </w:tcPr>
          <w:p w14:paraId="0EC4256E">
            <w:pPr>
              <w:keepNext w:val="0"/>
              <w:keepLines w:val="0"/>
              <w:pageBreakBefore w:val="0"/>
              <w:widowControl/>
              <w:kinsoku/>
              <w:wordWrap/>
              <w:overflowPunct/>
              <w:topLinePunct w:val="0"/>
              <w:autoSpaceDE/>
              <w:autoSpaceDN/>
              <w:bidi w:val="0"/>
              <w:adjustRightInd/>
              <w:snapToGrid/>
              <w:spacing w:line="360" w:lineRule="exact"/>
              <w:jc w:val="left"/>
              <w:textAlignment w:val="auto"/>
              <w:rPr>
                <w:rFonts w:hint="eastAsia" w:ascii="宋体" w:hAnsi="宋体" w:eastAsia="宋体" w:cs="宋体"/>
                <w:color w:val="auto"/>
                <w:sz w:val="24"/>
                <w:highlight w:val="none"/>
              </w:rPr>
            </w:pPr>
          </w:p>
        </w:tc>
        <w:tc>
          <w:tcPr>
            <w:tcW w:w="545" w:type="dxa"/>
            <w:tcBorders>
              <w:top w:val="single" w:color="auto" w:sz="4" w:space="0"/>
              <w:left w:val="single" w:color="auto" w:sz="4" w:space="0"/>
              <w:bottom w:val="single" w:color="auto" w:sz="4" w:space="0"/>
              <w:right w:val="single" w:color="auto" w:sz="4" w:space="0"/>
            </w:tcBorders>
            <w:noWrap w:val="0"/>
            <w:vAlign w:val="center"/>
          </w:tcPr>
          <w:p w14:paraId="597DB892">
            <w:pPr>
              <w:keepNext w:val="0"/>
              <w:keepLines w:val="0"/>
              <w:pageBreakBefore w:val="0"/>
              <w:kinsoku/>
              <w:wordWrap/>
              <w:overflowPunct/>
              <w:topLinePunct w:val="0"/>
              <w:autoSpaceDE/>
              <w:autoSpaceDN/>
              <w:bidi w:val="0"/>
              <w:adjustRightInd/>
              <w:snapToGrid/>
              <w:spacing w:line="360" w:lineRule="exact"/>
              <w:jc w:val="center"/>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1</w:t>
            </w:r>
          </w:p>
        </w:tc>
        <w:tc>
          <w:tcPr>
            <w:tcW w:w="1240" w:type="dxa"/>
            <w:tcBorders>
              <w:top w:val="single" w:color="auto" w:sz="4" w:space="0"/>
              <w:left w:val="single" w:color="auto" w:sz="4" w:space="0"/>
              <w:bottom w:val="single" w:color="auto" w:sz="4" w:space="0"/>
              <w:right w:val="single" w:color="auto" w:sz="4" w:space="0"/>
            </w:tcBorders>
            <w:noWrap w:val="0"/>
            <w:vAlign w:val="center"/>
          </w:tcPr>
          <w:p w14:paraId="3FC0A56E">
            <w:pPr>
              <w:keepNext w:val="0"/>
              <w:keepLines w:val="0"/>
              <w:pageBreakBefore w:val="0"/>
              <w:kinsoku/>
              <w:wordWrap/>
              <w:overflowPunct/>
              <w:topLinePunct w:val="0"/>
              <w:autoSpaceDE/>
              <w:autoSpaceDN/>
              <w:bidi w:val="0"/>
              <w:adjustRightInd/>
              <w:snapToGrid/>
              <w:spacing w:line="360" w:lineRule="exact"/>
              <w:jc w:val="center"/>
              <w:textAlignment w:val="auto"/>
              <w:rPr>
                <w:rFonts w:hint="eastAsia" w:ascii="宋体" w:hAnsi="宋体" w:eastAsia="宋体" w:cs="宋体"/>
                <w:color w:val="auto"/>
                <w:szCs w:val="21"/>
                <w:highlight w:val="none"/>
                <w:lang w:eastAsia="zh-CN"/>
              </w:rPr>
            </w:pPr>
            <w:r>
              <w:rPr>
                <w:rFonts w:hint="eastAsia" w:ascii="宋体" w:hAnsi="宋体" w:cs="宋体"/>
                <w:color w:val="auto"/>
                <w:szCs w:val="21"/>
                <w:highlight w:val="none"/>
                <w:lang w:eastAsia="zh-CN"/>
              </w:rPr>
              <w:t>2026年度中央财政林业草原生态保护恢复资金-广西横州市西津国家重要湿地保护与恢复项目</w:t>
            </w:r>
            <w:r>
              <w:rPr>
                <w:rFonts w:hint="eastAsia" w:ascii="宋体" w:hAnsi="宋体" w:eastAsia="宋体" w:cs="宋体"/>
                <w:color w:val="auto"/>
                <w:szCs w:val="21"/>
                <w:highlight w:val="none"/>
                <w:lang w:eastAsia="zh-CN"/>
              </w:rPr>
              <w:t>（科普宣教）</w:t>
            </w:r>
          </w:p>
        </w:tc>
        <w:tc>
          <w:tcPr>
            <w:tcW w:w="640" w:type="dxa"/>
            <w:tcBorders>
              <w:top w:val="single" w:color="auto" w:sz="4" w:space="0"/>
              <w:left w:val="single" w:color="auto" w:sz="4" w:space="0"/>
              <w:bottom w:val="single" w:color="auto" w:sz="4" w:space="0"/>
              <w:right w:val="single" w:color="auto" w:sz="4" w:space="0"/>
            </w:tcBorders>
            <w:noWrap w:val="0"/>
            <w:vAlign w:val="center"/>
          </w:tcPr>
          <w:p w14:paraId="31A8681D">
            <w:pPr>
              <w:keepNext w:val="0"/>
              <w:keepLines w:val="0"/>
              <w:pageBreakBefore w:val="0"/>
              <w:kinsoku/>
              <w:wordWrap/>
              <w:overflowPunct/>
              <w:topLinePunct w:val="0"/>
              <w:autoSpaceDE/>
              <w:autoSpaceDN/>
              <w:bidi w:val="0"/>
              <w:adjustRightInd/>
              <w:snapToGrid/>
              <w:spacing w:line="360" w:lineRule="exact"/>
              <w:jc w:val="center"/>
              <w:textAlignment w:val="auto"/>
              <w:rPr>
                <w:rFonts w:hint="eastAsia" w:ascii="宋体" w:hAnsi="宋体" w:eastAsia="宋体" w:cs="宋体"/>
                <w:color w:val="auto"/>
                <w:szCs w:val="21"/>
                <w:highlight w:val="none"/>
                <w:lang w:val="en-US" w:eastAsia="zh-CN"/>
              </w:rPr>
            </w:pPr>
            <w:r>
              <w:rPr>
                <w:rFonts w:hint="eastAsia" w:ascii="宋体" w:hAnsi="宋体" w:eastAsia="宋体" w:cs="宋体"/>
                <w:b w:val="0"/>
                <w:bCs w:val="0"/>
                <w:color w:val="auto"/>
                <w:sz w:val="21"/>
                <w:szCs w:val="21"/>
                <w:highlight w:val="none"/>
                <w:lang w:val="en-US" w:eastAsia="zh-CN"/>
              </w:rPr>
              <w:t>项</w:t>
            </w:r>
          </w:p>
        </w:tc>
        <w:tc>
          <w:tcPr>
            <w:tcW w:w="583" w:type="dxa"/>
            <w:tcBorders>
              <w:top w:val="single" w:color="auto" w:sz="4" w:space="0"/>
              <w:left w:val="single" w:color="auto" w:sz="4" w:space="0"/>
              <w:bottom w:val="single" w:color="auto" w:sz="4" w:space="0"/>
              <w:right w:val="single" w:color="auto" w:sz="4" w:space="0"/>
            </w:tcBorders>
            <w:noWrap w:val="0"/>
            <w:vAlign w:val="center"/>
          </w:tcPr>
          <w:p w14:paraId="69822E46">
            <w:pPr>
              <w:keepNext w:val="0"/>
              <w:keepLines w:val="0"/>
              <w:pageBreakBefore w:val="0"/>
              <w:kinsoku/>
              <w:wordWrap/>
              <w:overflowPunct/>
              <w:topLinePunct w:val="0"/>
              <w:autoSpaceDE/>
              <w:autoSpaceDN/>
              <w:bidi w:val="0"/>
              <w:adjustRightInd/>
              <w:snapToGrid/>
              <w:spacing w:line="360" w:lineRule="exact"/>
              <w:jc w:val="center"/>
              <w:textAlignment w:val="auto"/>
              <w:rPr>
                <w:rFonts w:hint="eastAsia" w:ascii="宋体" w:hAnsi="宋体" w:eastAsia="宋体" w:cs="宋体"/>
                <w:color w:val="auto"/>
                <w:szCs w:val="21"/>
                <w:highlight w:val="none"/>
                <w:lang w:val="en-US" w:eastAsia="zh-CN"/>
              </w:rPr>
            </w:pPr>
            <w:r>
              <w:rPr>
                <w:rFonts w:hint="eastAsia" w:ascii="宋体" w:hAnsi="宋体" w:eastAsia="宋体" w:cs="宋体"/>
                <w:b w:val="0"/>
                <w:bCs w:val="0"/>
                <w:color w:val="auto"/>
                <w:sz w:val="21"/>
                <w:szCs w:val="21"/>
                <w:highlight w:val="none"/>
                <w:lang w:val="en-US" w:eastAsia="zh-CN"/>
              </w:rPr>
              <w:t>1</w:t>
            </w:r>
          </w:p>
        </w:tc>
        <w:tc>
          <w:tcPr>
            <w:tcW w:w="5395" w:type="dxa"/>
            <w:tcBorders>
              <w:top w:val="single" w:color="auto" w:sz="4" w:space="0"/>
              <w:left w:val="single" w:color="auto" w:sz="4" w:space="0"/>
              <w:bottom w:val="single" w:color="auto" w:sz="4" w:space="0"/>
              <w:right w:val="single" w:color="auto" w:sz="4" w:space="0"/>
            </w:tcBorders>
            <w:noWrap w:val="0"/>
            <w:vAlign w:val="top"/>
          </w:tcPr>
          <w:p w14:paraId="60EE7AE4">
            <w:pPr>
              <w:keepNext w:val="0"/>
              <w:keepLines w:val="0"/>
              <w:pageBreakBefore w:val="0"/>
              <w:widowControl/>
              <w:tabs>
                <w:tab w:val="left" w:pos="900"/>
                <w:tab w:val="left" w:pos="1080"/>
              </w:tabs>
              <w:kinsoku/>
              <w:wordWrap/>
              <w:overflowPunct/>
              <w:topLinePunct w:val="0"/>
              <w:autoSpaceDE/>
              <w:autoSpaceDN/>
              <w:bidi w:val="0"/>
              <w:adjustRightInd/>
              <w:snapToGrid/>
              <w:spacing w:line="360" w:lineRule="exact"/>
              <w:ind w:firstLine="422" w:firstLineChars="200"/>
              <w:textAlignment w:val="auto"/>
              <w:rPr>
                <w:rFonts w:hint="default" w:ascii="宋体" w:hAnsi="宋体" w:eastAsia="宋体" w:cs="宋体"/>
                <w:b/>
                <w:bCs/>
                <w:color w:val="auto"/>
                <w:kern w:val="2"/>
                <w:sz w:val="21"/>
                <w:szCs w:val="21"/>
                <w:highlight w:val="none"/>
                <w:lang w:val="en-US" w:eastAsia="zh-CN" w:bidi="ar-SA"/>
              </w:rPr>
            </w:pPr>
            <w:r>
              <w:rPr>
                <w:rFonts w:hint="eastAsia" w:ascii="宋体" w:hAnsi="宋体" w:eastAsia="宋体" w:cs="宋体"/>
                <w:b/>
                <w:bCs/>
                <w:color w:val="auto"/>
                <w:szCs w:val="21"/>
                <w:highlight w:val="none"/>
              </w:rPr>
              <w:t>一、</w:t>
            </w:r>
            <w:r>
              <w:rPr>
                <w:rFonts w:hint="eastAsia" w:ascii="宋体" w:hAnsi="宋体" w:cs="宋体"/>
                <w:b/>
                <w:bCs/>
                <w:color w:val="auto"/>
                <w:kern w:val="2"/>
                <w:sz w:val="21"/>
                <w:szCs w:val="21"/>
                <w:highlight w:val="none"/>
                <w:lang w:val="en-US" w:eastAsia="zh-CN" w:bidi="ar-SA"/>
              </w:rPr>
              <w:t>项目概况</w:t>
            </w:r>
          </w:p>
          <w:p w14:paraId="7FF001E6">
            <w:pPr>
              <w:keepNext w:val="0"/>
              <w:keepLines w:val="0"/>
              <w:pageBreakBefore w:val="0"/>
              <w:widowControl/>
              <w:numPr>
                <w:ilvl w:val="0"/>
                <w:numId w:val="0"/>
              </w:numPr>
              <w:tabs>
                <w:tab w:val="left" w:pos="900"/>
                <w:tab w:val="left" w:pos="1080"/>
              </w:tabs>
              <w:kinsoku/>
              <w:wordWrap/>
              <w:overflowPunct/>
              <w:topLinePunct w:val="0"/>
              <w:autoSpaceDE/>
              <w:autoSpaceDN/>
              <w:bidi w:val="0"/>
              <w:adjustRightInd/>
              <w:snapToGrid/>
              <w:spacing w:line="360" w:lineRule="exact"/>
              <w:ind w:leftChars="0" w:firstLine="420" w:firstLineChars="200"/>
              <w:textAlignment w:val="auto"/>
              <w:rPr>
                <w:rFonts w:hint="eastAsia" w:ascii="宋体" w:hAnsi="宋体" w:eastAsia="宋体" w:cs="宋体"/>
                <w:b w:val="0"/>
                <w:bCs w:val="0"/>
                <w:color w:val="auto"/>
                <w:szCs w:val="21"/>
                <w:highlight w:val="none"/>
                <w:lang w:val="en-US" w:eastAsia="zh-CN"/>
              </w:rPr>
            </w:pPr>
            <w:r>
              <w:rPr>
                <w:rFonts w:hint="eastAsia" w:ascii="宋体" w:hAnsi="宋体" w:eastAsia="宋体" w:cs="宋体"/>
                <w:b w:val="0"/>
                <w:bCs w:val="0"/>
                <w:color w:val="auto"/>
                <w:szCs w:val="21"/>
                <w:highlight w:val="none"/>
                <w:lang w:val="en-US" w:eastAsia="zh-CN"/>
              </w:rPr>
              <w:t>1.多类群标本系统化采集与制作</w:t>
            </w:r>
            <w:r>
              <w:rPr>
                <w:rFonts w:hint="eastAsia" w:ascii="宋体" w:hAnsi="宋体" w:cs="宋体"/>
                <w:b w:val="0"/>
                <w:bCs w:val="0"/>
                <w:color w:val="auto"/>
                <w:szCs w:val="21"/>
                <w:highlight w:val="none"/>
                <w:lang w:val="en-US" w:eastAsia="zh-CN"/>
              </w:rPr>
              <w:t>：</w:t>
            </w:r>
            <w:r>
              <w:rPr>
                <w:rFonts w:hint="eastAsia" w:ascii="宋体" w:hAnsi="宋体" w:eastAsia="宋体" w:cs="宋体"/>
                <w:b w:val="0"/>
                <w:bCs w:val="0"/>
                <w:color w:val="auto"/>
                <w:szCs w:val="21"/>
                <w:highlight w:val="none"/>
                <w:lang w:val="en-US" w:eastAsia="zh-CN"/>
              </w:rPr>
              <w:t>制作植物标本20份、昆虫标本80份、鱼类标本(20份)以及数字化与互动升级一套。2.湿地科普宣传系列活动</w:t>
            </w:r>
            <w:r>
              <w:rPr>
                <w:rFonts w:hint="eastAsia" w:ascii="宋体" w:hAnsi="宋体" w:cs="宋体"/>
                <w:b w:val="0"/>
                <w:bCs w:val="0"/>
                <w:color w:val="auto"/>
                <w:szCs w:val="21"/>
                <w:highlight w:val="none"/>
                <w:lang w:val="en-US" w:eastAsia="zh-CN"/>
              </w:rPr>
              <w:t>：</w:t>
            </w:r>
            <w:r>
              <w:rPr>
                <w:rFonts w:hint="eastAsia" w:ascii="宋体" w:hAnsi="宋体" w:eastAsia="宋体" w:cs="宋体"/>
                <w:b w:val="0"/>
                <w:bCs w:val="0"/>
                <w:color w:val="auto"/>
                <w:szCs w:val="21"/>
                <w:highlight w:val="none"/>
                <w:lang w:val="en-US" w:eastAsia="zh-CN"/>
              </w:rPr>
              <w:t>开展10期湿地科普宣传活动、增设1套自助导览系统，同步增配2套无线讲解接收器。</w:t>
            </w:r>
          </w:p>
          <w:p w14:paraId="2C0263AC">
            <w:pPr>
              <w:keepNext w:val="0"/>
              <w:keepLines w:val="0"/>
              <w:pageBreakBefore w:val="0"/>
              <w:widowControl/>
              <w:numPr>
                <w:ilvl w:val="0"/>
                <w:numId w:val="0"/>
              </w:numPr>
              <w:tabs>
                <w:tab w:val="left" w:pos="900"/>
                <w:tab w:val="left" w:pos="1080"/>
              </w:tabs>
              <w:kinsoku/>
              <w:wordWrap/>
              <w:overflowPunct/>
              <w:topLinePunct w:val="0"/>
              <w:autoSpaceDE/>
              <w:autoSpaceDN/>
              <w:bidi w:val="0"/>
              <w:adjustRightInd/>
              <w:snapToGrid/>
              <w:spacing w:line="360" w:lineRule="exact"/>
              <w:ind w:firstLine="422" w:firstLineChars="200"/>
              <w:textAlignment w:val="auto"/>
              <w:rPr>
                <w:rFonts w:hint="eastAsia" w:ascii="宋体" w:hAnsi="宋体" w:eastAsia="宋体" w:cs="宋体"/>
                <w:b/>
                <w:bCs/>
                <w:color w:val="auto"/>
                <w:szCs w:val="21"/>
                <w:highlight w:val="none"/>
                <w:lang w:val="en-US" w:eastAsia="zh-CN"/>
              </w:rPr>
            </w:pPr>
            <w:r>
              <w:rPr>
                <w:rFonts w:hint="eastAsia" w:ascii="宋体" w:hAnsi="宋体" w:eastAsia="宋体" w:cs="宋体"/>
                <w:b/>
                <w:bCs/>
                <w:color w:val="auto"/>
                <w:szCs w:val="21"/>
                <w:highlight w:val="none"/>
                <w:lang w:val="en-US" w:eastAsia="zh-CN"/>
              </w:rPr>
              <w:t>二、具体内容</w:t>
            </w:r>
          </w:p>
          <w:p w14:paraId="070801FC">
            <w:pPr>
              <w:keepNext w:val="0"/>
              <w:keepLines w:val="0"/>
              <w:pageBreakBefore w:val="0"/>
              <w:widowControl/>
              <w:numPr>
                <w:ilvl w:val="0"/>
                <w:numId w:val="0"/>
              </w:numPr>
              <w:tabs>
                <w:tab w:val="left" w:pos="900"/>
                <w:tab w:val="left" w:pos="1080"/>
              </w:tabs>
              <w:kinsoku/>
              <w:wordWrap/>
              <w:overflowPunct/>
              <w:topLinePunct w:val="0"/>
              <w:autoSpaceDE/>
              <w:autoSpaceDN/>
              <w:bidi w:val="0"/>
              <w:adjustRightInd/>
              <w:snapToGrid/>
              <w:spacing w:line="360" w:lineRule="exact"/>
              <w:ind w:leftChars="0" w:firstLine="422" w:firstLineChars="200"/>
              <w:textAlignment w:val="auto"/>
              <w:rPr>
                <w:rFonts w:hint="eastAsia" w:ascii="宋体" w:hAnsi="宋体" w:eastAsia="宋体" w:cs="宋体"/>
                <w:b/>
                <w:bCs/>
                <w:color w:val="auto"/>
                <w:szCs w:val="21"/>
                <w:highlight w:val="none"/>
                <w:lang w:val="en-US" w:eastAsia="zh-CN"/>
              </w:rPr>
            </w:pPr>
            <w:r>
              <w:rPr>
                <w:rFonts w:hint="eastAsia" w:ascii="宋体" w:hAnsi="宋体" w:cs="宋体"/>
                <w:b/>
                <w:bCs/>
                <w:color w:val="auto"/>
                <w:szCs w:val="21"/>
                <w:highlight w:val="none"/>
                <w:lang w:val="en-US" w:eastAsia="zh-CN"/>
              </w:rPr>
              <w:t>1、</w:t>
            </w:r>
            <w:r>
              <w:rPr>
                <w:rFonts w:hint="eastAsia" w:ascii="宋体" w:hAnsi="宋体" w:eastAsia="宋体" w:cs="宋体"/>
                <w:b/>
                <w:bCs/>
                <w:color w:val="auto"/>
                <w:szCs w:val="21"/>
                <w:highlight w:val="none"/>
                <w:lang w:val="en-US" w:eastAsia="zh-CN"/>
              </w:rPr>
              <w:t>多类群标本系统化采集与制作</w:t>
            </w:r>
          </w:p>
          <w:p w14:paraId="1588F1BD">
            <w:pPr>
              <w:keepNext w:val="0"/>
              <w:keepLines w:val="0"/>
              <w:pageBreakBefore w:val="0"/>
              <w:widowControl/>
              <w:numPr>
                <w:ilvl w:val="0"/>
                <w:numId w:val="0"/>
              </w:numPr>
              <w:tabs>
                <w:tab w:val="left" w:pos="900"/>
                <w:tab w:val="left" w:pos="1080"/>
              </w:tabs>
              <w:kinsoku/>
              <w:wordWrap/>
              <w:overflowPunct/>
              <w:topLinePunct w:val="0"/>
              <w:autoSpaceDE/>
              <w:autoSpaceDN/>
              <w:bidi w:val="0"/>
              <w:adjustRightInd/>
              <w:snapToGrid/>
              <w:spacing w:line="360" w:lineRule="exact"/>
              <w:ind w:leftChars="0" w:firstLine="422" w:firstLineChars="200"/>
              <w:textAlignment w:val="auto"/>
              <w:rPr>
                <w:rFonts w:hint="eastAsia" w:ascii="宋体" w:hAnsi="宋体" w:eastAsia="宋体" w:cs="宋体"/>
                <w:b w:val="0"/>
                <w:bCs w:val="0"/>
                <w:color w:val="auto"/>
                <w:szCs w:val="21"/>
                <w:highlight w:val="none"/>
                <w:lang w:val="en-US" w:eastAsia="zh-CN"/>
              </w:rPr>
            </w:pPr>
            <w:r>
              <w:rPr>
                <w:rFonts w:hint="eastAsia" w:ascii="宋体" w:hAnsi="宋体" w:eastAsia="宋体" w:cs="宋体"/>
                <w:b/>
                <w:bCs/>
                <w:color w:val="auto"/>
                <w:sz w:val="21"/>
                <w:szCs w:val="21"/>
                <w:highlight w:val="none"/>
                <w:lang w:val="en-US" w:eastAsia="zh-CN"/>
              </w:rPr>
              <w:t>●</w:t>
            </w:r>
            <w:r>
              <w:rPr>
                <w:rFonts w:hint="eastAsia" w:ascii="宋体" w:hAnsi="宋体" w:cs="宋体"/>
                <w:b w:val="0"/>
                <w:bCs w:val="0"/>
                <w:color w:val="auto"/>
                <w:szCs w:val="21"/>
                <w:highlight w:val="none"/>
                <w:lang w:val="en-US" w:eastAsia="zh-CN"/>
              </w:rPr>
              <w:t>①</w:t>
            </w:r>
            <w:r>
              <w:rPr>
                <w:rFonts w:hint="eastAsia" w:ascii="宋体" w:hAnsi="宋体" w:eastAsia="宋体" w:cs="宋体"/>
                <w:b w:val="0"/>
                <w:bCs w:val="0"/>
                <w:color w:val="auto"/>
                <w:szCs w:val="21"/>
                <w:highlight w:val="none"/>
                <w:lang w:val="en-US" w:eastAsia="zh-CN"/>
              </w:rPr>
              <w:t>植物标本（20 份）</w:t>
            </w:r>
          </w:p>
          <w:p w14:paraId="5203F41C">
            <w:pPr>
              <w:keepNext w:val="0"/>
              <w:keepLines w:val="0"/>
              <w:pageBreakBefore w:val="0"/>
              <w:widowControl/>
              <w:numPr>
                <w:ilvl w:val="0"/>
                <w:numId w:val="0"/>
              </w:numPr>
              <w:tabs>
                <w:tab w:val="left" w:pos="900"/>
                <w:tab w:val="left" w:pos="1080"/>
              </w:tabs>
              <w:kinsoku/>
              <w:wordWrap/>
              <w:overflowPunct/>
              <w:topLinePunct w:val="0"/>
              <w:autoSpaceDE/>
              <w:autoSpaceDN/>
              <w:bidi w:val="0"/>
              <w:adjustRightInd/>
              <w:snapToGrid/>
              <w:spacing w:line="360" w:lineRule="exact"/>
              <w:ind w:leftChars="0" w:firstLine="420" w:firstLineChars="200"/>
              <w:textAlignment w:val="auto"/>
              <w:rPr>
                <w:rFonts w:hint="eastAsia" w:ascii="宋体" w:hAnsi="宋体" w:eastAsia="宋体" w:cs="宋体"/>
                <w:b w:val="0"/>
                <w:bCs w:val="0"/>
                <w:color w:val="auto"/>
                <w:szCs w:val="21"/>
                <w:highlight w:val="none"/>
                <w:lang w:val="en-US" w:eastAsia="zh-CN"/>
              </w:rPr>
            </w:pPr>
            <w:r>
              <w:rPr>
                <w:rFonts w:hint="eastAsia" w:ascii="宋体" w:hAnsi="宋体" w:eastAsia="宋体" w:cs="宋体"/>
                <w:b w:val="0"/>
                <w:bCs w:val="0"/>
                <w:color w:val="auto"/>
                <w:szCs w:val="21"/>
                <w:highlight w:val="none"/>
                <w:lang w:val="en-US" w:eastAsia="zh-CN"/>
              </w:rPr>
              <w:t>物 种 选 择 ： 聚 焦 西 津 湿 地 典 型 物 种 ， 包 括 水 杉（Metasequoia</w:t>
            </w:r>
            <w:r>
              <w:rPr>
                <w:rFonts w:hint="eastAsia" w:ascii="宋体" w:hAnsi="宋体" w:cs="宋体"/>
                <w:b w:val="0"/>
                <w:bCs w:val="0"/>
                <w:color w:val="auto"/>
                <w:szCs w:val="21"/>
                <w:highlight w:val="none"/>
                <w:lang w:val="en-US" w:eastAsia="zh-CN"/>
              </w:rPr>
              <w:t xml:space="preserve"> </w:t>
            </w:r>
            <w:r>
              <w:rPr>
                <w:rFonts w:hint="eastAsia" w:ascii="宋体" w:hAnsi="宋体" w:eastAsia="宋体" w:cs="宋体"/>
                <w:b w:val="0"/>
                <w:bCs w:val="0"/>
                <w:color w:val="auto"/>
                <w:szCs w:val="21"/>
                <w:highlight w:val="none"/>
                <w:lang w:val="en-US" w:eastAsia="zh-CN"/>
              </w:rPr>
              <w:t>glyptostroboides）、芦竹（Arundo donax）、水蕨（Ceratopteris thalictroides）等湿地特征植物。</w:t>
            </w:r>
          </w:p>
          <w:p w14:paraId="70CA201A">
            <w:pPr>
              <w:keepNext w:val="0"/>
              <w:keepLines w:val="0"/>
              <w:pageBreakBefore w:val="0"/>
              <w:widowControl/>
              <w:numPr>
                <w:ilvl w:val="0"/>
                <w:numId w:val="0"/>
              </w:numPr>
              <w:tabs>
                <w:tab w:val="left" w:pos="900"/>
                <w:tab w:val="left" w:pos="1080"/>
              </w:tabs>
              <w:kinsoku/>
              <w:wordWrap/>
              <w:overflowPunct/>
              <w:topLinePunct w:val="0"/>
              <w:autoSpaceDE/>
              <w:autoSpaceDN/>
              <w:bidi w:val="0"/>
              <w:adjustRightInd/>
              <w:snapToGrid/>
              <w:spacing w:line="360" w:lineRule="exact"/>
              <w:ind w:leftChars="0" w:firstLine="420" w:firstLineChars="200"/>
              <w:textAlignment w:val="auto"/>
              <w:rPr>
                <w:rFonts w:hint="eastAsia" w:ascii="宋体" w:hAnsi="宋体" w:eastAsia="宋体" w:cs="宋体"/>
                <w:b w:val="0"/>
                <w:bCs w:val="0"/>
                <w:color w:val="auto"/>
                <w:szCs w:val="21"/>
                <w:highlight w:val="none"/>
                <w:lang w:val="en-US" w:eastAsia="zh-CN"/>
              </w:rPr>
            </w:pPr>
            <w:r>
              <w:rPr>
                <w:rFonts w:hint="eastAsia" w:ascii="宋体" w:hAnsi="宋体" w:eastAsia="宋体" w:cs="宋体"/>
                <w:b w:val="0"/>
                <w:bCs w:val="0"/>
                <w:color w:val="auto"/>
                <w:szCs w:val="21"/>
                <w:highlight w:val="none"/>
                <w:lang w:val="en-US" w:eastAsia="zh-CN"/>
              </w:rPr>
              <w:t>来源保障：全部采用与本地苗圃合作定向培育的活体植株，避免野外采集对原生种群的破坏，确保标本采集的生态友好性。</w:t>
            </w:r>
          </w:p>
          <w:p w14:paraId="5790E5F4">
            <w:pPr>
              <w:keepNext w:val="0"/>
              <w:keepLines w:val="0"/>
              <w:pageBreakBefore w:val="0"/>
              <w:widowControl/>
              <w:numPr>
                <w:ilvl w:val="0"/>
                <w:numId w:val="0"/>
              </w:numPr>
              <w:tabs>
                <w:tab w:val="left" w:pos="900"/>
                <w:tab w:val="left" w:pos="1080"/>
              </w:tabs>
              <w:kinsoku/>
              <w:wordWrap/>
              <w:overflowPunct/>
              <w:topLinePunct w:val="0"/>
              <w:autoSpaceDE/>
              <w:autoSpaceDN/>
              <w:bidi w:val="0"/>
              <w:adjustRightInd/>
              <w:snapToGrid/>
              <w:spacing w:line="360" w:lineRule="exact"/>
              <w:ind w:leftChars="0" w:firstLine="420" w:firstLineChars="200"/>
              <w:textAlignment w:val="auto"/>
              <w:rPr>
                <w:rFonts w:hint="eastAsia" w:ascii="宋体" w:hAnsi="宋体" w:eastAsia="宋体" w:cs="宋体"/>
                <w:b w:val="0"/>
                <w:bCs w:val="0"/>
                <w:color w:val="auto"/>
                <w:szCs w:val="21"/>
                <w:highlight w:val="none"/>
                <w:lang w:val="en-US" w:eastAsia="zh-CN"/>
              </w:rPr>
            </w:pPr>
            <w:r>
              <w:rPr>
                <w:rFonts w:hint="eastAsia" w:ascii="宋体" w:hAnsi="宋体" w:eastAsia="宋体" w:cs="宋体"/>
                <w:b w:val="0"/>
                <w:bCs w:val="0"/>
                <w:color w:val="auto"/>
                <w:szCs w:val="21"/>
                <w:highlight w:val="none"/>
                <w:lang w:val="en-US" w:eastAsia="zh-CN"/>
              </w:rPr>
              <w:t>工艺标准：树脂包埋标本。</w:t>
            </w:r>
          </w:p>
          <w:p w14:paraId="1F04A137">
            <w:pPr>
              <w:keepNext w:val="0"/>
              <w:keepLines w:val="0"/>
              <w:pageBreakBefore w:val="0"/>
              <w:widowControl/>
              <w:numPr>
                <w:ilvl w:val="0"/>
                <w:numId w:val="0"/>
              </w:numPr>
              <w:tabs>
                <w:tab w:val="left" w:pos="900"/>
                <w:tab w:val="left" w:pos="1080"/>
              </w:tabs>
              <w:kinsoku/>
              <w:wordWrap/>
              <w:overflowPunct/>
              <w:topLinePunct w:val="0"/>
              <w:autoSpaceDE/>
              <w:autoSpaceDN/>
              <w:bidi w:val="0"/>
              <w:adjustRightInd/>
              <w:snapToGrid/>
              <w:spacing w:line="360" w:lineRule="exact"/>
              <w:ind w:leftChars="0" w:firstLine="420" w:firstLineChars="200"/>
              <w:textAlignment w:val="auto"/>
              <w:rPr>
                <w:rFonts w:hint="eastAsia" w:ascii="宋体" w:hAnsi="宋体" w:eastAsia="宋体" w:cs="宋体"/>
                <w:b w:val="0"/>
                <w:bCs w:val="0"/>
                <w:color w:val="auto"/>
                <w:szCs w:val="21"/>
                <w:highlight w:val="none"/>
                <w:lang w:val="en-US" w:eastAsia="zh-CN"/>
              </w:rPr>
            </w:pPr>
            <w:r>
              <w:rPr>
                <w:rFonts w:hint="eastAsia" w:ascii="宋体" w:hAnsi="宋体" w:eastAsia="宋体" w:cs="宋体"/>
                <w:b w:val="0"/>
                <w:bCs w:val="0"/>
                <w:color w:val="auto"/>
                <w:szCs w:val="21"/>
                <w:highlight w:val="none"/>
                <w:lang w:val="en-US" w:eastAsia="zh-CN"/>
              </w:rPr>
              <w:t>尺寸：20cm*10cm*3cm。</w:t>
            </w:r>
          </w:p>
          <w:p w14:paraId="291A3959">
            <w:pPr>
              <w:keepNext w:val="0"/>
              <w:keepLines w:val="0"/>
              <w:pageBreakBefore w:val="0"/>
              <w:widowControl/>
              <w:numPr>
                <w:ilvl w:val="0"/>
                <w:numId w:val="0"/>
              </w:numPr>
              <w:tabs>
                <w:tab w:val="left" w:pos="900"/>
                <w:tab w:val="left" w:pos="1080"/>
              </w:tabs>
              <w:kinsoku/>
              <w:wordWrap/>
              <w:overflowPunct/>
              <w:topLinePunct w:val="0"/>
              <w:autoSpaceDE/>
              <w:autoSpaceDN/>
              <w:bidi w:val="0"/>
              <w:adjustRightInd/>
              <w:snapToGrid/>
              <w:spacing w:line="360" w:lineRule="exact"/>
              <w:ind w:leftChars="0" w:firstLine="422" w:firstLineChars="200"/>
              <w:textAlignment w:val="auto"/>
              <w:rPr>
                <w:rFonts w:hint="eastAsia" w:ascii="宋体" w:hAnsi="宋体" w:eastAsia="宋体" w:cs="宋体"/>
                <w:b w:val="0"/>
                <w:bCs w:val="0"/>
                <w:color w:val="auto"/>
                <w:szCs w:val="21"/>
                <w:highlight w:val="none"/>
                <w:lang w:val="en-US" w:eastAsia="zh-CN"/>
              </w:rPr>
            </w:pPr>
            <w:r>
              <w:rPr>
                <w:rFonts w:hint="eastAsia" w:ascii="宋体" w:hAnsi="宋体" w:eastAsia="宋体" w:cs="宋体"/>
                <w:b/>
                <w:bCs/>
                <w:color w:val="auto"/>
                <w:sz w:val="21"/>
                <w:szCs w:val="21"/>
                <w:highlight w:val="none"/>
                <w:lang w:val="en-US" w:eastAsia="zh-CN"/>
              </w:rPr>
              <w:t>●</w:t>
            </w:r>
            <w:r>
              <w:rPr>
                <w:rFonts w:hint="eastAsia" w:ascii="宋体" w:hAnsi="宋体" w:cs="宋体"/>
                <w:b w:val="0"/>
                <w:bCs w:val="0"/>
                <w:color w:val="auto"/>
                <w:szCs w:val="21"/>
                <w:highlight w:val="none"/>
                <w:lang w:val="en-US" w:eastAsia="zh-CN"/>
              </w:rPr>
              <w:t>②</w:t>
            </w:r>
            <w:r>
              <w:rPr>
                <w:rFonts w:hint="eastAsia" w:ascii="宋体" w:hAnsi="宋体" w:eastAsia="宋体" w:cs="宋体"/>
                <w:b w:val="0"/>
                <w:bCs w:val="0"/>
                <w:color w:val="auto"/>
                <w:szCs w:val="21"/>
                <w:highlight w:val="none"/>
                <w:lang w:val="en-US" w:eastAsia="zh-CN"/>
              </w:rPr>
              <w:t>昆虫标本（80 份）</w:t>
            </w:r>
          </w:p>
          <w:p w14:paraId="64CFC992">
            <w:pPr>
              <w:keepNext w:val="0"/>
              <w:keepLines w:val="0"/>
              <w:pageBreakBefore w:val="0"/>
              <w:widowControl/>
              <w:numPr>
                <w:ilvl w:val="0"/>
                <w:numId w:val="0"/>
              </w:numPr>
              <w:tabs>
                <w:tab w:val="left" w:pos="900"/>
                <w:tab w:val="left" w:pos="1080"/>
              </w:tabs>
              <w:kinsoku/>
              <w:wordWrap/>
              <w:overflowPunct/>
              <w:topLinePunct w:val="0"/>
              <w:autoSpaceDE/>
              <w:autoSpaceDN/>
              <w:bidi w:val="0"/>
              <w:adjustRightInd/>
              <w:snapToGrid/>
              <w:spacing w:line="360" w:lineRule="exact"/>
              <w:ind w:leftChars="0" w:firstLine="420" w:firstLineChars="200"/>
              <w:textAlignment w:val="auto"/>
              <w:rPr>
                <w:rFonts w:hint="eastAsia" w:ascii="宋体" w:hAnsi="宋体" w:eastAsia="宋体" w:cs="宋体"/>
                <w:b w:val="0"/>
                <w:bCs w:val="0"/>
                <w:color w:val="auto"/>
                <w:szCs w:val="21"/>
                <w:highlight w:val="none"/>
                <w:lang w:val="en-US" w:eastAsia="zh-CN"/>
              </w:rPr>
            </w:pPr>
            <w:r>
              <w:rPr>
                <w:rFonts w:hint="eastAsia" w:ascii="宋体" w:hAnsi="宋体" w:eastAsia="宋体" w:cs="宋体"/>
                <w:b w:val="0"/>
                <w:bCs w:val="0"/>
                <w:color w:val="auto"/>
                <w:szCs w:val="21"/>
                <w:highlight w:val="none"/>
                <w:lang w:val="en-US" w:eastAsia="zh-CN"/>
              </w:rPr>
              <w:t>目标类群：重点选取蜻蜓目（湿地水质指示物种） 、鳞翅目（关键传粉物种）等具有重要生态功能的类群。</w:t>
            </w:r>
          </w:p>
          <w:p w14:paraId="3C138CE7">
            <w:pPr>
              <w:keepNext w:val="0"/>
              <w:keepLines w:val="0"/>
              <w:pageBreakBefore w:val="0"/>
              <w:widowControl/>
              <w:numPr>
                <w:ilvl w:val="0"/>
                <w:numId w:val="0"/>
              </w:numPr>
              <w:tabs>
                <w:tab w:val="left" w:pos="900"/>
                <w:tab w:val="left" w:pos="1080"/>
              </w:tabs>
              <w:kinsoku/>
              <w:wordWrap/>
              <w:overflowPunct/>
              <w:topLinePunct w:val="0"/>
              <w:autoSpaceDE/>
              <w:autoSpaceDN/>
              <w:bidi w:val="0"/>
              <w:adjustRightInd/>
              <w:snapToGrid/>
              <w:spacing w:line="360" w:lineRule="exact"/>
              <w:ind w:leftChars="0" w:firstLine="420" w:firstLineChars="200"/>
              <w:textAlignment w:val="auto"/>
              <w:rPr>
                <w:rFonts w:hint="eastAsia" w:ascii="宋体" w:hAnsi="宋体" w:eastAsia="宋体" w:cs="宋体"/>
                <w:b w:val="0"/>
                <w:bCs w:val="0"/>
                <w:color w:val="auto"/>
                <w:szCs w:val="21"/>
                <w:highlight w:val="none"/>
                <w:lang w:val="en-US" w:eastAsia="zh-CN"/>
              </w:rPr>
            </w:pPr>
            <w:r>
              <w:rPr>
                <w:rFonts w:hint="eastAsia" w:ascii="宋体" w:hAnsi="宋体" w:eastAsia="宋体" w:cs="宋体"/>
                <w:b w:val="0"/>
                <w:bCs w:val="0"/>
                <w:color w:val="auto"/>
                <w:szCs w:val="21"/>
                <w:highlight w:val="none"/>
                <w:lang w:val="en-US" w:eastAsia="zh-CN"/>
              </w:rPr>
              <w:t>采集原则：严格限定为非保护物种，在科研人员全程监护下于实验区域内定量采集（单次采集量不超过该种群总数的 5%） ，兼顾科普需求与生态保护。</w:t>
            </w:r>
          </w:p>
          <w:p w14:paraId="5038088A">
            <w:pPr>
              <w:keepNext w:val="0"/>
              <w:keepLines w:val="0"/>
              <w:pageBreakBefore w:val="0"/>
              <w:widowControl/>
              <w:numPr>
                <w:ilvl w:val="0"/>
                <w:numId w:val="0"/>
              </w:numPr>
              <w:tabs>
                <w:tab w:val="left" w:pos="900"/>
                <w:tab w:val="left" w:pos="1080"/>
              </w:tabs>
              <w:kinsoku/>
              <w:wordWrap/>
              <w:overflowPunct/>
              <w:topLinePunct w:val="0"/>
              <w:autoSpaceDE/>
              <w:autoSpaceDN/>
              <w:bidi w:val="0"/>
              <w:adjustRightInd/>
              <w:snapToGrid/>
              <w:spacing w:line="360" w:lineRule="exact"/>
              <w:ind w:leftChars="0" w:firstLine="420" w:firstLineChars="200"/>
              <w:textAlignment w:val="auto"/>
              <w:rPr>
                <w:rFonts w:hint="eastAsia" w:ascii="宋体" w:hAnsi="宋体" w:eastAsia="宋体" w:cs="宋体"/>
                <w:b w:val="0"/>
                <w:bCs w:val="0"/>
                <w:color w:val="auto"/>
                <w:szCs w:val="21"/>
                <w:highlight w:val="none"/>
                <w:lang w:val="en-US" w:eastAsia="zh-CN"/>
              </w:rPr>
            </w:pPr>
            <w:r>
              <w:rPr>
                <w:rFonts w:hint="eastAsia" w:ascii="宋体" w:hAnsi="宋体" w:eastAsia="宋体" w:cs="宋体"/>
                <w:b w:val="0"/>
                <w:bCs w:val="0"/>
                <w:color w:val="auto"/>
                <w:szCs w:val="21"/>
                <w:highlight w:val="none"/>
                <w:lang w:val="en-US" w:eastAsia="zh-CN"/>
              </w:rPr>
              <w:t>展示形式：针插标本+树脂包埋标本。</w:t>
            </w:r>
          </w:p>
          <w:p w14:paraId="55E5D3B4">
            <w:pPr>
              <w:keepNext w:val="0"/>
              <w:keepLines w:val="0"/>
              <w:pageBreakBefore w:val="0"/>
              <w:widowControl/>
              <w:numPr>
                <w:ilvl w:val="0"/>
                <w:numId w:val="0"/>
              </w:numPr>
              <w:tabs>
                <w:tab w:val="left" w:pos="900"/>
                <w:tab w:val="left" w:pos="1080"/>
              </w:tabs>
              <w:kinsoku/>
              <w:wordWrap/>
              <w:overflowPunct/>
              <w:topLinePunct w:val="0"/>
              <w:autoSpaceDE/>
              <w:autoSpaceDN/>
              <w:bidi w:val="0"/>
              <w:adjustRightInd/>
              <w:snapToGrid/>
              <w:spacing w:line="360" w:lineRule="exact"/>
              <w:ind w:leftChars="0" w:firstLine="420" w:firstLineChars="200"/>
              <w:textAlignment w:val="auto"/>
              <w:rPr>
                <w:rFonts w:hint="eastAsia" w:ascii="宋体" w:hAnsi="宋体" w:eastAsia="宋体" w:cs="宋体"/>
                <w:b w:val="0"/>
                <w:bCs w:val="0"/>
                <w:color w:val="auto"/>
                <w:szCs w:val="21"/>
                <w:highlight w:val="none"/>
                <w:lang w:val="en-US" w:eastAsia="zh-CN"/>
              </w:rPr>
            </w:pPr>
            <w:r>
              <w:rPr>
                <w:rFonts w:hint="eastAsia" w:ascii="宋体" w:hAnsi="宋体" w:eastAsia="宋体" w:cs="宋体"/>
                <w:b w:val="0"/>
                <w:bCs w:val="0"/>
                <w:color w:val="auto"/>
                <w:szCs w:val="21"/>
                <w:highlight w:val="none"/>
                <w:lang w:val="en-US" w:eastAsia="zh-CN"/>
              </w:rPr>
              <w:t>尺寸： 11cm*11cm*3cm；A3 大小。</w:t>
            </w:r>
          </w:p>
          <w:p w14:paraId="184955EA">
            <w:pPr>
              <w:keepNext w:val="0"/>
              <w:keepLines w:val="0"/>
              <w:pageBreakBefore w:val="0"/>
              <w:widowControl/>
              <w:numPr>
                <w:ilvl w:val="0"/>
                <w:numId w:val="0"/>
              </w:numPr>
              <w:tabs>
                <w:tab w:val="left" w:pos="900"/>
                <w:tab w:val="left" w:pos="1080"/>
              </w:tabs>
              <w:kinsoku/>
              <w:wordWrap/>
              <w:overflowPunct/>
              <w:topLinePunct w:val="0"/>
              <w:autoSpaceDE/>
              <w:autoSpaceDN/>
              <w:bidi w:val="0"/>
              <w:adjustRightInd/>
              <w:snapToGrid/>
              <w:spacing w:line="360" w:lineRule="exact"/>
              <w:ind w:leftChars="0" w:firstLine="422" w:firstLineChars="200"/>
              <w:textAlignment w:val="auto"/>
              <w:rPr>
                <w:rFonts w:hint="eastAsia" w:ascii="宋体" w:hAnsi="宋体" w:eastAsia="宋体" w:cs="宋体"/>
                <w:b w:val="0"/>
                <w:bCs w:val="0"/>
                <w:color w:val="auto"/>
                <w:szCs w:val="21"/>
                <w:highlight w:val="none"/>
                <w:lang w:val="en-US" w:eastAsia="zh-CN"/>
              </w:rPr>
            </w:pPr>
            <w:r>
              <w:rPr>
                <w:rFonts w:hint="eastAsia" w:ascii="宋体" w:hAnsi="宋体" w:eastAsia="宋体" w:cs="宋体"/>
                <w:b/>
                <w:bCs/>
                <w:color w:val="auto"/>
                <w:sz w:val="21"/>
                <w:szCs w:val="21"/>
                <w:highlight w:val="none"/>
                <w:lang w:val="en-US" w:eastAsia="zh-CN"/>
              </w:rPr>
              <w:t>●</w:t>
            </w:r>
            <w:r>
              <w:rPr>
                <w:rFonts w:hint="eastAsia" w:ascii="宋体" w:hAnsi="宋体" w:cs="宋体"/>
                <w:b w:val="0"/>
                <w:bCs w:val="0"/>
                <w:color w:val="auto"/>
                <w:szCs w:val="21"/>
                <w:highlight w:val="none"/>
                <w:lang w:val="en-US" w:eastAsia="zh-CN"/>
              </w:rPr>
              <w:t>③</w:t>
            </w:r>
            <w:r>
              <w:rPr>
                <w:rFonts w:hint="eastAsia" w:ascii="宋体" w:hAnsi="宋体" w:eastAsia="宋体" w:cs="宋体"/>
                <w:b w:val="0"/>
                <w:bCs w:val="0"/>
                <w:color w:val="auto"/>
                <w:szCs w:val="21"/>
                <w:highlight w:val="none"/>
                <w:lang w:val="en-US" w:eastAsia="zh-CN"/>
              </w:rPr>
              <w:t>鱼类标本（20 份）</w:t>
            </w:r>
          </w:p>
          <w:p w14:paraId="741B3FC5">
            <w:pPr>
              <w:keepNext w:val="0"/>
              <w:keepLines w:val="0"/>
              <w:pageBreakBefore w:val="0"/>
              <w:widowControl/>
              <w:numPr>
                <w:ilvl w:val="0"/>
                <w:numId w:val="0"/>
              </w:numPr>
              <w:tabs>
                <w:tab w:val="left" w:pos="900"/>
                <w:tab w:val="left" w:pos="1080"/>
              </w:tabs>
              <w:kinsoku/>
              <w:wordWrap/>
              <w:overflowPunct/>
              <w:topLinePunct w:val="0"/>
              <w:autoSpaceDE/>
              <w:autoSpaceDN/>
              <w:bidi w:val="0"/>
              <w:adjustRightInd/>
              <w:snapToGrid/>
              <w:spacing w:line="360" w:lineRule="exact"/>
              <w:ind w:leftChars="0" w:firstLine="420" w:firstLineChars="200"/>
              <w:textAlignment w:val="auto"/>
              <w:rPr>
                <w:rFonts w:hint="eastAsia" w:ascii="宋体" w:hAnsi="宋体" w:eastAsia="宋体" w:cs="宋体"/>
                <w:b w:val="0"/>
                <w:bCs w:val="0"/>
                <w:color w:val="auto"/>
                <w:szCs w:val="21"/>
                <w:highlight w:val="none"/>
                <w:lang w:val="en-US" w:eastAsia="zh-CN"/>
              </w:rPr>
            </w:pPr>
            <w:r>
              <w:rPr>
                <w:rFonts w:hint="eastAsia" w:ascii="宋体" w:hAnsi="宋体" w:eastAsia="宋体" w:cs="宋体"/>
                <w:b w:val="0"/>
                <w:bCs w:val="0"/>
                <w:color w:val="auto"/>
                <w:szCs w:val="21"/>
                <w:highlight w:val="none"/>
                <w:lang w:val="en-US" w:eastAsia="zh-CN"/>
              </w:rPr>
              <w:t>核心物种： 选取湿地水域内具有代表性的特色鱼类 ，如黄颡鱼（Pelteobagrus fulvidraco） 、乌原鲤（Procypris merus）等。</w:t>
            </w:r>
          </w:p>
          <w:p w14:paraId="7A302BE6">
            <w:pPr>
              <w:keepNext w:val="0"/>
              <w:keepLines w:val="0"/>
              <w:pageBreakBefore w:val="0"/>
              <w:widowControl/>
              <w:numPr>
                <w:ilvl w:val="0"/>
                <w:numId w:val="0"/>
              </w:numPr>
              <w:tabs>
                <w:tab w:val="left" w:pos="900"/>
                <w:tab w:val="left" w:pos="1080"/>
              </w:tabs>
              <w:kinsoku/>
              <w:wordWrap/>
              <w:overflowPunct/>
              <w:topLinePunct w:val="0"/>
              <w:autoSpaceDE/>
              <w:autoSpaceDN/>
              <w:bidi w:val="0"/>
              <w:adjustRightInd/>
              <w:snapToGrid/>
              <w:spacing w:line="360" w:lineRule="exact"/>
              <w:ind w:leftChars="0" w:firstLine="420" w:firstLineChars="200"/>
              <w:textAlignment w:val="auto"/>
              <w:rPr>
                <w:rFonts w:hint="eastAsia" w:ascii="宋体" w:hAnsi="宋体" w:eastAsia="宋体" w:cs="宋体"/>
                <w:b w:val="0"/>
                <w:bCs w:val="0"/>
                <w:color w:val="auto"/>
                <w:szCs w:val="21"/>
                <w:highlight w:val="none"/>
                <w:lang w:val="en-US" w:eastAsia="zh-CN"/>
              </w:rPr>
            </w:pPr>
            <w:r>
              <w:rPr>
                <w:rFonts w:hint="eastAsia" w:ascii="宋体" w:hAnsi="宋体" w:eastAsia="宋体" w:cs="宋体"/>
                <w:b w:val="0"/>
                <w:bCs w:val="0"/>
                <w:color w:val="auto"/>
                <w:szCs w:val="21"/>
                <w:highlight w:val="none"/>
                <w:lang w:val="en-US" w:eastAsia="zh-CN"/>
              </w:rPr>
              <w:t>伦理来源：标本主要来源于渔政部门罚没的非法捕捞个体， 以及科研监测过程中合规采集的样本，确保符合伦理规范与生态保护要求。</w:t>
            </w:r>
          </w:p>
          <w:p w14:paraId="4D562AD4">
            <w:pPr>
              <w:keepNext w:val="0"/>
              <w:keepLines w:val="0"/>
              <w:pageBreakBefore w:val="0"/>
              <w:widowControl/>
              <w:numPr>
                <w:ilvl w:val="0"/>
                <w:numId w:val="0"/>
              </w:numPr>
              <w:tabs>
                <w:tab w:val="left" w:pos="900"/>
                <w:tab w:val="left" w:pos="1080"/>
              </w:tabs>
              <w:kinsoku/>
              <w:wordWrap/>
              <w:overflowPunct/>
              <w:topLinePunct w:val="0"/>
              <w:autoSpaceDE/>
              <w:autoSpaceDN/>
              <w:bidi w:val="0"/>
              <w:adjustRightInd/>
              <w:snapToGrid/>
              <w:spacing w:line="360" w:lineRule="exact"/>
              <w:ind w:leftChars="0" w:firstLine="420" w:firstLineChars="200"/>
              <w:textAlignment w:val="auto"/>
              <w:rPr>
                <w:rFonts w:hint="eastAsia" w:ascii="宋体" w:hAnsi="宋体" w:eastAsia="宋体" w:cs="宋体"/>
                <w:b w:val="0"/>
                <w:bCs w:val="0"/>
                <w:color w:val="auto"/>
                <w:szCs w:val="21"/>
                <w:highlight w:val="none"/>
                <w:lang w:val="en-US" w:eastAsia="zh-CN"/>
              </w:rPr>
            </w:pPr>
            <w:r>
              <w:rPr>
                <w:rFonts w:hint="eastAsia" w:ascii="宋体" w:hAnsi="宋体" w:eastAsia="宋体" w:cs="宋体"/>
                <w:b w:val="0"/>
                <w:bCs w:val="0"/>
                <w:color w:val="auto"/>
                <w:szCs w:val="21"/>
                <w:highlight w:val="none"/>
                <w:lang w:val="en-US" w:eastAsia="zh-CN"/>
              </w:rPr>
              <w:t>处理技术：低温塑化保存（避免福尔马林异味，提升展览安全性）</w:t>
            </w:r>
          </w:p>
          <w:p w14:paraId="26EA2BCC">
            <w:pPr>
              <w:keepNext w:val="0"/>
              <w:keepLines w:val="0"/>
              <w:pageBreakBefore w:val="0"/>
              <w:widowControl/>
              <w:numPr>
                <w:ilvl w:val="0"/>
                <w:numId w:val="0"/>
              </w:numPr>
              <w:tabs>
                <w:tab w:val="left" w:pos="900"/>
                <w:tab w:val="left" w:pos="1080"/>
              </w:tabs>
              <w:kinsoku/>
              <w:wordWrap/>
              <w:overflowPunct/>
              <w:topLinePunct w:val="0"/>
              <w:autoSpaceDE/>
              <w:autoSpaceDN/>
              <w:bidi w:val="0"/>
              <w:adjustRightInd/>
              <w:snapToGrid/>
              <w:spacing w:line="360" w:lineRule="exact"/>
              <w:ind w:leftChars="0" w:firstLine="422" w:firstLineChars="200"/>
              <w:textAlignment w:val="auto"/>
              <w:rPr>
                <w:rFonts w:hint="eastAsia" w:ascii="宋体" w:hAnsi="宋体" w:eastAsia="宋体" w:cs="宋体"/>
                <w:b/>
                <w:bCs/>
                <w:color w:val="auto"/>
                <w:szCs w:val="21"/>
                <w:highlight w:val="none"/>
                <w:lang w:val="en-US" w:eastAsia="zh-CN"/>
              </w:rPr>
            </w:pPr>
            <w:r>
              <w:rPr>
                <w:rFonts w:hint="eastAsia" w:ascii="宋体" w:hAnsi="宋体" w:cs="宋体"/>
                <w:b/>
                <w:bCs/>
                <w:color w:val="auto"/>
                <w:szCs w:val="21"/>
                <w:highlight w:val="none"/>
                <w:lang w:val="en-US" w:eastAsia="zh-CN"/>
              </w:rPr>
              <w:t>2、</w:t>
            </w:r>
            <w:r>
              <w:rPr>
                <w:rFonts w:hint="eastAsia" w:ascii="宋体" w:hAnsi="宋体" w:eastAsia="宋体" w:cs="宋体"/>
                <w:b/>
                <w:bCs/>
                <w:color w:val="auto"/>
                <w:szCs w:val="21"/>
                <w:highlight w:val="none"/>
                <w:lang w:val="en-US" w:eastAsia="zh-CN"/>
              </w:rPr>
              <w:t>数字化与互动升级</w:t>
            </w:r>
          </w:p>
          <w:p w14:paraId="150419B2">
            <w:pPr>
              <w:keepNext w:val="0"/>
              <w:keepLines w:val="0"/>
              <w:pageBreakBefore w:val="0"/>
              <w:widowControl/>
              <w:numPr>
                <w:ilvl w:val="0"/>
                <w:numId w:val="0"/>
              </w:numPr>
              <w:tabs>
                <w:tab w:val="left" w:pos="900"/>
                <w:tab w:val="left" w:pos="1080"/>
              </w:tabs>
              <w:kinsoku/>
              <w:wordWrap/>
              <w:overflowPunct/>
              <w:topLinePunct w:val="0"/>
              <w:autoSpaceDE/>
              <w:autoSpaceDN/>
              <w:bidi w:val="0"/>
              <w:adjustRightInd/>
              <w:snapToGrid/>
              <w:spacing w:line="360" w:lineRule="exact"/>
              <w:ind w:leftChars="0" w:firstLine="420" w:firstLineChars="200"/>
              <w:textAlignment w:val="auto"/>
              <w:rPr>
                <w:rFonts w:hint="default" w:ascii="宋体" w:hAnsi="宋体" w:eastAsia="宋体" w:cs="宋体"/>
                <w:b w:val="0"/>
                <w:bCs w:val="0"/>
                <w:color w:val="auto"/>
                <w:szCs w:val="21"/>
                <w:highlight w:val="none"/>
                <w:lang w:val="en-US" w:eastAsia="zh-CN"/>
              </w:rPr>
            </w:pPr>
            <w:r>
              <w:rPr>
                <w:rFonts w:hint="eastAsia" w:ascii="宋体" w:hAnsi="宋体" w:eastAsia="宋体" w:cs="宋体"/>
                <w:b w:val="0"/>
                <w:bCs w:val="0"/>
                <w:color w:val="auto"/>
                <w:szCs w:val="21"/>
                <w:highlight w:val="none"/>
                <w:lang w:val="en-US" w:eastAsia="zh-CN"/>
              </w:rPr>
              <w:t>1. 专属“数字身份证”：打造“一码通”式物种知识交互入</w:t>
            </w:r>
            <w:r>
              <w:rPr>
                <w:rFonts w:hint="eastAsia" w:ascii="宋体" w:hAnsi="宋体" w:cs="宋体"/>
                <w:b w:val="0"/>
                <w:bCs w:val="0"/>
                <w:color w:val="auto"/>
                <w:szCs w:val="21"/>
                <w:highlight w:val="none"/>
                <w:lang w:val="en-US" w:eastAsia="zh-CN"/>
              </w:rPr>
              <w:t>口</w:t>
            </w:r>
          </w:p>
          <w:p w14:paraId="29FE81B7">
            <w:pPr>
              <w:keepNext w:val="0"/>
              <w:keepLines w:val="0"/>
              <w:pageBreakBefore w:val="0"/>
              <w:widowControl/>
              <w:numPr>
                <w:ilvl w:val="0"/>
                <w:numId w:val="0"/>
              </w:numPr>
              <w:tabs>
                <w:tab w:val="left" w:pos="900"/>
                <w:tab w:val="left" w:pos="1080"/>
              </w:tabs>
              <w:kinsoku/>
              <w:wordWrap/>
              <w:overflowPunct/>
              <w:topLinePunct w:val="0"/>
              <w:autoSpaceDE/>
              <w:autoSpaceDN/>
              <w:bidi w:val="0"/>
              <w:adjustRightInd/>
              <w:snapToGrid/>
              <w:spacing w:line="360" w:lineRule="exact"/>
              <w:ind w:leftChars="0" w:firstLine="420" w:firstLineChars="200"/>
              <w:textAlignment w:val="auto"/>
              <w:rPr>
                <w:rFonts w:hint="eastAsia" w:ascii="宋体" w:hAnsi="宋体" w:eastAsia="宋体" w:cs="宋体"/>
                <w:b w:val="0"/>
                <w:bCs w:val="0"/>
                <w:color w:val="auto"/>
                <w:szCs w:val="21"/>
                <w:highlight w:val="none"/>
                <w:lang w:val="en-US" w:eastAsia="zh-CN"/>
              </w:rPr>
            </w:pPr>
            <w:r>
              <w:rPr>
                <w:rFonts w:hint="eastAsia" w:ascii="宋体" w:hAnsi="宋体" w:eastAsia="宋体" w:cs="宋体"/>
                <w:b w:val="0"/>
                <w:bCs w:val="0"/>
                <w:color w:val="auto"/>
                <w:szCs w:val="21"/>
                <w:highlight w:val="none"/>
                <w:lang w:val="en-US" w:eastAsia="zh-CN"/>
              </w:rPr>
              <w:t>为每件标本建立专属的“数字身份证”——通过唯一 ID二维码，构建“扫码即享全维度知识”的数字化交互体系。公众通过手机扫描标本旁的专属二维码，即可进入该物种的定制化数字档案页面，档案以“图文+ 多媒体+ 交互工具”三重形式呈现核心信息：</w:t>
            </w:r>
          </w:p>
          <w:p w14:paraId="6EF04E29">
            <w:pPr>
              <w:keepNext w:val="0"/>
              <w:keepLines w:val="0"/>
              <w:pageBreakBefore w:val="0"/>
              <w:widowControl/>
              <w:numPr>
                <w:ilvl w:val="0"/>
                <w:numId w:val="0"/>
              </w:numPr>
              <w:tabs>
                <w:tab w:val="left" w:pos="900"/>
                <w:tab w:val="left" w:pos="1080"/>
              </w:tabs>
              <w:kinsoku/>
              <w:wordWrap/>
              <w:overflowPunct/>
              <w:topLinePunct w:val="0"/>
              <w:autoSpaceDE/>
              <w:autoSpaceDN/>
              <w:bidi w:val="0"/>
              <w:adjustRightInd/>
              <w:snapToGrid/>
              <w:spacing w:line="360" w:lineRule="exact"/>
              <w:ind w:leftChars="0" w:firstLine="420" w:firstLineChars="200"/>
              <w:textAlignment w:val="auto"/>
              <w:rPr>
                <w:rFonts w:hint="eastAsia" w:ascii="宋体" w:hAnsi="宋体" w:eastAsia="宋体" w:cs="宋体"/>
                <w:b w:val="0"/>
                <w:bCs w:val="0"/>
                <w:color w:val="auto"/>
                <w:szCs w:val="21"/>
                <w:highlight w:val="none"/>
                <w:lang w:val="en-US" w:eastAsia="zh-CN"/>
              </w:rPr>
            </w:pPr>
            <w:r>
              <w:rPr>
                <w:rFonts w:hint="eastAsia" w:ascii="宋体" w:hAnsi="宋体" w:eastAsia="宋体" w:cs="宋体"/>
                <w:b w:val="0"/>
                <w:bCs w:val="0"/>
                <w:color w:val="auto"/>
                <w:szCs w:val="21"/>
                <w:highlight w:val="none"/>
                <w:lang w:val="en-US" w:eastAsia="zh-CN"/>
              </w:rPr>
              <w:t>在基础信息层面，除清晰标注物种形态特征、生态功能、濒危等级外，特别补充“ 西津湿地专属信息”——包括物种在湿地内的具体分布区域、季节性活动规律（如鱼类繁殖期、植物花果期），让公众直观感知物种与湿地生态的紧密关联。</w:t>
            </w:r>
          </w:p>
          <w:p w14:paraId="78E4B5D2">
            <w:pPr>
              <w:keepNext w:val="0"/>
              <w:keepLines w:val="0"/>
              <w:pageBreakBefore w:val="0"/>
              <w:widowControl/>
              <w:numPr>
                <w:ilvl w:val="0"/>
                <w:numId w:val="0"/>
              </w:numPr>
              <w:tabs>
                <w:tab w:val="left" w:pos="900"/>
                <w:tab w:val="left" w:pos="1080"/>
              </w:tabs>
              <w:kinsoku/>
              <w:wordWrap/>
              <w:overflowPunct/>
              <w:topLinePunct w:val="0"/>
              <w:autoSpaceDE/>
              <w:autoSpaceDN/>
              <w:bidi w:val="0"/>
              <w:adjustRightInd/>
              <w:snapToGrid/>
              <w:spacing w:line="360" w:lineRule="exact"/>
              <w:ind w:leftChars="0" w:firstLine="420" w:firstLineChars="200"/>
              <w:textAlignment w:val="auto"/>
              <w:rPr>
                <w:rFonts w:hint="eastAsia" w:ascii="宋体" w:hAnsi="宋体" w:eastAsia="宋体" w:cs="宋体"/>
                <w:b w:val="0"/>
                <w:bCs w:val="0"/>
                <w:color w:val="auto"/>
                <w:szCs w:val="21"/>
                <w:highlight w:val="none"/>
                <w:lang w:val="en-US" w:eastAsia="zh-CN"/>
              </w:rPr>
            </w:pPr>
            <w:r>
              <w:rPr>
                <w:rFonts w:hint="eastAsia" w:ascii="宋体" w:hAnsi="宋体" w:eastAsia="宋体" w:cs="宋体"/>
                <w:b w:val="0"/>
                <w:bCs w:val="0"/>
                <w:color w:val="auto"/>
                <w:szCs w:val="21"/>
                <w:highlight w:val="none"/>
                <w:lang w:val="en-US" w:eastAsia="zh-CN"/>
              </w:rPr>
              <w:t>在深度知识传递层面，档案配套两大特色模块：一是科学家原声解读，结合标本细节讲解“实用知识点”，兼顾专业性与通俗性；二是交互式生态链关系图，以标本物种为核心节点，用不同颜色线条动态连接其天敌、猎物及共生生物，帮助公众系统理解湿地食物网的平衡逻辑。</w:t>
            </w:r>
          </w:p>
          <w:p w14:paraId="650B0297">
            <w:pPr>
              <w:keepNext w:val="0"/>
              <w:keepLines w:val="0"/>
              <w:pageBreakBefore w:val="0"/>
              <w:widowControl/>
              <w:numPr>
                <w:ilvl w:val="0"/>
                <w:numId w:val="0"/>
              </w:numPr>
              <w:tabs>
                <w:tab w:val="left" w:pos="900"/>
                <w:tab w:val="left" w:pos="1080"/>
              </w:tabs>
              <w:kinsoku/>
              <w:wordWrap/>
              <w:overflowPunct/>
              <w:topLinePunct w:val="0"/>
              <w:autoSpaceDE/>
              <w:autoSpaceDN/>
              <w:bidi w:val="0"/>
              <w:adjustRightInd/>
              <w:snapToGrid/>
              <w:spacing w:line="360" w:lineRule="exact"/>
              <w:ind w:leftChars="0" w:firstLine="420" w:firstLineChars="200"/>
              <w:textAlignment w:val="auto"/>
              <w:rPr>
                <w:rFonts w:hint="eastAsia" w:ascii="宋体" w:hAnsi="宋体" w:eastAsia="宋体" w:cs="宋体"/>
                <w:b w:val="0"/>
                <w:bCs w:val="0"/>
                <w:color w:val="auto"/>
                <w:szCs w:val="21"/>
                <w:highlight w:val="none"/>
                <w:lang w:val="en-US" w:eastAsia="zh-CN"/>
              </w:rPr>
            </w:pPr>
            <w:r>
              <w:rPr>
                <w:rFonts w:hint="eastAsia" w:ascii="宋体" w:hAnsi="宋体" w:eastAsia="宋体" w:cs="宋体"/>
                <w:b w:val="0"/>
                <w:bCs w:val="0"/>
                <w:color w:val="auto"/>
                <w:szCs w:val="21"/>
                <w:highlight w:val="none"/>
                <w:lang w:val="en-US" w:eastAsia="zh-CN"/>
              </w:rPr>
              <w:t>2.“实物观察+数字延伸 ”双轨教育模式：构建“线下感知-线上深化-实践参与”闭环</w:t>
            </w:r>
            <w:r>
              <w:rPr>
                <w:rFonts w:hint="eastAsia" w:ascii="宋体" w:hAnsi="宋体" w:cs="宋体"/>
                <w:b w:val="0"/>
                <w:bCs w:val="0"/>
                <w:color w:val="auto"/>
                <w:szCs w:val="21"/>
                <w:highlight w:val="none"/>
                <w:lang w:val="en-US" w:eastAsia="zh-CN"/>
              </w:rPr>
              <w:t>。</w:t>
            </w:r>
          </w:p>
          <w:p w14:paraId="0BCDDA62">
            <w:pPr>
              <w:keepNext w:val="0"/>
              <w:keepLines w:val="0"/>
              <w:pageBreakBefore w:val="0"/>
              <w:widowControl/>
              <w:numPr>
                <w:ilvl w:val="0"/>
                <w:numId w:val="0"/>
              </w:numPr>
              <w:tabs>
                <w:tab w:val="left" w:pos="900"/>
                <w:tab w:val="left" w:pos="1080"/>
              </w:tabs>
              <w:kinsoku/>
              <w:wordWrap/>
              <w:overflowPunct/>
              <w:topLinePunct w:val="0"/>
              <w:autoSpaceDE/>
              <w:autoSpaceDN/>
              <w:bidi w:val="0"/>
              <w:adjustRightInd/>
              <w:snapToGrid/>
              <w:spacing w:line="360" w:lineRule="exact"/>
              <w:ind w:leftChars="0" w:firstLine="420" w:firstLineChars="200"/>
              <w:textAlignment w:val="auto"/>
              <w:rPr>
                <w:rFonts w:hint="eastAsia" w:ascii="宋体" w:hAnsi="宋体" w:eastAsia="宋体" w:cs="宋体"/>
                <w:b w:val="0"/>
                <w:bCs w:val="0"/>
                <w:color w:val="auto"/>
                <w:szCs w:val="21"/>
                <w:highlight w:val="none"/>
                <w:lang w:val="en-US" w:eastAsia="zh-CN"/>
              </w:rPr>
            </w:pPr>
            <w:r>
              <w:rPr>
                <w:rFonts w:hint="eastAsia" w:ascii="宋体" w:hAnsi="宋体" w:eastAsia="宋体" w:cs="宋体"/>
                <w:b w:val="0"/>
                <w:bCs w:val="0"/>
                <w:color w:val="auto"/>
                <w:szCs w:val="21"/>
                <w:highlight w:val="none"/>
                <w:lang w:val="en-US" w:eastAsia="zh-CN"/>
              </w:rPr>
              <w:t>突破传统标本展示“信息单一、互动薄弱”的局限，创新打造“线下直观体验+ 线上深度延伸 ”的联动教育体系，让科普从“被动观看”升级为“主动参与”。</w:t>
            </w:r>
          </w:p>
          <w:p w14:paraId="4B2D245B">
            <w:pPr>
              <w:keepNext w:val="0"/>
              <w:keepLines w:val="0"/>
              <w:pageBreakBefore w:val="0"/>
              <w:widowControl/>
              <w:numPr>
                <w:ilvl w:val="0"/>
                <w:numId w:val="0"/>
              </w:numPr>
              <w:tabs>
                <w:tab w:val="left" w:pos="900"/>
                <w:tab w:val="left" w:pos="1080"/>
              </w:tabs>
              <w:kinsoku/>
              <w:wordWrap/>
              <w:overflowPunct/>
              <w:topLinePunct w:val="0"/>
              <w:autoSpaceDE/>
              <w:autoSpaceDN/>
              <w:bidi w:val="0"/>
              <w:adjustRightInd/>
              <w:snapToGrid/>
              <w:spacing w:line="360" w:lineRule="exact"/>
              <w:ind w:leftChars="0" w:firstLine="420" w:firstLineChars="200"/>
              <w:textAlignment w:val="auto"/>
              <w:rPr>
                <w:rFonts w:hint="eastAsia" w:ascii="宋体" w:hAnsi="宋体" w:eastAsia="宋体" w:cs="宋体"/>
                <w:b w:val="0"/>
                <w:bCs w:val="0"/>
                <w:color w:val="auto"/>
                <w:szCs w:val="21"/>
                <w:highlight w:val="none"/>
                <w:lang w:val="en-US" w:eastAsia="zh-CN"/>
              </w:rPr>
            </w:pPr>
            <w:r>
              <w:rPr>
                <w:rFonts w:hint="eastAsia" w:ascii="宋体" w:hAnsi="宋体" w:eastAsia="宋体" w:cs="宋体"/>
                <w:b w:val="0"/>
                <w:bCs w:val="0"/>
                <w:color w:val="auto"/>
                <w:szCs w:val="21"/>
                <w:highlight w:val="none"/>
                <w:lang w:val="en-US" w:eastAsia="zh-CN"/>
              </w:rPr>
              <w:t>双轨模式的核心价值在于：线下实物为公众提供“看得见、摸得着”的直观认知基础，线上数字平台则打破时空限制，将知识从“标本本身”延伸至“ 生态关联、保护实践”，最终形成“线下看标本→线上学知识→现场做贡献”的完整科普闭环，既解决了传统标本展示“信息有限”的问题，又为公众参与湿地保护提供了生动、可落地的载体。</w:t>
            </w:r>
          </w:p>
          <w:p w14:paraId="372CA937">
            <w:pPr>
              <w:keepNext w:val="0"/>
              <w:keepLines w:val="0"/>
              <w:pageBreakBefore w:val="0"/>
              <w:widowControl/>
              <w:numPr>
                <w:ilvl w:val="0"/>
                <w:numId w:val="0"/>
              </w:numPr>
              <w:tabs>
                <w:tab w:val="left" w:pos="900"/>
                <w:tab w:val="left" w:pos="1080"/>
              </w:tabs>
              <w:kinsoku/>
              <w:wordWrap/>
              <w:overflowPunct/>
              <w:topLinePunct w:val="0"/>
              <w:autoSpaceDE/>
              <w:autoSpaceDN/>
              <w:bidi w:val="0"/>
              <w:adjustRightInd/>
              <w:snapToGrid/>
              <w:spacing w:line="360" w:lineRule="exact"/>
              <w:ind w:leftChars="0" w:firstLine="422" w:firstLineChars="200"/>
              <w:textAlignment w:val="auto"/>
              <w:rPr>
                <w:rFonts w:hint="eastAsia" w:ascii="宋体" w:hAnsi="宋体" w:eastAsia="宋体" w:cs="宋体"/>
                <w:b/>
                <w:bCs/>
                <w:color w:val="auto"/>
                <w:szCs w:val="21"/>
                <w:highlight w:val="none"/>
                <w:lang w:val="en-US" w:eastAsia="zh-CN"/>
              </w:rPr>
            </w:pPr>
            <w:r>
              <w:rPr>
                <w:rFonts w:hint="eastAsia" w:ascii="宋体" w:hAnsi="宋体" w:cs="宋体"/>
                <w:b/>
                <w:bCs/>
                <w:color w:val="auto"/>
                <w:szCs w:val="21"/>
                <w:highlight w:val="none"/>
                <w:lang w:val="en-US" w:eastAsia="zh-CN"/>
              </w:rPr>
              <w:t>3、</w:t>
            </w:r>
            <w:r>
              <w:rPr>
                <w:rFonts w:hint="eastAsia" w:ascii="宋体" w:hAnsi="宋体" w:eastAsia="宋体" w:cs="宋体"/>
                <w:b/>
                <w:bCs/>
                <w:color w:val="auto"/>
                <w:szCs w:val="21"/>
                <w:highlight w:val="none"/>
                <w:lang w:val="en-US" w:eastAsia="zh-CN"/>
              </w:rPr>
              <w:t>湿地科普宣传系列活动</w:t>
            </w:r>
          </w:p>
          <w:p w14:paraId="3D67B598">
            <w:pPr>
              <w:keepNext w:val="0"/>
              <w:keepLines w:val="0"/>
              <w:pageBreakBefore w:val="0"/>
              <w:widowControl/>
              <w:numPr>
                <w:ilvl w:val="0"/>
                <w:numId w:val="0"/>
              </w:numPr>
              <w:tabs>
                <w:tab w:val="left" w:pos="900"/>
                <w:tab w:val="left" w:pos="1080"/>
              </w:tabs>
              <w:kinsoku/>
              <w:wordWrap/>
              <w:overflowPunct/>
              <w:topLinePunct w:val="0"/>
              <w:autoSpaceDE/>
              <w:autoSpaceDN/>
              <w:bidi w:val="0"/>
              <w:adjustRightInd/>
              <w:snapToGrid/>
              <w:spacing w:line="360" w:lineRule="exact"/>
              <w:ind w:leftChars="0" w:firstLine="420" w:firstLineChars="200"/>
              <w:textAlignment w:val="auto"/>
              <w:rPr>
                <w:rFonts w:hint="eastAsia" w:ascii="宋体" w:hAnsi="宋体" w:eastAsia="宋体" w:cs="宋体"/>
                <w:b w:val="0"/>
                <w:bCs w:val="0"/>
                <w:color w:val="auto"/>
                <w:szCs w:val="21"/>
                <w:highlight w:val="none"/>
                <w:lang w:val="en-US" w:eastAsia="zh-CN"/>
              </w:rPr>
            </w:pPr>
            <w:r>
              <w:rPr>
                <w:rFonts w:hint="eastAsia" w:ascii="宋体" w:hAnsi="宋体" w:eastAsia="宋体" w:cs="宋体"/>
                <w:b w:val="0"/>
                <w:bCs w:val="0"/>
                <w:color w:val="auto"/>
                <w:szCs w:val="21"/>
                <w:highlight w:val="none"/>
                <w:lang w:val="en-US" w:eastAsia="zh-CN"/>
              </w:rPr>
              <w:t>开展10期湿地科普宣传活动旨在系统提升公众对湿地生态系统功能与价值的认知，阐明其在维护生态安全、保障水资源、支撑经济发展及文化传承中的关键作用；揭示当前湿地面临的主要威胁与退化危机；最终激发社会各界的保护意识与责任感，引导公众积极参与湿地保护、修复及可持续利用的实践行动，共同营造珍视湿地、守护湿地的社会风尚，促进人与自然和谐共生。</w:t>
            </w:r>
          </w:p>
          <w:p w14:paraId="3E1AD771">
            <w:pPr>
              <w:keepNext w:val="0"/>
              <w:keepLines w:val="0"/>
              <w:pageBreakBefore w:val="0"/>
              <w:widowControl/>
              <w:numPr>
                <w:ilvl w:val="0"/>
                <w:numId w:val="0"/>
              </w:numPr>
              <w:tabs>
                <w:tab w:val="left" w:pos="900"/>
                <w:tab w:val="left" w:pos="1080"/>
              </w:tabs>
              <w:kinsoku/>
              <w:wordWrap/>
              <w:overflowPunct/>
              <w:topLinePunct w:val="0"/>
              <w:autoSpaceDE/>
              <w:autoSpaceDN/>
              <w:bidi w:val="0"/>
              <w:adjustRightInd/>
              <w:snapToGrid/>
              <w:spacing w:line="360" w:lineRule="exact"/>
              <w:ind w:leftChars="0" w:firstLine="420" w:firstLineChars="200"/>
              <w:textAlignment w:val="auto"/>
              <w:rPr>
                <w:rFonts w:hint="eastAsia" w:ascii="宋体" w:hAnsi="宋体" w:eastAsia="宋体" w:cs="宋体"/>
                <w:b w:val="0"/>
                <w:bCs w:val="0"/>
                <w:color w:val="auto"/>
                <w:szCs w:val="21"/>
                <w:highlight w:val="none"/>
                <w:lang w:val="en-US" w:eastAsia="zh-CN"/>
              </w:rPr>
            </w:pPr>
            <w:r>
              <w:rPr>
                <w:rFonts w:hint="eastAsia" w:ascii="宋体" w:hAnsi="宋体" w:eastAsia="宋体" w:cs="宋体"/>
                <w:b w:val="0"/>
                <w:bCs w:val="0"/>
                <w:color w:val="auto"/>
                <w:szCs w:val="21"/>
                <w:highlight w:val="none"/>
                <w:lang w:val="en-US" w:eastAsia="zh-CN"/>
              </w:rPr>
              <w:t>增设1套自助导览系统，活动时段公众可扫码或佩戴耳机自主参观，缓解宣教馆讲解员紧缺；同步增配2套无线讲解接收器，老师一对多讲解时信号全覆盖，确保每句话清晰直达，实现“无人亦导、有人的双模式解说</w:t>
            </w:r>
            <w:r>
              <w:rPr>
                <w:rFonts w:hint="eastAsia" w:ascii="宋体" w:hAnsi="宋体" w:cs="宋体"/>
                <w:b w:val="0"/>
                <w:bCs w:val="0"/>
                <w:color w:val="auto"/>
                <w:szCs w:val="21"/>
                <w:highlight w:val="none"/>
                <w:lang w:val="en-US" w:eastAsia="zh-CN"/>
              </w:rPr>
              <w:t>”</w:t>
            </w:r>
            <w:r>
              <w:rPr>
                <w:rFonts w:hint="eastAsia" w:ascii="宋体" w:hAnsi="宋体" w:eastAsia="宋体" w:cs="宋体"/>
                <w:b w:val="0"/>
                <w:bCs w:val="0"/>
                <w:color w:val="auto"/>
                <w:szCs w:val="21"/>
                <w:highlight w:val="none"/>
                <w:lang w:val="en-US" w:eastAsia="zh-CN"/>
              </w:rPr>
              <w:t>。</w:t>
            </w:r>
          </w:p>
          <w:p w14:paraId="100FA165">
            <w:pPr>
              <w:keepNext w:val="0"/>
              <w:keepLines w:val="0"/>
              <w:pageBreakBefore w:val="0"/>
              <w:widowControl/>
              <w:numPr>
                <w:ilvl w:val="0"/>
                <w:numId w:val="0"/>
              </w:numPr>
              <w:tabs>
                <w:tab w:val="left" w:pos="900"/>
                <w:tab w:val="left" w:pos="1080"/>
              </w:tabs>
              <w:kinsoku/>
              <w:wordWrap/>
              <w:overflowPunct/>
              <w:topLinePunct w:val="0"/>
              <w:autoSpaceDE/>
              <w:autoSpaceDN/>
              <w:bidi w:val="0"/>
              <w:adjustRightInd/>
              <w:snapToGrid/>
              <w:spacing w:line="360" w:lineRule="exact"/>
              <w:textAlignment w:val="auto"/>
              <w:rPr>
                <w:rFonts w:hint="default" w:ascii="宋体" w:hAnsi="宋体" w:eastAsia="宋体" w:cs="宋体"/>
                <w:b w:val="0"/>
                <w:bCs w:val="0"/>
                <w:color w:val="auto"/>
                <w:kern w:val="2"/>
                <w:sz w:val="21"/>
                <w:szCs w:val="21"/>
                <w:highlight w:val="none"/>
                <w:lang w:val="en-US" w:eastAsia="zh-CN" w:bidi="ar-SA"/>
              </w:rPr>
            </w:pPr>
            <w:r>
              <w:rPr>
                <w:rFonts w:hint="eastAsia" w:ascii="宋体" w:hAnsi="宋体" w:cs="宋体"/>
                <w:b w:val="0"/>
                <w:bCs w:val="0"/>
                <w:color w:val="auto"/>
                <w:kern w:val="2"/>
                <w:sz w:val="21"/>
                <w:szCs w:val="21"/>
                <w:highlight w:val="none"/>
                <w:lang w:val="en-US" w:eastAsia="zh-CN" w:bidi="ar-SA"/>
              </w:rPr>
              <w:t xml:space="preserve">   湿地科普宣传系列详见附表3“湿地科普宣传系列活动详情表”</w:t>
            </w:r>
          </w:p>
        </w:tc>
        <w:tc>
          <w:tcPr>
            <w:tcW w:w="1173" w:type="dxa"/>
            <w:tcBorders>
              <w:top w:val="single" w:color="auto" w:sz="4" w:space="0"/>
              <w:left w:val="single" w:color="auto" w:sz="4" w:space="0"/>
              <w:bottom w:val="single" w:color="auto" w:sz="4" w:space="0"/>
              <w:right w:val="single" w:color="auto" w:sz="4" w:space="0"/>
            </w:tcBorders>
            <w:noWrap w:val="0"/>
            <w:vAlign w:val="center"/>
          </w:tcPr>
          <w:p w14:paraId="45D3C007">
            <w:pPr>
              <w:keepNext w:val="0"/>
              <w:keepLines w:val="0"/>
              <w:pageBreakBefore w:val="0"/>
              <w:kinsoku/>
              <w:wordWrap/>
              <w:overflowPunct/>
              <w:topLinePunct w:val="0"/>
              <w:autoSpaceDE/>
              <w:autoSpaceDN/>
              <w:bidi w:val="0"/>
              <w:adjustRightInd/>
              <w:snapToGrid/>
              <w:spacing w:line="360" w:lineRule="exact"/>
              <w:jc w:val="center"/>
              <w:textAlignment w:val="auto"/>
              <w:rPr>
                <w:rFonts w:hint="eastAsia" w:ascii="宋体" w:hAnsi="宋体" w:eastAsia="宋体" w:cs="宋体"/>
                <w:b/>
                <w:bCs/>
                <w:color w:val="auto"/>
                <w:szCs w:val="21"/>
                <w:highlight w:val="none"/>
                <w:lang w:val="en-US" w:eastAsia="zh-CN"/>
              </w:rPr>
            </w:pPr>
            <w:r>
              <w:rPr>
                <w:rFonts w:hint="eastAsia" w:ascii="宋体" w:hAnsi="宋体" w:eastAsia="宋体" w:cs="宋体"/>
                <w:b/>
                <w:bCs/>
                <w:color w:val="auto"/>
                <w:szCs w:val="21"/>
                <w:highlight w:val="none"/>
                <w:lang w:val="en-US" w:eastAsia="zh-CN"/>
              </w:rPr>
              <w:t>其他未列明行业</w:t>
            </w:r>
          </w:p>
        </w:tc>
      </w:tr>
      <w:tr w14:paraId="1CE8F58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24" w:hRule="atLeast"/>
          <w:jc w:val="center"/>
        </w:trPr>
        <w:tc>
          <w:tcPr>
            <w:tcW w:w="545" w:type="dxa"/>
            <w:tcBorders>
              <w:top w:val="single" w:color="auto" w:sz="4" w:space="0"/>
              <w:left w:val="single" w:color="auto" w:sz="4" w:space="0"/>
              <w:bottom w:val="single" w:color="auto" w:sz="4" w:space="0"/>
              <w:right w:val="single" w:color="auto" w:sz="4" w:space="0"/>
            </w:tcBorders>
            <w:noWrap w:val="0"/>
            <w:vAlign w:val="center"/>
          </w:tcPr>
          <w:p w14:paraId="01200203">
            <w:pPr>
              <w:keepNext w:val="0"/>
              <w:keepLines w:val="0"/>
              <w:pageBreakBefore w:val="0"/>
              <w:kinsoku/>
              <w:wordWrap/>
              <w:overflowPunct/>
              <w:topLinePunct w:val="0"/>
              <w:autoSpaceDE/>
              <w:autoSpaceDN/>
              <w:bidi w:val="0"/>
              <w:adjustRightInd/>
              <w:snapToGrid/>
              <w:spacing w:line="360" w:lineRule="exact"/>
              <w:jc w:val="center"/>
              <w:textAlignment w:val="auto"/>
              <w:rPr>
                <w:rFonts w:hint="eastAsia" w:ascii="宋体" w:hAnsi="宋体" w:eastAsia="宋体" w:cs="宋体"/>
                <w:color w:val="auto"/>
                <w:highlight w:val="none"/>
              </w:rPr>
            </w:pPr>
          </w:p>
          <w:p w14:paraId="07A86A1B">
            <w:pPr>
              <w:keepNext w:val="0"/>
              <w:keepLines w:val="0"/>
              <w:pageBreakBefore w:val="0"/>
              <w:kinsoku/>
              <w:wordWrap/>
              <w:overflowPunct/>
              <w:topLinePunct w:val="0"/>
              <w:autoSpaceDE/>
              <w:autoSpaceDN/>
              <w:bidi w:val="0"/>
              <w:adjustRightInd/>
              <w:snapToGrid/>
              <w:spacing w:line="360" w:lineRule="exact"/>
              <w:jc w:val="center"/>
              <w:textAlignment w:val="auto"/>
              <w:rPr>
                <w:rFonts w:hint="eastAsia" w:ascii="宋体" w:hAnsi="宋体" w:eastAsia="宋体" w:cs="宋体"/>
                <w:color w:val="auto"/>
                <w:highlight w:val="none"/>
              </w:rPr>
            </w:pPr>
            <w:r>
              <w:rPr>
                <w:rFonts w:hint="eastAsia" w:ascii="宋体" w:hAnsi="宋体" w:eastAsia="宋体" w:cs="宋体"/>
                <w:color w:val="auto"/>
                <w:highlight w:val="none"/>
              </w:rPr>
              <w:t>商务条款</w:t>
            </w:r>
          </w:p>
        </w:tc>
        <w:tc>
          <w:tcPr>
            <w:tcW w:w="9576" w:type="dxa"/>
            <w:gridSpan w:val="6"/>
            <w:tcBorders>
              <w:top w:val="single" w:color="auto" w:sz="4" w:space="0"/>
              <w:left w:val="single" w:color="auto" w:sz="4" w:space="0"/>
              <w:bottom w:val="single" w:color="auto" w:sz="4" w:space="0"/>
              <w:right w:val="single" w:color="auto" w:sz="4" w:space="0"/>
            </w:tcBorders>
            <w:noWrap w:val="0"/>
            <w:vAlign w:val="top"/>
          </w:tcPr>
          <w:p w14:paraId="068AFE99">
            <w:pPr>
              <w:keepNext w:val="0"/>
              <w:keepLines w:val="0"/>
              <w:pageBreakBefore w:val="0"/>
              <w:widowControl/>
              <w:kinsoku/>
              <w:wordWrap/>
              <w:overflowPunct/>
              <w:topLinePunct w:val="0"/>
              <w:autoSpaceDE/>
              <w:autoSpaceDN/>
              <w:bidi w:val="0"/>
              <w:adjustRightInd/>
              <w:snapToGrid/>
              <w:spacing w:line="360" w:lineRule="exact"/>
              <w:jc w:val="left"/>
              <w:textAlignment w:val="auto"/>
              <w:rPr>
                <w:rFonts w:hint="eastAsia" w:ascii="宋体" w:hAnsi="宋体" w:eastAsia="宋体" w:cs="宋体"/>
                <w:color w:val="auto"/>
                <w:kern w:val="0"/>
                <w:szCs w:val="21"/>
                <w:highlight w:val="none"/>
              </w:rPr>
            </w:pPr>
            <w:r>
              <w:rPr>
                <w:rFonts w:hint="eastAsia" w:ascii="宋体" w:hAnsi="宋体" w:eastAsia="宋体" w:cs="宋体"/>
                <w:b/>
                <w:bCs/>
                <w:color w:val="auto"/>
                <w:kern w:val="0"/>
                <w:szCs w:val="21"/>
                <w:highlight w:val="none"/>
              </w:rPr>
              <w:t>一、合同签订期：</w:t>
            </w:r>
            <w:r>
              <w:rPr>
                <w:rFonts w:hint="eastAsia" w:ascii="宋体" w:hAnsi="宋体" w:eastAsia="宋体" w:cs="宋体"/>
                <w:color w:val="auto"/>
                <w:kern w:val="0"/>
                <w:szCs w:val="21"/>
                <w:highlight w:val="none"/>
              </w:rPr>
              <w:t>自</w:t>
            </w:r>
            <w:r>
              <w:rPr>
                <w:rFonts w:hint="eastAsia" w:ascii="宋体" w:hAnsi="宋体" w:cs="宋体"/>
                <w:color w:val="auto"/>
                <w:kern w:val="0"/>
                <w:szCs w:val="21"/>
                <w:highlight w:val="none"/>
                <w:lang w:val="en-US" w:eastAsia="zh-CN"/>
              </w:rPr>
              <w:t>中标</w:t>
            </w:r>
            <w:r>
              <w:rPr>
                <w:rFonts w:hint="eastAsia" w:ascii="宋体" w:hAnsi="宋体" w:eastAsia="宋体" w:cs="宋体"/>
                <w:color w:val="auto"/>
                <w:kern w:val="0"/>
                <w:szCs w:val="21"/>
                <w:highlight w:val="none"/>
              </w:rPr>
              <w:t>通知书发出之日起25日内。</w:t>
            </w:r>
          </w:p>
          <w:p w14:paraId="78A0C3B3">
            <w:pPr>
              <w:keepNext w:val="0"/>
              <w:keepLines w:val="0"/>
              <w:pageBreakBefore w:val="0"/>
              <w:widowControl/>
              <w:kinsoku/>
              <w:wordWrap/>
              <w:overflowPunct/>
              <w:topLinePunct w:val="0"/>
              <w:autoSpaceDE/>
              <w:autoSpaceDN/>
              <w:bidi w:val="0"/>
              <w:adjustRightInd/>
              <w:snapToGrid/>
              <w:spacing w:line="360" w:lineRule="exact"/>
              <w:jc w:val="left"/>
              <w:textAlignment w:val="auto"/>
              <w:rPr>
                <w:rFonts w:hint="eastAsia" w:ascii="宋体" w:hAnsi="宋体" w:eastAsia="宋体" w:cs="宋体"/>
                <w:b/>
                <w:bCs/>
                <w:color w:val="auto"/>
                <w:kern w:val="0"/>
                <w:szCs w:val="21"/>
                <w:highlight w:val="none"/>
              </w:rPr>
            </w:pPr>
            <w:r>
              <w:rPr>
                <w:rFonts w:hint="eastAsia" w:ascii="宋体" w:hAnsi="宋体" w:eastAsia="宋体" w:cs="宋体"/>
                <w:b/>
                <w:bCs/>
                <w:color w:val="auto"/>
                <w:kern w:val="0"/>
                <w:szCs w:val="21"/>
                <w:highlight w:val="none"/>
              </w:rPr>
              <w:t>▲二、</w:t>
            </w:r>
            <w:r>
              <w:rPr>
                <w:rFonts w:hint="eastAsia" w:ascii="宋体" w:hAnsi="宋体" w:eastAsia="宋体" w:cs="宋体"/>
                <w:b/>
                <w:bCs/>
                <w:color w:val="auto"/>
                <w:kern w:val="0"/>
                <w:szCs w:val="21"/>
                <w:highlight w:val="none"/>
                <w:lang w:val="en-US" w:eastAsia="zh-CN"/>
              </w:rPr>
              <w:t>提交服务成果时间</w:t>
            </w:r>
            <w:r>
              <w:rPr>
                <w:rFonts w:hint="eastAsia" w:ascii="宋体" w:hAnsi="宋体" w:eastAsia="宋体" w:cs="宋体"/>
                <w:b/>
                <w:bCs/>
                <w:color w:val="auto"/>
                <w:kern w:val="0"/>
                <w:szCs w:val="21"/>
                <w:highlight w:val="none"/>
              </w:rPr>
              <w:t>：自本合同签订生效之日起于2026年11月前完成标本制作、导览讲解设备采购、场馆维护；10场湿地科普宣教活动全部在2026年11月底前实施完毕，全部资料归档验收工作于 2027年6月30日前完成。</w:t>
            </w:r>
          </w:p>
          <w:p w14:paraId="15834ACE">
            <w:pPr>
              <w:keepNext w:val="0"/>
              <w:keepLines w:val="0"/>
              <w:pageBreakBefore w:val="0"/>
              <w:widowControl/>
              <w:shd w:val="clear" w:color="auto" w:fill="FFFFFF"/>
              <w:kinsoku/>
              <w:wordWrap/>
              <w:overflowPunct/>
              <w:topLinePunct w:val="0"/>
              <w:autoSpaceDE/>
              <w:autoSpaceDN/>
              <w:bidi w:val="0"/>
              <w:adjustRightInd/>
              <w:snapToGrid/>
              <w:spacing w:line="360" w:lineRule="exact"/>
              <w:textAlignment w:val="auto"/>
              <w:rPr>
                <w:rFonts w:hint="eastAsia" w:ascii="宋体" w:hAnsi="宋体" w:eastAsia="宋体" w:cs="宋体"/>
                <w:bCs/>
                <w:color w:val="auto"/>
                <w:highlight w:val="none"/>
                <w:u w:val="single"/>
              </w:rPr>
            </w:pPr>
            <w:r>
              <w:rPr>
                <w:rFonts w:hint="eastAsia" w:ascii="宋体" w:hAnsi="宋体" w:eastAsia="宋体" w:cs="宋体"/>
                <w:b/>
                <w:bCs/>
                <w:color w:val="auto"/>
                <w:highlight w:val="none"/>
              </w:rPr>
              <w:t>三、提交服务地点</w:t>
            </w:r>
            <w:r>
              <w:rPr>
                <w:rFonts w:hint="eastAsia" w:ascii="宋体" w:hAnsi="宋体" w:eastAsia="宋体" w:cs="宋体"/>
                <w:bCs/>
                <w:color w:val="auto"/>
                <w:highlight w:val="none"/>
              </w:rPr>
              <w:t>：采购人指定地点。</w:t>
            </w:r>
          </w:p>
          <w:p w14:paraId="1641A768">
            <w:pPr>
              <w:keepNext w:val="0"/>
              <w:keepLines w:val="0"/>
              <w:pageBreakBefore w:val="0"/>
              <w:widowControl/>
              <w:kinsoku/>
              <w:wordWrap/>
              <w:overflowPunct/>
              <w:topLinePunct w:val="0"/>
              <w:autoSpaceDE/>
              <w:autoSpaceDN/>
              <w:bidi w:val="0"/>
              <w:adjustRightInd/>
              <w:snapToGrid/>
              <w:spacing w:line="360" w:lineRule="exact"/>
              <w:jc w:val="left"/>
              <w:textAlignment w:val="auto"/>
              <w:rPr>
                <w:rFonts w:hint="eastAsia" w:ascii="宋体" w:hAnsi="宋体" w:eastAsia="宋体" w:cs="宋体"/>
                <w:b/>
                <w:bCs/>
                <w:color w:val="auto"/>
                <w:highlight w:val="none"/>
                <w:lang w:val="en-US" w:eastAsia="zh-CN"/>
              </w:rPr>
            </w:pPr>
            <w:r>
              <w:rPr>
                <w:rFonts w:hint="eastAsia" w:ascii="宋体" w:hAnsi="宋体" w:eastAsia="宋体" w:cs="宋体"/>
                <w:b/>
                <w:bCs/>
                <w:color w:val="auto"/>
                <w:highlight w:val="none"/>
                <w:lang w:val="en-US" w:eastAsia="zh-CN"/>
              </w:rPr>
              <w:t>四、售后服务要求：</w:t>
            </w:r>
          </w:p>
          <w:p w14:paraId="3C40149B">
            <w:pPr>
              <w:keepNext w:val="0"/>
              <w:keepLines w:val="0"/>
              <w:pageBreakBefore w:val="0"/>
              <w:widowControl/>
              <w:kinsoku/>
              <w:wordWrap/>
              <w:overflowPunct/>
              <w:topLinePunct w:val="0"/>
              <w:autoSpaceDE/>
              <w:autoSpaceDN/>
              <w:bidi w:val="0"/>
              <w:adjustRightInd/>
              <w:snapToGrid/>
              <w:spacing w:line="360" w:lineRule="exact"/>
              <w:jc w:val="left"/>
              <w:textAlignment w:val="auto"/>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1）质量保证期：质量保证期1年，从项目验收合格之日起计算，质保期内标识破损或陈旧，</w:t>
            </w:r>
            <w:r>
              <w:rPr>
                <w:rFonts w:hint="eastAsia" w:ascii="宋体" w:hAnsi="宋体" w:cs="宋体"/>
                <w:color w:val="auto"/>
                <w:highlight w:val="none"/>
                <w:lang w:val="en-US" w:eastAsia="zh-CN"/>
              </w:rPr>
              <w:t>中标</w:t>
            </w:r>
            <w:r>
              <w:rPr>
                <w:rFonts w:hint="eastAsia" w:ascii="宋体" w:hAnsi="宋体" w:eastAsia="宋体" w:cs="宋体"/>
                <w:color w:val="auto"/>
                <w:highlight w:val="none"/>
                <w:lang w:val="en-US" w:eastAsia="zh-CN"/>
              </w:rPr>
              <w:t>供应商负责免费维修或更换。</w:t>
            </w:r>
          </w:p>
          <w:p w14:paraId="7B8869F4">
            <w:pPr>
              <w:keepNext w:val="0"/>
              <w:keepLines w:val="0"/>
              <w:pageBreakBefore w:val="0"/>
              <w:widowControl/>
              <w:kinsoku/>
              <w:wordWrap/>
              <w:overflowPunct/>
              <w:topLinePunct w:val="0"/>
              <w:autoSpaceDE/>
              <w:autoSpaceDN/>
              <w:bidi w:val="0"/>
              <w:adjustRightInd/>
              <w:snapToGrid/>
              <w:spacing w:line="360" w:lineRule="exact"/>
              <w:jc w:val="left"/>
              <w:textAlignment w:val="auto"/>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2）售后响应时间：接到采购人处理问题通知后12小时内到达采购人指定现场，保障3天内处理（维修或更换）。</w:t>
            </w:r>
          </w:p>
          <w:p w14:paraId="27052236">
            <w:pPr>
              <w:keepNext w:val="0"/>
              <w:keepLines w:val="0"/>
              <w:pageBreakBefore w:val="0"/>
              <w:widowControl/>
              <w:numPr>
                <w:ilvl w:val="0"/>
                <w:numId w:val="0"/>
              </w:numPr>
              <w:kinsoku/>
              <w:wordWrap/>
              <w:overflowPunct/>
              <w:topLinePunct w:val="0"/>
              <w:autoSpaceDE/>
              <w:autoSpaceDN/>
              <w:bidi w:val="0"/>
              <w:adjustRightInd/>
              <w:snapToGrid/>
              <w:spacing w:line="360" w:lineRule="exact"/>
              <w:jc w:val="left"/>
              <w:textAlignment w:val="auto"/>
              <w:rPr>
                <w:rFonts w:hint="eastAsia" w:ascii="宋体" w:hAnsi="宋体" w:eastAsia="宋体" w:cs="宋体"/>
                <w:b/>
                <w:bCs/>
                <w:color w:val="auto"/>
                <w:spacing w:val="-3"/>
                <w:highlight w:val="none"/>
              </w:rPr>
            </w:pPr>
            <w:r>
              <w:rPr>
                <w:rFonts w:hint="eastAsia" w:ascii="宋体" w:hAnsi="宋体" w:eastAsia="宋体" w:cs="宋体"/>
                <w:b/>
                <w:bCs/>
                <w:color w:val="auto"/>
                <w:spacing w:val="-3"/>
                <w:kern w:val="2"/>
                <w:sz w:val="21"/>
                <w:szCs w:val="24"/>
                <w:lang w:val="en-US" w:eastAsia="zh-CN" w:bidi="ar-SA"/>
              </w:rPr>
              <w:t>五、</w:t>
            </w:r>
            <w:r>
              <w:rPr>
                <w:rFonts w:hint="eastAsia" w:ascii="宋体" w:hAnsi="宋体" w:eastAsia="宋体" w:cs="宋体"/>
                <w:b/>
                <w:bCs/>
                <w:color w:val="auto"/>
                <w:spacing w:val="-3"/>
                <w:highlight w:val="none"/>
              </w:rPr>
              <w:t>验收标准</w:t>
            </w:r>
          </w:p>
          <w:p w14:paraId="542765D8">
            <w:pPr>
              <w:keepNext w:val="0"/>
              <w:keepLines w:val="0"/>
              <w:pageBreakBefore w:val="0"/>
              <w:widowControl/>
              <w:kinsoku/>
              <w:wordWrap/>
              <w:overflowPunct/>
              <w:topLinePunct w:val="0"/>
              <w:autoSpaceDE/>
              <w:autoSpaceDN/>
              <w:bidi w:val="0"/>
              <w:adjustRightInd/>
              <w:snapToGrid/>
              <w:spacing w:line="360" w:lineRule="exact"/>
              <w:jc w:val="left"/>
              <w:textAlignment w:val="auto"/>
              <w:rPr>
                <w:rFonts w:hint="eastAsia" w:ascii="宋体" w:hAnsi="宋体" w:eastAsia="宋体" w:cs="宋体"/>
                <w:color w:val="auto"/>
                <w:highlight w:val="none"/>
                <w:lang w:val="en-US" w:eastAsia="zh-CN"/>
              </w:rPr>
            </w:pPr>
            <w:r>
              <w:rPr>
                <w:rFonts w:hint="eastAsia" w:ascii="宋体" w:hAnsi="宋体" w:eastAsia="宋体" w:cs="宋体"/>
                <w:color w:val="auto"/>
                <w:highlight w:val="none"/>
              </w:rPr>
              <w:t>符合现行国家相关标准、行业标准、地方标准或者其他标</w:t>
            </w:r>
            <w:r>
              <w:rPr>
                <w:rFonts w:hint="eastAsia" w:ascii="宋体" w:hAnsi="宋体" w:eastAsia="宋体" w:cs="宋体"/>
                <w:color w:val="auto"/>
                <w:spacing w:val="-1"/>
                <w:highlight w:val="none"/>
              </w:rPr>
              <w:t>准、规范</w:t>
            </w:r>
            <w:r>
              <w:rPr>
                <w:rFonts w:hint="eastAsia" w:ascii="宋体" w:hAnsi="宋体" w:eastAsia="宋体" w:cs="宋体"/>
                <w:color w:val="auto"/>
                <w:highlight w:val="none"/>
                <w:lang w:val="en-US" w:eastAsia="zh-CN"/>
              </w:rPr>
              <w:t>。</w:t>
            </w:r>
          </w:p>
          <w:p w14:paraId="48CB080C">
            <w:pPr>
              <w:keepNext w:val="0"/>
              <w:keepLines w:val="0"/>
              <w:pageBreakBefore w:val="0"/>
              <w:widowControl/>
              <w:kinsoku/>
              <w:wordWrap/>
              <w:overflowPunct/>
              <w:topLinePunct w:val="0"/>
              <w:autoSpaceDE/>
              <w:autoSpaceDN/>
              <w:bidi w:val="0"/>
              <w:adjustRightInd/>
              <w:snapToGrid/>
              <w:spacing w:line="360" w:lineRule="exact"/>
              <w:jc w:val="left"/>
              <w:textAlignment w:val="auto"/>
              <w:rPr>
                <w:rFonts w:hint="eastAsia" w:ascii="宋体" w:hAnsi="宋体" w:eastAsia="宋体" w:cs="宋体"/>
                <w:b/>
                <w:bCs/>
                <w:color w:val="auto"/>
                <w:highlight w:val="none"/>
                <w:lang w:val="en-US" w:eastAsia="zh-CN"/>
              </w:rPr>
            </w:pPr>
            <w:r>
              <w:rPr>
                <w:rFonts w:hint="eastAsia" w:ascii="宋体" w:hAnsi="宋体" w:eastAsia="宋体" w:cs="宋体"/>
                <w:b/>
                <w:bCs/>
                <w:color w:val="auto"/>
                <w:highlight w:val="none"/>
                <w:lang w:val="en-US" w:eastAsia="zh-CN"/>
              </w:rPr>
              <w:t>六、付款方式</w:t>
            </w:r>
          </w:p>
          <w:p w14:paraId="7C2E22EB">
            <w:pPr>
              <w:keepNext w:val="0"/>
              <w:keepLines w:val="0"/>
              <w:pageBreakBefore w:val="0"/>
              <w:widowControl/>
              <w:kinsoku/>
              <w:wordWrap/>
              <w:overflowPunct/>
              <w:topLinePunct w:val="0"/>
              <w:autoSpaceDE/>
              <w:autoSpaceDN/>
              <w:bidi w:val="0"/>
              <w:adjustRightInd/>
              <w:snapToGrid/>
              <w:spacing w:line="360" w:lineRule="exact"/>
              <w:jc w:val="left"/>
              <w:textAlignment w:val="auto"/>
              <w:rPr>
                <w:rFonts w:hint="eastAsia" w:ascii="宋体" w:hAnsi="宋体" w:eastAsia="宋体" w:cs="宋体"/>
                <w:b w:val="0"/>
                <w:bCs w:val="0"/>
                <w:color w:val="auto"/>
                <w:highlight w:val="none"/>
                <w:lang w:val="en-US" w:eastAsia="zh-CN"/>
              </w:rPr>
            </w:pPr>
            <w:r>
              <w:rPr>
                <w:rFonts w:hint="eastAsia" w:ascii="宋体" w:hAnsi="宋体" w:eastAsia="宋体" w:cs="宋体"/>
                <w:b w:val="0"/>
                <w:bCs w:val="0"/>
                <w:color w:val="auto"/>
                <w:highlight w:val="none"/>
                <w:lang w:val="en-US" w:eastAsia="zh-CN"/>
              </w:rPr>
              <w:t>1. 中标人完成项目工作量60%后，采购人在收到中标人开具的合规发票后15日内，向中标人支付合同总金额的65%；</w:t>
            </w:r>
          </w:p>
          <w:p w14:paraId="38B9FC5E">
            <w:pPr>
              <w:keepNext w:val="0"/>
              <w:keepLines w:val="0"/>
              <w:pageBreakBefore w:val="0"/>
              <w:widowControl/>
              <w:kinsoku/>
              <w:wordWrap/>
              <w:overflowPunct/>
              <w:topLinePunct w:val="0"/>
              <w:autoSpaceDE/>
              <w:autoSpaceDN/>
              <w:bidi w:val="0"/>
              <w:adjustRightInd/>
              <w:snapToGrid/>
              <w:spacing w:line="360" w:lineRule="exact"/>
              <w:jc w:val="left"/>
              <w:textAlignment w:val="auto"/>
              <w:rPr>
                <w:rFonts w:hint="eastAsia" w:ascii="宋体" w:hAnsi="宋体" w:eastAsia="宋体" w:cs="宋体"/>
                <w:b w:val="0"/>
                <w:bCs w:val="0"/>
                <w:color w:val="auto"/>
                <w:highlight w:val="none"/>
                <w:lang w:val="en-US" w:eastAsia="zh-CN"/>
              </w:rPr>
            </w:pPr>
            <w:r>
              <w:rPr>
                <w:rFonts w:hint="eastAsia" w:ascii="宋体" w:hAnsi="宋体" w:eastAsia="宋体" w:cs="宋体"/>
                <w:b w:val="0"/>
                <w:bCs w:val="0"/>
                <w:color w:val="auto"/>
                <w:highlight w:val="none"/>
                <w:lang w:val="en-US" w:eastAsia="zh-CN"/>
              </w:rPr>
              <w:t>2. 项目全部完成并通过采购人最终验收后，采购人在收到中标人开具的合规发票后15日内，向中标人支付合同总金额的30%；</w:t>
            </w:r>
          </w:p>
          <w:p w14:paraId="4BE68580">
            <w:pPr>
              <w:keepNext w:val="0"/>
              <w:keepLines w:val="0"/>
              <w:pageBreakBefore w:val="0"/>
              <w:widowControl/>
              <w:kinsoku/>
              <w:wordWrap/>
              <w:overflowPunct/>
              <w:topLinePunct w:val="0"/>
              <w:autoSpaceDE/>
              <w:autoSpaceDN/>
              <w:bidi w:val="0"/>
              <w:adjustRightInd/>
              <w:snapToGrid/>
              <w:spacing w:line="360" w:lineRule="exact"/>
              <w:jc w:val="left"/>
              <w:textAlignment w:val="auto"/>
              <w:rPr>
                <w:rFonts w:hint="eastAsia" w:ascii="宋体" w:hAnsi="宋体" w:eastAsia="宋体" w:cs="宋体"/>
                <w:b w:val="0"/>
                <w:bCs w:val="0"/>
                <w:color w:val="auto"/>
                <w:highlight w:val="none"/>
                <w:lang w:val="en-US" w:eastAsia="zh-CN"/>
              </w:rPr>
            </w:pPr>
            <w:r>
              <w:rPr>
                <w:rFonts w:hint="eastAsia" w:ascii="宋体" w:hAnsi="宋体" w:eastAsia="宋体" w:cs="宋体"/>
                <w:b w:val="0"/>
                <w:bCs w:val="0"/>
                <w:color w:val="auto"/>
                <w:highlight w:val="none"/>
                <w:lang w:val="en-US" w:eastAsia="zh-CN"/>
              </w:rPr>
              <w:t>3. 剩余合同总金额的5%款项，待本项目质保服务期限届满、中标人全面完成约定服务内容且无任何履约遗留问题后，采购人在收到中标人开具的合规发票后15日内一次性无息付清。</w:t>
            </w:r>
          </w:p>
          <w:p w14:paraId="0425F433">
            <w:pPr>
              <w:keepNext w:val="0"/>
              <w:keepLines w:val="0"/>
              <w:pageBreakBefore w:val="0"/>
              <w:widowControl/>
              <w:kinsoku/>
              <w:wordWrap/>
              <w:overflowPunct/>
              <w:topLinePunct w:val="0"/>
              <w:autoSpaceDE/>
              <w:autoSpaceDN/>
              <w:bidi w:val="0"/>
              <w:adjustRightInd/>
              <w:snapToGrid/>
              <w:spacing w:line="360" w:lineRule="exact"/>
              <w:jc w:val="left"/>
              <w:textAlignment w:val="auto"/>
              <w:rPr>
                <w:rFonts w:hint="eastAsia" w:ascii="宋体" w:hAnsi="宋体" w:eastAsia="宋体" w:cs="宋体"/>
                <w:b/>
                <w:bCs/>
                <w:color w:val="auto"/>
                <w:highlight w:val="none"/>
                <w:lang w:val="en-US" w:eastAsia="zh-CN"/>
              </w:rPr>
            </w:pPr>
            <w:r>
              <w:rPr>
                <w:rFonts w:hint="eastAsia" w:ascii="宋体" w:hAnsi="宋体" w:eastAsia="宋体" w:cs="宋体"/>
                <w:b/>
                <w:bCs/>
                <w:color w:val="auto"/>
                <w:highlight w:val="none"/>
                <w:lang w:val="en-US" w:eastAsia="zh-CN"/>
              </w:rPr>
              <w:t>七、报价要求</w:t>
            </w:r>
          </w:p>
          <w:p w14:paraId="1291CD3D">
            <w:pPr>
              <w:keepNext w:val="0"/>
              <w:keepLines w:val="0"/>
              <w:pageBreakBefore w:val="0"/>
              <w:widowControl/>
              <w:kinsoku/>
              <w:wordWrap/>
              <w:overflowPunct/>
              <w:topLinePunct w:val="0"/>
              <w:autoSpaceDE/>
              <w:autoSpaceDN/>
              <w:bidi w:val="0"/>
              <w:adjustRightInd/>
              <w:snapToGrid/>
              <w:spacing w:line="360" w:lineRule="exact"/>
              <w:jc w:val="left"/>
              <w:textAlignment w:val="auto"/>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报价必须含以下部分，包括：</w:t>
            </w:r>
          </w:p>
          <w:p w14:paraId="632FBD5B">
            <w:pPr>
              <w:keepNext w:val="0"/>
              <w:keepLines w:val="0"/>
              <w:pageBreakBefore w:val="0"/>
              <w:widowControl/>
              <w:kinsoku/>
              <w:wordWrap/>
              <w:overflowPunct/>
              <w:topLinePunct w:val="0"/>
              <w:autoSpaceDE/>
              <w:autoSpaceDN/>
              <w:bidi w:val="0"/>
              <w:adjustRightInd/>
              <w:snapToGrid/>
              <w:spacing w:line="360" w:lineRule="exact"/>
              <w:jc w:val="left"/>
              <w:textAlignment w:val="auto"/>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①服务的价格，包含模型、标本、仿真绿植等物品采购、宣传科普宣教场景建筑、标识的设计、制作和安装，以及相关配套设施的供货、安装；</w:t>
            </w:r>
          </w:p>
          <w:p w14:paraId="44D30A94">
            <w:pPr>
              <w:keepNext w:val="0"/>
              <w:keepLines w:val="0"/>
              <w:pageBreakBefore w:val="0"/>
              <w:widowControl/>
              <w:kinsoku/>
              <w:wordWrap/>
              <w:overflowPunct/>
              <w:topLinePunct w:val="0"/>
              <w:autoSpaceDE/>
              <w:autoSpaceDN/>
              <w:bidi w:val="0"/>
              <w:adjustRightInd/>
              <w:snapToGrid/>
              <w:spacing w:line="360" w:lineRule="exact"/>
              <w:jc w:val="left"/>
              <w:textAlignment w:val="auto"/>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②必要的保险费用和各项税金；</w:t>
            </w:r>
          </w:p>
          <w:p w14:paraId="5A8B7256">
            <w:pPr>
              <w:keepNext w:val="0"/>
              <w:keepLines w:val="0"/>
              <w:pageBreakBefore w:val="0"/>
              <w:widowControl/>
              <w:kinsoku/>
              <w:wordWrap/>
              <w:overflowPunct/>
              <w:topLinePunct w:val="0"/>
              <w:autoSpaceDE/>
              <w:autoSpaceDN/>
              <w:bidi w:val="0"/>
              <w:adjustRightInd/>
              <w:snapToGrid/>
              <w:spacing w:line="360" w:lineRule="exact"/>
              <w:jc w:val="left"/>
              <w:textAlignment w:val="auto"/>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③其他，如运输、装卸、安装、调试、技术支持、售后服务、更新升级等费用。</w:t>
            </w:r>
          </w:p>
        </w:tc>
      </w:tr>
      <w:tr w14:paraId="037F6B2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47" w:hRule="atLeast"/>
          <w:jc w:val="center"/>
        </w:trPr>
        <w:tc>
          <w:tcPr>
            <w:tcW w:w="545" w:type="dxa"/>
            <w:tcBorders>
              <w:top w:val="single" w:color="auto" w:sz="4" w:space="0"/>
              <w:left w:val="single" w:color="auto" w:sz="4" w:space="0"/>
              <w:bottom w:val="single" w:color="auto" w:sz="4" w:space="0"/>
              <w:right w:val="single" w:color="auto" w:sz="4" w:space="0"/>
            </w:tcBorders>
            <w:noWrap w:val="0"/>
            <w:vAlign w:val="center"/>
          </w:tcPr>
          <w:p w14:paraId="3AB8E8E8">
            <w:pPr>
              <w:keepNext w:val="0"/>
              <w:keepLines w:val="0"/>
              <w:pageBreakBefore w:val="0"/>
              <w:kinsoku/>
              <w:wordWrap/>
              <w:overflowPunct/>
              <w:topLinePunct w:val="0"/>
              <w:autoSpaceDE/>
              <w:autoSpaceDN/>
              <w:bidi w:val="0"/>
              <w:adjustRightInd/>
              <w:snapToGrid/>
              <w:spacing w:line="360" w:lineRule="exact"/>
              <w:jc w:val="center"/>
              <w:textAlignment w:val="auto"/>
              <w:rPr>
                <w:rFonts w:hint="eastAsia" w:ascii="宋体" w:hAnsi="宋体" w:eastAsia="宋体" w:cs="宋体"/>
                <w:color w:val="auto"/>
                <w:highlight w:val="none"/>
              </w:rPr>
            </w:pPr>
            <w:r>
              <w:rPr>
                <w:rFonts w:hint="eastAsia" w:ascii="宋体" w:hAnsi="宋体" w:eastAsia="宋体" w:cs="宋体"/>
                <w:color w:val="auto"/>
                <w:highlight w:val="none"/>
              </w:rPr>
              <w:t>其他说明</w:t>
            </w:r>
          </w:p>
        </w:tc>
        <w:tc>
          <w:tcPr>
            <w:tcW w:w="9576" w:type="dxa"/>
            <w:gridSpan w:val="6"/>
            <w:tcBorders>
              <w:top w:val="single" w:color="auto" w:sz="4" w:space="0"/>
              <w:left w:val="single" w:color="auto" w:sz="4" w:space="0"/>
              <w:bottom w:val="single" w:color="auto" w:sz="4" w:space="0"/>
              <w:right w:val="single" w:color="auto" w:sz="4" w:space="0"/>
            </w:tcBorders>
            <w:noWrap w:val="0"/>
            <w:vAlign w:val="top"/>
          </w:tcPr>
          <w:p w14:paraId="561D1CE1">
            <w:pPr>
              <w:keepNext w:val="0"/>
              <w:keepLines w:val="0"/>
              <w:pageBreakBefore w:val="0"/>
              <w:widowControl/>
              <w:shd w:val="clear" w:color="auto" w:fill="FFFFFF"/>
              <w:kinsoku/>
              <w:wordWrap/>
              <w:overflowPunct/>
              <w:topLinePunct w:val="0"/>
              <w:autoSpaceDE/>
              <w:autoSpaceDN/>
              <w:bidi w:val="0"/>
              <w:adjustRightInd/>
              <w:snapToGrid/>
              <w:spacing w:line="360" w:lineRule="exact"/>
              <w:textAlignment w:val="auto"/>
              <w:rPr>
                <w:rFonts w:hint="eastAsia" w:ascii="宋体" w:hAnsi="宋体" w:eastAsia="宋体" w:cs="宋体"/>
                <w:color w:val="auto"/>
                <w:highlight w:val="none"/>
              </w:rPr>
            </w:pPr>
            <w:r>
              <w:rPr>
                <w:rFonts w:hint="eastAsia" w:ascii="宋体" w:hAnsi="宋体" w:eastAsia="宋体" w:cs="宋体"/>
                <w:color w:val="auto"/>
                <w:highlight w:val="none"/>
              </w:rPr>
              <w:t>一、进口产品说明（根据项目实际情况选择）</w:t>
            </w:r>
          </w:p>
          <w:p w14:paraId="4F28E3B7">
            <w:pPr>
              <w:keepNext w:val="0"/>
              <w:keepLines w:val="0"/>
              <w:pageBreakBefore w:val="0"/>
              <w:widowControl/>
              <w:shd w:val="clear" w:color="auto" w:fill="FFFFFF"/>
              <w:kinsoku/>
              <w:wordWrap/>
              <w:overflowPunct/>
              <w:topLinePunct w:val="0"/>
              <w:autoSpaceDE/>
              <w:autoSpaceDN/>
              <w:bidi w:val="0"/>
              <w:adjustRightInd/>
              <w:snapToGrid/>
              <w:spacing w:line="360" w:lineRule="exact"/>
              <w:ind w:firstLine="0" w:firstLineChars="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本表的第项服务所涉及的货物已按规定办妥进口产品采购审核手续，投标产品可选用进口产品；但如选用进口产品时必须为全套原装进口产品（即通过中国海关报关验放进入中国境内且产自关境外的产品），同时投标人必须负责办理进口产品所有相关手续并承担所有费用。</w:t>
            </w:r>
            <w:r>
              <w:rPr>
                <w:rFonts w:hint="eastAsia" w:ascii="宋体" w:hAnsi="宋体" w:eastAsia="宋体" w:cs="宋体"/>
                <w:b/>
                <w:bCs/>
                <w:color w:val="auto"/>
                <w:szCs w:val="21"/>
                <w:highlight w:val="none"/>
              </w:rPr>
              <w:t>其他货物不接受进口产品参与投标</w:t>
            </w:r>
            <w:r>
              <w:rPr>
                <w:rFonts w:hint="eastAsia" w:ascii="宋体" w:hAnsi="宋体" w:eastAsia="宋体" w:cs="宋体"/>
                <w:color w:val="auto"/>
                <w:szCs w:val="21"/>
                <w:highlight w:val="none"/>
              </w:rPr>
              <w:t>，</w:t>
            </w:r>
            <w:r>
              <w:rPr>
                <w:rFonts w:hint="eastAsia" w:ascii="宋体" w:hAnsi="宋体" w:eastAsia="宋体" w:cs="宋体"/>
                <w:b/>
                <w:color w:val="auto"/>
                <w:szCs w:val="21"/>
                <w:highlight w:val="none"/>
              </w:rPr>
              <w:t>否则作无效标处理。</w:t>
            </w:r>
          </w:p>
          <w:p w14:paraId="3E025B07">
            <w:pPr>
              <w:keepNext w:val="0"/>
              <w:keepLines w:val="0"/>
              <w:pageBreakBefore w:val="0"/>
              <w:widowControl/>
              <w:shd w:val="clear" w:color="auto" w:fill="FFFFFF"/>
              <w:kinsoku/>
              <w:wordWrap/>
              <w:overflowPunct/>
              <w:topLinePunct w:val="0"/>
              <w:autoSpaceDE/>
              <w:autoSpaceDN/>
              <w:bidi w:val="0"/>
              <w:adjustRightInd/>
              <w:snapToGrid/>
              <w:spacing w:line="360" w:lineRule="exact"/>
              <w:ind w:firstLine="0" w:firstLineChars="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☑本分标服务所涉及的货物不接受进口产品（即通过中国海关报关验放进入中国境内且产自关境外的产品）参与投标，</w:t>
            </w:r>
            <w:r>
              <w:rPr>
                <w:rFonts w:hint="eastAsia" w:ascii="宋体" w:hAnsi="宋体" w:eastAsia="宋体" w:cs="宋体"/>
                <w:b/>
                <w:color w:val="auto"/>
                <w:szCs w:val="21"/>
                <w:highlight w:val="none"/>
              </w:rPr>
              <w:t>如有进口产品参与投标的作无效标处理</w:t>
            </w:r>
            <w:r>
              <w:rPr>
                <w:rFonts w:hint="eastAsia" w:ascii="宋体" w:hAnsi="宋体" w:eastAsia="宋体" w:cs="宋体"/>
                <w:color w:val="auto"/>
                <w:szCs w:val="21"/>
                <w:highlight w:val="none"/>
              </w:rPr>
              <w:t>。</w:t>
            </w:r>
          </w:p>
          <w:p w14:paraId="5B5F2BC2">
            <w:pPr>
              <w:keepNext w:val="0"/>
              <w:keepLines w:val="0"/>
              <w:pageBreakBefore w:val="0"/>
              <w:widowControl/>
              <w:shd w:val="clear" w:color="auto" w:fill="FFFFFF"/>
              <w:kinsoku/>
              <w:wordWrap/>
              <w:overflowPunct/>
              <w:topLinePunct w:val="0"/>
              <w:autoSpaceDE/>
              <w:autoSpaceDN/>
              <w:bidi w:val="0"/>
              <w:adjustRightInd/>
              <w:snapToGrid/>
              <w:spacing w:line="360" w:lineRule="exact"/>
              <w:textAlignment w:val="auto"/>
              <w:rPr>
                <w:rFonts w:hint="eastAsia" w:ascii="宋体" w:hAnsi="宋体" w:eastAsia="宋体" w:cs="宋体"/>
                <w:color w:val="auto"/>
                <w:highlight w:val="none"/>
              </w:rPr>
            </w:pPr>
            <w:r>
              <w:rPr>
                <w:rFonts w:hint="eastAsia" w:ascii="宋体" w:hAnsi="宋体" w:eastAsia="宋体" w:cs="宋体"/>
                <w:color w:val="auto"/>
                <w:highlight w:val="none"/>
              </w:rPr>
              <w:t>二、其他</w:t>
            </w:r>
          </w:p>
          <w:p w14:paraId="5E54526E">
            <w:pPr>
              <w:keepNext w:val="0"/>
              <w:keepLines w:val="0"/>
              <w:pageBreakBefore w:val="0"/>
              <w:widowControl/>
              <w:shd w:val="clear" w:color="auto" w:fill="FFFFFF"/>
              <w:kinsoku/>
              <w:wordWrap/>
              <w:overflowPunct/>
              <w:topLinePunct w:val="0"/>
              <w:autoSpaceDE/>
              <w:autoSpaceDN/>
              <w:bidi w:val="0"/>
              <w:adjustRightInd/>
              <w:snapToGrid/>
              <w:spacing w:line="360" w:lineRule="exact"/>
              <w:textAlignment w:val="auto"/>
              <w:rPr>
                <w:rFonts w:hint="eastAsia" w:ascii="宋体" w:hAnsi="宋体" w:eastAsia="宋体" w:cs="宋体"/>
                <w:color w:val="auto"/>
                <w:highlight w:val="none"/>
              </w:rPr>
            </w:pPr>
            <w:r>
              <w:rPr>
                <w:rFonts w:hint="eastAsia" w:ascii="宋体" w:hAnsi="宋体" w:eastAsia="宋体" w:cs="宋体"/>
                <w:color w:val="auto"/>
                <w:highlight w:val="none"/>
              </w:rPr>
              <w:t>1、是否进行演示：否</w:t>
            </w:r>
          </w:p>
          <w:p w14:paraId="2E3BC38D">
            <w:pPr>
              <w:keepNext w:val="0"/>
              <w:keepLines w:val="0"/>
              <w:pageBreakBefore w:val="0"/>
              <w:widowControl/>
              <w:shd w:val="clear" w:color="auto" w:fill="FFFFFF"/>
              <w:kinsoku/>
              <w:wordWrap/>
              <w:overflowPunct/>
              <w:topLinePunct w:val="0"/>
              <w:autoSpaceDE/>
              <w:autoSpaceDN/>
              <w:bidi w:val="0"/>
              <w:adjustRightInd/>
              <w:snapToGrid/>
              <w:spacing w:line="360" w:lineRule="exact"/>
              <w:textAlignment w:val="auto"/>
              <w:rPr>
                <w:rFonts w:hint="eastAsia" w:ascii="宋体" w:hAnsi="宋体" w:eastAsia="宋体" w:cs="宋体"/>
                <w:color w:val="auto"/>
                <w:highlight w:val="none"/>
              </w:rPr>
            </w:pPr>
            <w:r>
              <w:rPr>
                <w:rFonts w:hint="eastAsia" w:ascii="宋体" w:hAnsi="宋体" w:eastAsia="宋体" w:cs="宋体"/>
                <w:color w:val="auto"/>
                <w:highlight w:val="none"/>
              </w:rPr>
              <w:t>2、是否要求提供样品：否</w:t>
            </w:r>
          </w:p>
          <w:p w14:paraId="1B4CF765">
            <w:pPr>
              <w:keepNext w:val="0"/>
              <w:keepLines w:val="0"/>
              <w:pageBreakBefore w:val="0"/>
              <w:widowControl/>
              <w:shd w:val="clear" w:color="auto" w:fill="FFFFFF"/>
              <w:kinsoku/>
              <w:wordWrap/>
              <w:overflowPunct/>
              <w:topLinePunct w:val="0"/>
              <w:autoSpaceDE/>
              <w:autoSpaceDN/>
              <w:bidi w:val="0"/>
              <w:adjustRightInd/>
              <w:snapToGrid/>
              <w:spacing w:line="360" w:lineRule="exact"/>
              <w:textAlignment w:val="auto"/>
              <w:rPr>
                <w:rFonts w:hint="eastAsia" w:ascii="宋体" w:hAnsi="宋体" w:eastAsia="宋体" w:cs="宋体"/>
                <w:color w:val="auto"/>
                <w:highlight w:val="none"/>
              </w:rPr>
            </w:pPr>
            <w:r>
              <w:rPr>
                <w:rFonts w:hint="eastAsia" w:ascii="宋体" w:hAnsi="宋体" w:eastAsia="宋体" w:cs="宋体"/>
                <w:color w:val="auto"/>
                <w:highlight w:val="none"/>
              </w:rPr>
              <w:t>3、是否现场踏勘：否</w:t>
            </w:r>
          </w:p>
        </w:tc>
      </w:tr>
    </w:tbl>
    <w:p w14:paraId="44F749DF">
      <w:pPr>
        <w:spacing w:line="428" w:lineRule="exact"/>
        <w:ind w:left="119"/>
        <w:jc w:val="center"/>
        <w:rPr>
          <w:rFonts w:hint="eastAsia" w:ascii="宋体" w:hAnsi="宋体" w:eastAsia="宋体" w:cs="宋体"/>
          <w:b/>
          <w:bCs/>
          <w:color w:val="auto"/>
          <w:kern w:val="2"/>
          <w:sz w:val="30"/>
          <w:szCs w:val="30"/>
          <w:highlight w:val="none"/>
          <w:lang w:val="en-US" w:eastAsia="zh-CN" w:bidi="ar-SA"/>
        </w:rPr>
      </w:pPr>
    </w:p>
    <w:p w14:paraId="79F2DB50">
      <w:pPr>
        <w:spacing w:line="428" w:lineRule="exact"/>
        <w:ind w:left="119"/>
        <w:jc w:val="center"/>
        <w:rPr>
          <w:rFonts w:hint="eastAsia" w:ascii="宋体" w:hAnsi="宋体" w:eastAsia="宋体" w:cs="宋体"/>
          <w:b/>
          <w:bCs/>
          <w:color w:val="auto"/>
          <w:kern w:val="2"/>
          <w:sz w:val="30"/>
          <w:szCs w:val="30"/>
          <w:highlight w:val="none"/>
          <w:lang w:val="en-US" w:eastAsia="zh-CN" w:bidi="ar-SA"/>
        </w:rPr>
      </w:pPr>
    </w:p>
    <w:p w14:paraId="519A1BAC">
      <w:pPr>
        <w:spacing w:line="428" w:lineRule="exact"/>
        <w:ind w:left="119"/>
        <w:jc w:val="center"/>
        <w:rPr>
          <w:rFonts w:hint="eastAsia" w:ascii="宋体" w:hAnsi="宋体" w:eastAsia="宋体" w:cs="宋体"/>
          <w:b/>
          <w:bCs/>
          <w:color w:val="auto"/>
          <w:kern w:val="2"/>
          <w:sz w:val="30"/>
          <w:szCs w:val="30"/>
          <w:highlight w:val="none"/>
          <w:lang w:val="en-US" w:eastAsia="zh-CN" w:bidi="ar-SA"/>
        </w:rPr>
      </w:pPr>
      <w:r>
        <w:rPr>
          <w:rFonts w:hint="eastAsia" w:ascii="宋体" w:hAnsi="宋体" w:eastAsia="宋体" w:cs="宋体"/>
          <w:b/>
          <w:bCs/>
          <w:color w:val="auto"/>
          <w:kern w:val="2"/>
          <w:sz w:val="30"/>
          <w:szCs w:val="30"/>
          <w:highlight w:val="none"/>
          <w:lang w:val="en-US" w:eastAsia="zh-CN" w:bidi="ar-SA"/>
        </w:rPr>
        <w:t>附</w:t>
      </w:r>
      <w:r>
        <w:rPr>
          <w:rFonts w:hint="eastAsia" w:ascii="宋体" w:hAnsi="宋体" w:cs="宋体"/>
          <w:b/>
          <w:bCs/>
          <w:color w:val="auto"/>
          <w:kern w:val="2"/>
          <w:sz w:val="30"/>
          <w:szCs w:val="30"/>
          <w:highlight w:val="none"/>
          <w:lang w:val="en-US" w:eastAsia="zh-CN" w:bidi="ar-SA"/>
        </w:rPr>
        <w:t>表3</w:t>
      </w:r>
      <w:r>
        <w:rPr>
          <w:rFonts w:hint="eastAsia" w:ascii="宋体" w:hAnsi="宋体" w:eastAsia="宋体" w:cs="宋体"/>
          <w:b/>
          <w:bCs/>
          <w:color w:val="auto"/>
          <w:kern w:val="2"/>
          <w:sz w:val="30"/>
          <w:szCs w:val="30"/>
          <w:highlight w:val="none"/>
          <w:lang w:val="en-US" w:eastAsia="zh-CN" w:bidi="ar-SA"/>
        </w:rPr>
        <w:t>： 湿地科普宣传系列活动详情表</w:t>
      </w:r>
    </w:p>
    <w:tbl>
      <w:tblPr>
        <w:tblStyle w:val="121"/>
        <w:tblW w:w="8957"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462"/>
        <w:gridCol w:w="1832"/>
        <w:gridCol w:w="4157"/>
        <w:gridCol w:w="2506"/>
      </w:tblGrid>
      <w:tr w14:paraId="6EEA6E0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7" w:hRule="atLeast"/>
          <w:jc w:val="center"/>
        </w:trPr>
        <w:tc>
          <w:tcPr>
            <w:tcW w:w="462" w:type="dxa"/>
            <w:textDirection w:val="tbRlV"/>
            <w:vAlign w:val="center"/>
          </w:tcPr>
          <w:p w14:paraId="7F439293">
            <w:pPr>
              <w:bidi w:val="0"/>
              <w:jc w:val="center"/>
              <w:rPr>
                <w:rFonts w:hint="eastAsia"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期数</w:t>
            </w:r>
          </w:p>
        </w:tc>
        <w:tc>
          <w:tcPr>
            <w:tcW w:w="1832" w:type="dxa"/>
            <w:vAlign w:val="center"/>
          </w:tcPr>
          <w:p w14:paraId="6C06534C">
            <w:pPr>
              <w:bidi w:val="0"/>
              <w:jc w:val="center"/>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主题</w:t>
            </w:r>
          </w:p>
        </w:tc>
        <w:tc>
          <w:tcPr>
            <w:tcW w:w="4157" w:type="dxa"/>
            <w:vAlign w:val="center"/>
          </w:tcPr>
          <w:p w14:paraId="422EE89F">
            <w:pPr>
              <w:bidi w:val="0"/>
              <w:jc w:val="center"/>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核心内容</w:t>
            </w:r>
          </w:p>
        </w:tc>
        <w:tc>
          <w:tcPr>
            <w:tcW w:w="2506" w:type="dxa"/>
            <w:vAlign w:val="center"/>
          </w:tcPr>
          <w:p w14:paraId="033839E5">
            <w:pPr>
              <w:bidi w:val="0"/>
              <w:jc w:val="center"/>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形式设计</w:t>
            </w:r>
          </w:p>
        </w:tc>
      </w:tr>
      <w:tr w14:paraId="7170AA8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 w:hRule="atLeast"/>
          <w:jc w:val="center"/>
        </w:trPr>
        <w:tc>
          <w:tcPr>
            <w:tcW w:w="462" w:type="dxa"/>
            <w:vAlign w:val="center"/>
          </w:tcPr>
          <w:p w14:paraId="1C7BD02F">
            <w:pPr>
              <w:bidi w:val="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p>
        </w:tc>
        <w:tc>
          <w:tcPr>
            <w:tcW w:w="1832" w:type="dxa"/>
            <w:vAlign w:val="center"/>
          </w:tcPr>
          <w:p w14:paraId="1FC290A0">
            <w:pPr>
              <w:bidi w:val="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湿地——地球之肾，生命之源</w:t>
            </w:r>
          </w:p>
        </w:tc>
        <w:tc>
          <w:tcPr>
            <w:tcW w:w="4157" w:type="dxa"/>
            <w:vAlign w:val="center"/>
          </w:tcPr>
          <w:p w14:paraId="4FF43A4E">
            <w:pPr>
              <w:bidi w:val="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湿地基本概念、全球与中国湿地概况、核心生态功能（净化、蓄水、气候调节）</w:t>
            </w:r>
          </w:p>
        </w:tc>
        <w:tc>
          <w:tcPr>
            <w:tcW w:w="2506" w:type="dxa"/>
            <w:vAlign w:val="center"/>
          </w:tcPr>
          <w:p w14:paraId="74B9C201">
            <w:pPr>
              <w:bidi w:val="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科普讲座/图文展板/短视频发布</w:t>
            </w:r>
          </w:p>
        </w:tc>
      </w:tr>
      <w:tr w14:paraId="17303D7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 w:hRule="atLeast"/>
          <w:jc w:val="center"/>
        </w:trPr>
        <w:tc>
          <w:tcPr>
            <w:tcW w:w="462" w:type="dxa"/>
            <w:vAlign w:val="center"/>
          </w:tcPr>
          <w:p w14:paraId="4C40F40A">
            <w:pPr>
              <w:bidi w:val="0"/>
              <w:jc w:val="center"/>
              <w:rPr>
                <w:rFonts w:hint="eastAsia" w:ascii="宋体" w:hAnsi="宋体" w:eastAsia="宋体" w:cs="宋体"/>
                <w:color w:val="auto"/>
                <w:sz w:val="21"/>
                <w:szCs w:val="21"/>
                <w:highlight w:val="none"/>
              </w:rPr>
            </w:pPr>
          </w:p>
          <w:p w14:paraId="2077E304">
            <w:pPr>
              <w:bidi w:val="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w:t>
            </w:r>
          </w:p>
        </w:tc>
        <w:tc>
          <w:tcPr>
            <w:tcW w:w="1832" w:type="dxa"/>
            <w:vAlign w:val="center"/>
          </w:tcPr>
          <w:p w14:paraId="5686FA77">
            <w:pPr>
              <w:bidi w:val="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走进多彩湿地家园</w:t>
            </w:r>
          </w:p>
        </w:tc>
        <w:tc>
          <w:tcPr>
            <w:tcW w:w="4157" w:type="dxa"/>
            <w:vAlign w:val="center"/>
          </w:tcPr>
          <w:p w14:paraId="161DDA43">
            <w:pPr>
              <w:bidi w:val="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不同类型湿地（河流、湖泊、沼泽等）特征及代表性物种</w:t>
            </w:r>
          </w:p>
        </w:tc>
        <w:tc>
          <w:tcPr>
            <w:tcW w:w="2506" w:type="dxa"/>
            <w:vAlign w:val="center"/>
          </w:tcPr>
          <w:p w14:paraId="35B271F1">
            <w:pPr>
              <w:bidi w:val="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线上图片/视频展播、线下模型/标本展示、专家解读</w:t>
            </w:r>
          </w:p>
        </w:tc>
      </w:tr>
      <w:tr w14:paraId="05DCE34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 w:hRule="atLeast"/>
          <w:jc w:val="center"/>
        </w:trPr>
        <w:tc>
          <w:tcPr>
            <w:tcW w:w="462" w:type="dxa"/>
            <w:vAlign w:val="center"/>
          </w:tcPr>
          <w:p w14:paraId="45361D8C">
            <w:pPr>
              <w:bidi w:val="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w:t>
            </w:r>
          </w:p>
        </w:tc>
        <w:tc>
          <w:tcPr>
            <w:tcW w:w="1832" w:type="dxa"/>
            <w:vAlign w:val="center"/>
          </w:tcPr>
          <w:p w14:paraId="7D35E66C">
            <w:pPr>
              <w:bidi w:val="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湿地生物王国探秘</w:t>
            </w:r>
          </w:p>
        </w:tc>
        <w:tc>
          <w:tcPr>
            <w:tcW w:w="4157" w:type="dxa"/>
            <w:vAlign w:val="center"/>
          </w:tcPr>
          <w:p w14:paraId="54D25092">
            <w:pPr>
              <w:bidi w:val="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湿地珍稀濒危动植物（候鸟、鱼类等）及其生物多样性价值</w:t>
            </w:r>
          </w:p>
        </w:tc>
        <w:tc>
          <w:tcPr>
            <w:tcW w:w="2506" w:type="dxa"/>
            <w:vAlign w:val="center"/>
          </w:tcPr>
          <w:p w14:paraId="27428DE6">
            <w:pPr>
              <w:bidi w:val="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观鸟/植物观察/夜间野生动植物观察等</w:t>
            </w:r>
          </w:p>
        </w:tc>
      </w:tr>
      <w:tr w14:paraId="146D585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 w:hRule="atLeast"/>
          <w:jc w:val="center"/>
        </w:trPr>
        <w:tc>
          <w:tcPr>
            <w:tcW w:w="462" w:type="dxa"/>
            <w:vAlign w:val="center"/>
          </w:tcPr>
          <w:p w14:paraId="4328FD7C">
            <w:pPr>
              <w:bidi w:val="0"/>
              <w:jc w:val="center"/>
              <w:rPr>
                <w:rFonts w:hint="eastAsia" w:ascii="宋体" w:hAnsi="宋体" w:eastAsia="宋体" w:cs="宋体"/>
                <w:color w:val="auto"/>
                <w:sz w:val="21"/>
                <w:szCs w:val="21"/>
                <w:highlight w:val="none"/>
              </w:rPr>
            </w:pPr>
          </w:p>
          <w:p w14:paraId="6EF06BE4">
            <w:pPr>
              <w:bidi w:val="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w:t>
            </w:r>
          </w:p>
        </w:tc>
        <w:tc>
          <w:tcPr>
            <w:tcW w:w="1832" w:type="dxa"/>
            <w:vAlign w:val="center"/>
          </w:tcPr>
          <w:p w14:paraId="1851774B">
            <w:pPr>
              <w:bidi w:val="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湿地——惠及你我他</w:t>
            </w:r>
          </w:p>
        </w:tc>
        <w:tc>
          <w:tcPr>
            <w:tcW w:w="4157" w:type="dxa"/>
            <w:vAlign w:val="center"/>
          </w:tcPr>
          <w:p w14:paraId="5E7FA25F">
            <w:pPr>
              <w:bidi w:val="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湿地在水资源安全、防洪抗旱、生计支持、文化价值、应对气候变化中的综合效益</w:t>
            </w:r>
          </w:p>
        </w:tc>
        <w:tc>
          <w:tcPr>
            <w:tcW w:w="2506" w:type="dxa"/>
            <w:vAlign w:val="center"/>
          </w:tcPr>
          <w:p w14:paraId="75ECCB9B">
            <w:pPr>
              <w:bidi w:val="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案例分享、数据可视化展示、专家访谈、公众讨论</w:t>
            </w:r>
          </w:p>
        </w:tc>
      </w:tr>
      <w:tr w14:paraId="70DD2D8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 w:hRule="atLeast"/>
          <w:jc w:val="center"/>
        </w:trPr>
        <w:tc>
          <w:tcPr>
            <w:tcW w:w="462" w:type="dxa"/>
            <w:vAlign w:val="center"/>
          </w:tcPr>
          <w:p w14:paraId="0BBDE057">
            <w:pPr>
              <w:bidi w:val="0"/>
              <w:jc w:val="center"/>
              <w:rPr>
                <w:rFonts w:hint="eastAsia" w:ascii="宋体" w:hAnsi="宋体" w:eastAsia="宋体" w:cs="宋体"/>
                <w:color w:val="auto"/>
                <w:sz w:val="21"/>
                <w:szCs w:val="21"/>
                <w:highlight w:val="none"/>
              </w:rPr>
            </w:pPr>
          </w:p>
          <w:p w14:paraId="56BA6B58">
            <w:pPr>
              <w:bidi w:val="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w:t>
            </w:r>
          </w:p>
        </w:tc>
        <w:tc>
          <w:tcPr>
            <w:tcW w:w="1832" w:type="dxa"/>
            <w:vAlign w:val="center"/>
          </w:tcPr>
          <w:p w14:paraId="57D9F5B9">
            <w:pPr>
              <w:bidi w:val="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湿地告急！我们共同的挑战</w:t>
            </w:r>
          </w:p>
        </w:tc>
        <w:tc>
          <w:tcPr>
            <w:tcW w:w="4157" w:type="dxa"/>
            <w:vAlign w:val="center"/>
          </w:tcPr>
          <w:p w14:paraId="21F601F3">
            <w:pPr>
              <w:bidi w:val="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湿地主要威胁（污染、围垦、入侵物种、气候变化等）及危害解析</w:t>
            </w:r>
          </w:p>
        </w:tc>
        <w:tc>
          <w:tcPr>
            <w:tcW w:w="2506" w:type="dxa"/>
            <w:vAlign w:val="center"/>
          </w:tcPr>
          <w:p w14:paraId="3CBE3573">
            <w:pPr>
              <w:bidi w:val="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纪录片/警示短片播放、受破坏湿地VR 体验、专家解析</w:t>
            </w:r>
          </w:p>
        </w:tc>
      </w:tr>
      <w:tr w14:paraId="128745F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 w:hRule="atLeast"/>
          <w:jc w:val="center"/>
        </w:trPr>
        <w:tc>
          <w:tcPr>
            <w:tcW w:w="462" w:type="dxa"/>
            <w:vAlign w:val="center"/>
          </w:tcPr>
          <w:p w14:paraId="1ACA14CC">
            <w:pPr>
              <w:bidi w:val="0"/>
              <w:jc w:val="center"/>
              <w:rPr>
                <w:rFonts w:hint="eastAsia" w:ascii="宋体" w:hAnsi="宋体" w:eastAsia="宋体" w:cs="宋体"/>
                <w:color w:val="auto"/>
                <w:sz w:val="21"/>
                <w:szCs w:val="21"/>
                <w:highlight w:val="none"/>
              </w:rPr>
            </w:pPr>
          </w:p>
          <w:p w14:paraId="07841D7B">
            <w:pPr>
              <w:bidi w:val="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w:t>
            </w:r>
          </w:p>
        </w:tc>
        <w:tc>
          <w:tcPr>
            <w:tcW w:w="1832" w:type="dxa"/>
            <w:vAlign w:val="center"/>
          </w:tcPr>
          <w:p w14:paraId="4CFF2889">
            <w:pPr>
              <w:bidi w:val="0"/>
              <w:jc w:val="center"/>
              <w:rPr>
                <w:rFonts w:hint="eastAsia" w:ascii="宋体" w:hAnsi="宋体" w:eastAsia="宋体" w:cs="宋体"/>
                <w:color w:val="auto"/>
                <w:sz w:val="21"/>
                <w:szCs w:val="21"/>
                <w:highlight w:val="none"/>
              </w:rPr>
            </w:pPr>
          </w:p>
          <w:p w14:paraId="0D9B6BB3">
            <w:pPr>
              <w:bidi w:val="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守护湿地，我们在行动</w:t>
            </w:r>
          </w:p>
        </w:tc>
        <w:tc>
          <w:tcPr>
            <w:tcW w:w="4157" w:type="dxa"/>
            <w:vAlign w:val="center"/>
          </w:tcPr>
          <w:p w14:paraId="1963B045">
            <w:pPr>
              <w:bidi w:val="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湿地保护政策法规（《中华人民共和国湿地保护法》）、国际公约（拉姆萨尔公约）、保护区意义</w:t>
            </w:r>
          </w:p>
        </w:tc>
        <w:tc>
          <w:tcPr>
            <w:tcW w:w="2506" w:type="dxa"/>
            <w:vAlign w:val="center"/>
          </w:tcPr>
          <w:p w14:paraId="27C2168C">
            <w:pPr>
              <w:bidi w:val="0"/>
              <w:jc w:val="center"/>
              <w:rPr>
                <w:rFonts w:hint="eastAsia" w:ascii="宋体" w:hAnsi="宋体" w:eastAsia="宋体" w:cs="宋体"/>
                <w:color w:val="auto"/>
                <w:sz w:val="21"/>
                <w:szCs w:val="21"/>
                <w:highlight w:val="none"/>
              </w:rPr>
            </w:pPr>
          </w:p>
          <w:p w14:paraId="4D60D115">
            <w:pPr>
              <w:bidi w:val="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政策解读讲座、知识竞赛、宣传册发放</w:t>
            </w:r>
          </w:p>
        </w:tc>
      </w:tr>
      <w:tr w14:paraId="538513C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 w:hRule="atLeast"/>
          <w:jc w:val="center"/>
        </w:trPr>
        <w:tc>
          <w:tcPr>
            <w:tcW w:w="462" w:type="dxa"/>
            <w:vAlign w:val="center"/>
          </w:tcPr>
          <w:p w14:paraId="6F8A4904">
            <w:pPr>
              <w:bidi w:val="0"/>
              <w:jc w:val="center"/>
              <w:rPr>
                <w:rFonts w:hint="eastAsia" w:ascii="宋体" w:hAnsi="宋体" w:eastAsia="宋体" w:cs="宋体"/>
                <w:color w:val="auto"/>
                <w:sz w:val="21"/>
                <w:szCs w:val="21"/>
                <w:highlight w:val="none"/>
              </w:rPr>
            </w:pPr>
          </w:p>
          <w:p w14:paraId="4A8314D2">
            <w:pPr>
              <w:bidi w:val="0"/>
              <w:jc w:val="center"/>
              <w:rPr>
                <w:rFonts w:hint="eastAsia" w:ascii="宋体" w:hAnsi="宋体" w:eastAsia="宋体" w:cs="宋体"/>
                <w:color w:val="auto"/>
                <w:sz w:val="21"/>
                <w:szCs w:val="21"/>
                <w:highlight w:val="none"/>
              </w:rPr>
            </w:pPr>
          </w:p>
          <w:p w14:paraId="561DBB1A">
            <w:pPr>
              <w:bidi w:val="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7</w:t>
            </w:r>
          </w:p>
        </w:tc>
        <w:tc>
          <w:tcPr>
            <w:tcW w:w="1832" w:type="dxa"/>
            <w:vAlign w:val="center"/>
          </w:tcPr>
          <w:p w14:paraId="393C252C">
            <w:pPr>
              <w:bidi w:val="0"/>
              <w:jc w:val="center"/>
              <w:rPr>
                <w:rFonts w:hint="eastAsia" w:ascii="宋体" w:hAnsi="宋体" w:eastAsia="宋体" w:cs="宋体"/>
                <w:color w:val="auto"/>
                <w:sz w:val="21"/>
                <w:szCs w:val="21"/>
                <w:highlight w:val="none"/>
              </w:rPr>
            </w:pPr>
          </w:p>
          <w:p w14:paraId="12BB3B10">
            <w:pPr>
              <w:bidi w:val="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让受伤的湿地重焕生机</w:t>
            </w:r>
          </w:p>
        </w:tc>
        <w:tc>
          <w:tcPr>
            <w:tcW w:w="4157" w:type="dxa"/>
            <w:vAlign w:val="center"/>
          </w:tcPr>
          <w:p w14:paraId="0C6CBD9A">
            <w:pPr>
              <w:bidi w:val="0"/>
              <w:jc w:val="center"/>
              <w:rPr>
                <w:rFonts w:hint="eastAsia" w:ascii="宋体" w:hAnsi="宋体" w:eastAsia="宋体" w:cs="宋体"/>
                <w:color w:val="auto"/>
                <w:sz w:val="21"/>
                <w:szCs w:val="21"/>
                <w:highlight w:val="none"/>
              </w:rPr>
            </w:pPr>
          </w:p>
          <w:p w14:paraId="388EBEFD">
            <w:pPr>
              <w:bidi w:val="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湿地修复技术（植被恢复、水文连通等）及国内外成功案例</w:t>
            </w:r>
          </w:p>
        </w:tc>
        <w:tc>
          <w:tcPr>
            <w:tcW w:w="2506" w:type="dxa"/>
            <w:vAlign w:val="center"/>
          </w:tcPr>
          <w:p w14:paraId="0C2E728B">
            <w:pPr>
              <w:bidi w:val="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修复技术讲座/工作坊、修复项目点参观（或视频展示）、公众参与式种植体验</w:t>
            </w:r>
          </w:p>
        </w:tc>
      </w:tr>
      <w:tr w14:paraId="26509BC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 w:hRule="atLeast"/>
          <w:jc w:val="center"/>
        </w:trPr>
        <w:tc>
          <w:tcPr>
            <w:tcW w:w="462" w:type="dxa"/>
            <w:vAlign w:val="center"/>
          </w:tcPr>
          <w:p w14:paraId="606665DF">
            <w:pPr>
              <w:bidi w:val="0"/>
              <w:jc w:val="center"/>
              <w:rPr>
                <w:rFonts w:hint="eastAsia" w:ascii="宋体" w:hAnsi="宋体" w:eastAsia="宋体" w:cs="宋体"/>
                <w:color w:val="auto"/>
                <w:sz w:val="21"/>
                <w:szCs w:val="21"/>
                <w:highlight w:val="none"/>
              </w:rPr>
            </w:pPr>
          </w:p>
          <w:p w14:paraId="14BA098A">
            <w:pPr>
              <w:bidi w:val="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8</w:t>
            </w:r>
          </w:p>
        </w:tc>
        <w:tc>
          <w:tcPr>
            <w:tcW w:w="1832" w:type="dxa"/>
            <w:vAlign w:val="center"/>
          </w:tcPr>
          <w:p w14:paraId="2FD4D81F">
            <w:pPr>
              <w:bidi w:val="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小手拉大手，湿地小卫士</w:t>
            </w:r>
          </w:p>
        </w:tc>
        <w:tc>
          <w:tcPr>
            <w:tcW w:w="4157" w:type="dxa"/>
            <w:vAlign w:val="center"/>
          </w:tcPr>
          <w:p w14:paraId="5FC4F4AF">
            <w:pPr>
              <w:bidi w:val="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青少年及家庭湿地保护实践（环保行为、公民科学参与）</w:t>
            </w:r>
          </w:p>
        </w:tc>
        <w:tc>
          <w:tcPr>
            <w:tcW w:w="2506" w:type="dxa"/>
            <w:vAlign w:val="center"/>
          </w:tcPr>
          <w:p w14:paraId="514F2C8F">
            <w:pPr>
              <w:bidi w:val="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亲子研学活动、环保手工坊、湿地保护承诺签名、校园宣讲</w:t>
            </w:r>
          </w:p>
        </w:tc>
      </w:tr>
      <w:tr w14:paraId="0AACC3C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 w:hRule="atLeast"/>
          <w:jc w:val="center"/>
        </w:trPr>
        <w:tc>
          <w:tcPr>
            <w:tcW w:w="462" w:type="dxa"/>
            <w:vAlign w:val="center"/>
          </w:tcPr>
          <w:p w14:paraId="272E8961">
            <w:pPr>
              <w:bidi w:val="0"/>
              <w:jc w:val="center"/>
              <w:rPr>
                <w:rFonts w:hint="eastAsia" w:ascii="宋体" w:hAnsi="宋体" w:eastAsia="宋体" w:cs="宋体"/>
                <w:color w:val="auto"/>
                <w:sz w:val="21"/>
                <w:szCs w:val="21"/>
                <w:highlight w:val="none"/>
              </w:rPr>
            </w:pPr>
          </w:p>
          <w:p w14:paraId="55E1EF95">
            <w:pPr>
              <w:bidi w:val="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9</w:t>
            </w:r>
          </w:p>
        </w:tc>
        <w:tc>
          <w:tcPr>
            <w:tcW w:w="1832" w:type="dxa"/>
            <w:vAlign w:val="center"/>
          </w:tcPr>
          <w:p w14:paraId="311B3262">
            <w:pPr>
              <w:bidi w:val="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科技赋能湿地保护与管理</w:t>
            </w:r>
          </w:p>
        </w:tc>
        <w:tc>
          <w:tcPr>
            <w:tcW w:w="4157" w:type="dxa"/>
            <w:vAlign w:val="center"/>
          </w:tcPr>
          <w:p w14:paraId="048BE4D1">
            <w:pPr>
              <w:bidi w:val="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遥感、无人机、物联网等科技在湿地监测、管理中的应用</w:t>
            </w:r>
          </w:p>
        </w:tc>
        <w:tc>
          <w:tcPr>
            <w:tcW w:w="2506" w:type="dxa"/>
            <w:vAlign w:val="center"/>
          </w:tcPr>
          <w:p w14:paraId="0FA4B1E3">
            <w:pPr>
              <w:bidi w:val="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科技成果展示（图片/视频/互动程序）、专家讲座、线上演示</w:t>
            </w:r>
          </w:p>
        </w:tc>
      </w:tr>
      <w:tr w14:paraId="0E71F4E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 w:hRule="atLeast"/>
          <w:jc w:val="center"/>
        </w:trPr>
        <w:tc>
          <w:tcPr>
            <w:tcW w:w="462" w:type="dxa"/>
            <w:vAlign w:val="center"/>
          </w:tcPr>
          <w:p w14:paraId="218DA7CE">
            <w:pPr>
              <w:bidi w:val="0"/>
              <w:jc w:val="center"/>
              <w:rPr>
                <w:rFonts w:hint="eastAsia" w:ascii="宋体" w:hAnsi="宋体" w:eastAsia="宋体" w:cs="宋体"/>
                <w:color w:val="auto"/>
                <w:sz w:val="21"/>
                <w:szCs w:val="21"/>
                <w:highlight w:val="none"/>
              </w:rPr>
            </w:pPr>
          </w:p>
          <w:p w14:paraId="096680E1">
            <w:pPr>
              <w:bidi w:val="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10</w:t>
            </w:r>
          </w:p>
        </w:tc>
        <w:tc>
          <w:tcPr>
            <w:tcW w:w="1832" w:type="dxa"/>
            <w:vAlign w:val="center"/>
          </w:tcPr>
          <w:p w14:paraId="53B7AF54">
            <w:pPr>
              <w:bidi w:val="0"/>
              <w:jc w:val="center"/>
              <w:rPr>
                <w:rFonts w:hint="eastAsia" w:ascii="宋体" w:hAnsi="宋体" w:eastAsia="宋体" w:cs="宋体"/>
                <w:color w:val="auto"/>
                <w:sz w:val="21"/>
                <w:szCs w:val="21"/>
                <w:highlight w:val="none"/>
              </w:rPr>
            </w:pPr>
          </w:p>
          <w:p w14:paraId="0D27B990">
            <w:pPr>
              <w:bidi w:val="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和谐共生，共建湿地城市</w:t>
            </w:r>
          </w:p>
        </w:tc>
        <w:tc>
          <w:tcPr>
            <w:tcW w:w="4157" w:type="dxa"/>
            <w:vAlign w:val="center"/>
          </w:tcPr>
          <w:p w14:paraId="607B003A">
            <w:pPr>
              <w:bidi w:val="0"/>
              <w:jc w:val="center"/>
              <w:rPr>
                <w:rFonts w:hint="eastAsia" w:ascii="宋体" w:hAnsi="宋体" w:eastAsia="宋体" w:cs="宋体"/>
                <w:color w:val="auto"/>
                <w:sz w:val="21"/>
                <w:szCs w:val="21"/>
                <w:highlight w:val="none"/>
              </w:rPr>
            </w:pPr>
          </w:p>
          <w:p w14:paraId="3280E4D5">
            <w:pPr>
              <w:bidi w:val="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湿地城市/海绵城市理念、绿色生活方式倡导，总结活动成果并发出持续保护倡议</w:t>
            </w:r>
          </w:p>
        </w:tc>
        <w:tc>
          <w:tcPr>
            <w:tcW w:w="2506" w:type="dxa"/>
            <w:vAlign w:val="center"/>
          </w:tcPr>
          <w:p w14:paraId="278B644A">
            <w:pPr>
              <w:bidi w:val="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成果汇报展（摄影/绘画/征文作品）、公众论坛、发布保护倡议书、未来规划展望</w:t>
            </w:r>
          </w:p>
        </w:tc>
      </w:tr>
    </w:tbl>
    <w:p w14:paraId="21D5DFD1">
      <w:pPr>
        <w:spacing w:line="428" w:lineRule="exact"/>
        <w:ind w:left="119"/>
        <w:jc w:val="both"/>
        <w:rPr>
          <w:rFonts w:hint="eastAsia" w:ascii="宋体" w:hAnsi="宋体" w:eastAsia="宋体" w:cs="宋体"/>
          <w:color w:val="auto"/>
          <w:highlight w:val="none"/>
        </w:rPr>
        <w:sectPr>
          <w:pgSz w:w="11906" w:h="16838"/>
          <w:pgMar w:top="1134" w:right="1134" w:bottom="1134" w:left="1134" w:header="720" w:footer="720" w:gutter="0"/>
          <w:cols w:space="720" w:num="1"/>
          <w:docGrid w:type="lines" w:linePitch="331" w:charSpace="0"/>
        </w:sectPr>
      </w:pPr>
    </w:p>
    <w:p w14:paraId="68323073">
      <w:pPr>
        <w:spacing w:line="428" w:lineRule="exact"/>
        <w:ind w:left="119"/>
        <w:jc w:val="both"/>
        <w:rPr>
          <w:rFonts w:hint="eastAsia" w:ascii="宋体" w:hAnsi="宋体" w:eastAsia="宋体" w:cs="宋体"/>
          <w:color w:val="auto"/>
          <w:sz w:val="32"/>
          <w:szCs w:val="32"/>
          <w:highlight w:val="none"/>
        </w:rPr>
      </w:pPr>
      <w:r>
        <w:rPr>
          <w:rFonts w:hint="eastAsia" w:ascii="宋体" w:hAnsi="宋体" w:eastAsia="宋体" w:cs="宋体"/>
          <w:color w:val="auto"/>
          <w:sz w:val="32"/>
          <w:szCs w:val="32"/>
          <w:highlight w:val="none"/>
        </w:rPr>
        <w:t>附件</w:t>
      </w:r>
      <w:r>
        <w:rPr>
          <w:rFonts w:hint="eastAsia" w:ascii="宋体" w:hAnsi="宋体" w:cs="宋体"/>
          <w:color w:val="auto"/>
          <w:sz w:val="32"/>
          <w:szCs w:val="32"/>
          <w:highlight w:val="none"/>
          <w:lang w:val="en-US" w:eastAsia="zh-CN"/>
        </w:rPr>
        <w:t>4</w:t>
      </w:r>
      <w:r>
        <w:rPr>
          <w:rFonts w:hint="eastAsia" w:ascii="宋体" w:hAnsi="宋体" w:eastAsia="宋体" w:cs="宋体"/>
          <w:color w:val="auto"/>
          <w:sz w:val="32"/>
          <w:szCs w:val="32"/>
          <w:highlight w:val="none"/>
        </w:rPr>
        <w:t>：</w:t>
      </w:r>
    </w:p>
    <w:p w14:paraId="065107CE">
      <w:pPr>
        <w:spacing w:before="7"/>
        <w:rPr>
          <w:rFonts w:hint="eastAsia" w:ascii="宋体" w:hAnsi="宋体" w:eastAsia="宋体" w:cs="宋体"/>
          <w:color w:val="auto"/>
          <w:sz w:val="17"/>
          <w:szCs w:val="17"/>
          <w:highlight w:val="none"/>
        </w:rPr>
      </w:pPr>
    </w:p>
    <w:p w14:paraId="424A6F54">
      <w:pPr>
        <w:spacing w:line="528" w:lineRule="exact"/>
        <w:jc w:val="center"/>
        <w:rPr>
          <w:rFonts w:hint="eastAsia" w:ascii="宋体" w:hAnsi="宋体" w:eastAsia="宋体" w:cs="宋体"/>
          <w:color w:val="auto"/>
          <w:sz w:val="40"/>
          <w:szCs w:val="40"/>
          <w:highlight w:val="none"/>
        </w:rPr>
      </w:pPr>
      <w:r>
        <w:rPr>
          <w:rFonts w:hint="eastAsia" w:ascii="宋体" w:hAnsi="宋体" w:eastAsia="宋体" w:cs="宋体"/>
          <w:color w:val="auto"/>
          <w:sz w:val="40"/>
          <w:szCs w:val="40"/>
          <w:highlight w:val="none"/>
        </w:rPr>
        <w:t>节能产品政府采购品目清单</w:t>
      </w:r>
    </w:p>
    <w:tbl>
      <w:tblPr>
        <w:tblStyle w:val="35"/>
        <w:tblW w:w="9220" w:type="dxa"/>
        <w:tblInd w:w="93" w:type="dxa"/>
        <w:tblLayout w:type="autofit"/>
        <w:tblCellMar>
          <w:top w:w="0" w:type="dxa"/>
          <w:left w:w="108" w:type="dxa"/>
          <w:bottom w:w="0" w:type="dxa"/>
          <w:right w:w="108" w:type="dxa"/>
        </w:tblCellMar>
      </w:tblPr>
      <w:tblGrid>
        <w:gridCol w:w="641"/>
        <w:gridCol w:w="1116"/>
        <w:gridCol w:w="1516"/>
        <w:gridCol w:w="1612"/>
        <w:gridCol w:w="4335"/>
      </w:tblGrid>
      <w:tr w14:paraId="4DD1571A">
        <w:tblPrEx>
          <w:tblCellMar>
            <w:top w:w="0" w:type="dxa"/>
            <w:left w:w="108" w:type="dxa"/>
            <w:bottom w:w="0" w:type="dxa"/>
            <w:right w:w="108" w:type="dxa"/>
          </w:tblCellMar>
        </w:tblPrEx>
        <w:trPr>
          <w:trHeight w:val="555" w:hRule="atLeast"/>
        </w:trPr>
        <w:tc>
          <w:tcPr>
            <w:tcW w:w="660" w:type="dxa"/>
            <w:tcBorders>
              <w:top w:val="single" w:color="000000" w:sz="8" w:space="0"/>
              <w:left w:val="single" w:color="000000" w:sz="8" w:space="0"/>
              <w:bottom w:val="single" w:color="000000" w:sz="8" w:space="0"/>
              <w:right w:val="single" w:color="000000" w:sz="8" w:space="0"/>
            </w:tcBorders>
            <w:noWrap w:val="0"/>
            <w:vAlign w:val="top"/>
          </w:tcPr>
          <w:p w14:paraId="568F08F8">
            <w:pPr>
              <w:widowControl/>
              <w:jc w:val="center"/>
              <w:rPr>
                <w:rFonts w:hint="eastAsia" w:ascii="宋体" w:hAnsi="宋体" w:eastAsia="宋体" w:cs="宋体"/>
                <w:b/>
                <w:bCs/>
                <w:color w:val="auto"/>
                <w:kern w:val="0"/>
                <w:sz w:val="22"/>
                <w:szCs w:val="22"/>
                <w:highlight w:val="none"/>
              </w:rPr>
            </w:pPr>
            <w:r>
              <w:rPr>
                <w:rFonts w:hint="eastAsia" w:ascii="宋体" w:hAnsi="宋体" w:eastAsia="宋体" w:cs="宋体"/>
                <w:b/>
                <w:bCs/>
                <w:color w:val="auto"/>
                <w:kern w:val="0"/>
                <w:sz w:val="22"/>
                <w:szCs w:val="22"/>
                <w:highlight w:val="none"/>
              </w:rPr>
              <w:t>品目序号</w:t>
            </w:r>
          </w:p>
        </w:tc>
        <w:tc>
          <w:tcPr>
            <w:tcW w:w="4020" w:type="dxa"/>
            <w:gridSpan w:val="3"/>
            <w:tcBorders>
              <w:top w:val="single" w:color="000000" w:sz="8" w:space="0"/>
              <w:left w:val="nil"/>
              <w:bottom w:val="single" w:color="000000" w:sz="8" w:space="0"/>
              <w:right w:val="single" w:color="000000" w:sz="8" w:space="0"/>
            </w:tcBorders>
            <w:noWrap w:val="0"/>
            <w:vAlign w:val="center"/>
          </w:tcPr>
          <w:p w14:paraId="151FB2EB">
            <w:pPr>
              <w:widowControl/>
              <w:jc w:val="center"/>
              <w:rPr>
                <w:rFonts w:hint="eastAsia" w:ascii="宋体" w:hAnsi="宋体" w:eastAsia="宋体" w:cs="宋体"/>
                <w:b/>
                <w:bCs/>
                <w:color w:val="auto"/>
                <w:kern w:val="0"/>
                <w:sz w:val="22"/>
                <w:szCs w:val="22"/>
                <w:highlight w:val="none"/>
              </w:rPr>
            </w:pPr>
            <w:r>
              <w:rPr>
                <w:rFonts w:hint="eastAsia" w:ascii="宋体" w:hAnsi="宋体" w:eastAsia="宋体" w:cs="宋体"/>
                <w:b/>
                <w:bCs/>
                <w:color w:val="auto"/>
                <w:kern w:val="0"/>
                <w:sz w:val="22"/>
                <w:szCs w:val="22"/>
                <w:highlight w:val="none"/>
              </w:rPr>
              <w:t>名称</w:t>
            </w:r>
          </w:p>
        </w:tc>
        <w:tc>
          <w:tcPr>
            <w:tcW w:w="4540" w:type="dxa"/>
            <w:tcBorders>
              <w:top w:val="single" w:color="000000" w:sz="8" w:space="0"/>
              <w:left w:val="nil"/>
              <w:bottom w:val="single" w:color="000000" w:sz="8" w:space="0"/>
              <w:right w:val="single" w:color="000000" w:sz="8" w:space="0"/>
            </w:tcBorders>
            <w:noWrap w:val="0"/>
            <w:vAlign w:val="center"/>
          </w:tcPr>
          <w:p w14:paraId="65EE8802">
            <w:pPr>
              <w:widowControl/>
              <w:jc w:val="center"/>
              <w:rPr>
                <w:rFonts w:hint="eastAsia" w:ascii="宋体" w:hAnsi="宋体" w:eastAsia="宋体" w:cs="宋体"/>
                <w:b/>
                <w:bCs/>
                <w:color w:val="auto"/>
                <w:kern w:val="0"/>
                <w:sz w:val="22"/>
                <w:szCs w:val="22"/>
                <w:highlight w:val="none"/>
              </w:rPr>
            </w:pPr>
            <w:r>
              <w:rPr>
                <w:rFonts w:hint="eastAsia" w:ascii="宋体" w:hAnsi="宋体" w:eastAsia="宋体" w:cs="宋体"/>
                <w:b/>
                <w:bCs/>
                <w:color w:val="auto"/>
                <w:kern w:val="0"/>
                <w:sz w:val="22"/>
                <w:szCs w:val="22"/>
                <w:highlight w:val="none"/>
              </w:rPr>
              <w:t>依据的标准</w:t>
            </w:r>
          </w:p>
        </w:tc>
      </w:tr>
      <w:tr w14:paraId="604A5202">
        <w:tblPrEx>
          <w:tblCellMar>
            <w:top w:w="0" w:type="dxa"/>
            <w:left w:w="108" w:type="dxa"/>
            <w:bottom w:w="0" w:type="dxa"/>
            <w:right w:w="108" w:type="dxa"/>
          </w:tblCellMar>
        </w:tblPrEx>
        <w:trPr>
          <w:trHeight w:val="495" w:hRule="atLeast"/>
        </w:trPr>
        <w:tc>
          <w:tcPr>
            <w:tcW w:w="660" w:type="dxa"/>
            <w:vMerge w:val="restart"/>
            <w:tcBorders>
              <w:top w:val="nil"/>
              <w:left w:val="single" w:color="000000" w:sz="8" w:space="0"/>
              <w:bottom w:val="single" w:color="000000" w:sz="8" w:space="0"/>
              <w:right w:val="single" w:color="000000" w:sz="8" w:space="0"/>
            </w:tcBorders>
            <w:noWrap w:val="0"/>
            <w:vAlign w:val="center"/>
          </w:tcPr>
          <w:p w14:paraId="14943038">
            <w:pPr>
              <w:widowControl/>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1</w:t>
            </w:r>
          </w:p>
        </w:tc>
        <w:tc>
          <w:tcPr>
            <w:tcW w:w="1080" w:type="dxa"/>
            <w:vMerge w:val="restart"/>
            <w:tcBorders>
              <w:top w:val="nil"/>
              <w:left w:val="single" w:color="000000" w:sz="8" w:space="0"/>
              <w:bottom w:val="single" w:color="000000" w:sz="8" w:space="0"/>
              <w:right w:val="single" w:color="000000" w:sz="8" w:space="0"/>
            </w:tcBorders>
            <w:noWrap w:val="0"/>
            <w:vAlign w:val="center"/>
          </w:tcPr>
          <w:p w14:paraId="53C460D0">
            <w:pPr>
              <w:widowControl/>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A020101计算机设备</w:t>
            </w:r>
          </w:p>
        </w:tc>
        <w:tc>
          <w:tcPr>
            <w:tcW w:w="1320" w:type="dxa"/>
            <w:tcBorders>
              <w:top w:val="nil"/>
              <w:left w:val="nil"/>
              <w:bottom w:val="single" w:color="000000" w:sz="8" w:space="0"/>
              <w:right w:val="single" w:color="000000" w:sz="8" w:space="0"/>
            </w:tcBorders>
            <w:noWrap w:val="0"/>
            <w:vAlign w:val="center"/>
          </w:tcPr>
          <w:p w14:paraId="05DD006F">
            <w:pPr>
              <w:widowControl/>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★A02010104台式计算机</w:t>
            </w:r>
          </w:p>
        </w:tc>
        <w:tc>
          <w:tcPr>
            <w:tcW w:w="1620" w:type="dxa"/>
            <w:tcBorders>
              <w:top w:val="nil"/>
              <w:left w:val="nil"/>
              <w:bottom w:val="single" w:color="000000" w:sz="8" w:space="0"/>
              <w:right w:val="single" w:color="000000" w:sz="8" w:space="0"/>
            </w:tcBorders>
            <w:noWrap w:val="0"/>
            <w:vAlign w:val="center"/>
          </w:tcPr>
          <w:p w14:paraId="32D23082">
            <w:pPr>
              <w:widowControl/>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　</w:t>
            </w:r>
          </w:p>
        </w:tc>
        <w:tc>
          <w:tcPr>
            <w:tcW w:w="4540" w:type="dxa"/>
            <w:tcBorders>
              <w:top w:val="nil"/>
              <w:left w:val="nil"/>
              <w:bottom w:val="single" w:color="000000" w:sz="8" w:space="0"/>
              <w:right w:val="single" w:color="000000" w:sz="8" w:space="0"/>
            </w:tcBorders>
            <w:noWrap w:val="0"/>
            <w:vAlign w:val="center"/>
          </w:tcPr>
          <w:p w14:paraId="4258E3E1">
            <w:pPr>
              <w:widowControl/>
              <w:jc w:val="left"/>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《微型计算机能效限定值及能效等级》（GB28380）</w:t>
            </w:r>
          </w:p>
        </w:tc>
      </w:tr>
      <w:tr w14:paraId="3357C2D4">
        <w:tblPrEx>
          <w:tblCellMar>
            <w:top w:w="0" w:type="dxa"/>
            <w:left w:w="108" w:type="dxa"/>
            <w:bottom w:w="0" w:type="dxa"/>
            <w:right w:w="108" w:type="dxa"/>
          </w:tblCellMar>
        </w:tblPrEx>
        <w:trPr>
          <w:trHeight w:val="495" w:hRule="atLeast"/>
        </w:trPr>
        <w:tc>
          <w:tcPr>
            <w:tcW w:w="0" w:type="auto"/>
            <w:vMerge w:val="continue"/>
            <w:tcBorders>
              <w:top w:val="nil"/>
              <w:left w:val="single" w:color="000000" w:sz="8" w:space="0"/>
              <w:bottom w:val="single" w:color="000000" w:sz="8" w:space="0"/>
              <w:right w:val="single" w:color="000000" w:sz="8" w:space="0"/>
            </w:tcBorders>
            <w:noWrap w:val="0"/>
            <w:vAlign w:val="center"/>
          </w:tcPr>
          <w:p w14:paraId="3F8E5B26">
            <w:pPr>
              <w:widowControl/>
              <w:jc w:val="left"/>
              <w:rPr>
                <w:rFonts w:hint="eastAsia" w:ascii="宋体" w:hAnsi="宋体" w:eastAsia="宋体" w:cs="宋体"/>
                <w:color w:val="auto"/>
                <w:kern w:val="0"/>
                <w:sz w:val="20"/>
                <w:szCs w:val="20"/>
                <w:highlight w:val="none"/>
              </w:rPr>
            </w:pPr>
          </w:p>
        </w:tc>
        <w:tc>
          <w:tcPr>
            <w:tcW w:w="0" w:type="auto"/>
            <w:vMerge w:val="continue"/>
            <w:tcBorders>
              <w:top w:val="nil"/>
              <w:left w:val="single" w:color="000000" w:sz="8" w:space="0"/>
              <w:bottom w:val="single" w:color="000000" w:sz="8" w:space="0"/>
              <w:right w:val="single" w:color="000000" w:sz="8" w:space="0"/>
            </w:tcBorders>
            <w:noWrap w:val="0"/>
            <w:vAlign w:val="center"/>
          </w:tcPr>
          <w:p w14:paraId="72D4BFB4">
            <w:pPr>
              <w:widowControl/>
              <w:jc w:val="left"/>
              <w:rPr>
                <w:rFonts w:hint="eastAsia" w:ascii="宋体" w:hAnsi="宋体" w:eastAsia="宋体" w:cs="宋体"/>
                <w:color w:val="auto"/>
                <w:kern w:val="0"/>
                <w:sz w:val="20"/>
                <w:szCs w:val="20"/>
                <w:highlight w:val="none"/>
              </w:rPr>
            </w:pPr>
          </w:p>
        </w:tc>
        <w:tc>
          <w:tcPr>
            <w:tcW w:w="1320" w:type="dxa"/>
            <w:tcBorders>
              <w:top w:val="nil"/>
              <w:left w:val="nil"/>
              <w:bottom w:val="single" w:color="000000" w:sz="8" w:space="0"/>
              <w:right w:val="single" w:color="000000" w:sz="8" w:space="0"/>
            </w:tcBorders>
            <w:noWrap w:val="0"/>
            <w:vAlign w:val="center"/>
          </w:tcPr>
          <w:p w14:paraId="714EB039">
            <w:pPr>
              <w:widowControl/>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★A02010105便携式计算机</w:t>
            </w:r>
          </w:p>
        </w:tc>
        <w:tc>
          <w:tcPr>
            <w:tcW w:w="1620" w:type="dxa"/>
            <w:tcBorders>
              <w:top w:val="nil"/>
              <w:left w:val="nil"/>
              <w:bottom w:val="single" w:color="000000" w:sz="8" w:space="0"/>
              <w:right w:val="single" w:color="000000" w:sz="8" w:space="0"/>
            </w:tcBorders>
            <w:noWrap w:val="0"/>
            <w:vAlign w:val="center"/>
          </w:tcPr>
          <w:p w14:paraId="09907890">
            <w:pPr>
              <w:widowControl/>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　</w:t>
            </w:r>
          </w:p>
        </w:tc>
        <w:tc>
          <w:tcPr>
            <w:tcW w:w="4540" w:type="dxa"/>
            <w:tcBorders>
              <w:top w:val="nil"/>
              <w:left w:val="nil"/>
              <w:bottom w:val="single" w:color="000000" w:sz="8" w:space="0"/>
              <w:right w:val="single" w:color="000000" w:sz="8" w:space="0"/>
            </w:tcBorders>
            <w:noWrap w:val="0"/>
            <w:vAlign w:val="center"/>
          </w:tcPr>
          <w:p w14:paraId="07DF027C">
            <w:pPr>
              <w:widowControl/>
              <w:jc w:val="left"/>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《微型计算机能效限定值及能效等级》（GB28380）</w:t>
            </w:r>
          </w:p>
        </w:tc>
      </w:tr>
      <w:tr w14:paraId="66F1B560">
        <w:tblPrEx>
          <w:tblCellMar>
            <w:top w:w="0" w:type="dxa"/>
            <w:left w:w="108" w:type="dxa"/>
            <w:bottom w:w="0" w:type="dxa"/>
            <w:right w:w="108" w:type="dxa"/>
          </w:tblCellMar>
        </w:tblPrEx>
        <w:trPr>
          <w:trHeight w:val="735" w:hRule="atLeast"/>
        </w:trPr>
        <w:tc>
          <w:tcPr>
            <w:tcW w:w="0" w:type="auto"/>
            <w:vMerge w:val="continue"/>
            <w:tcBorders>
              <w:top w:val="nil"/>
              <w:left w:val="single" w:color="000000" w:sz="8" w:space="0"/>
              <w:bottom w:val="single" w:color="000000" w:sz="8" w:space="0"/>
              <w:right w:val="single" w:color="000000" w:sz="8" w:space="0"/>
            </w:tcBorders>
            <w:noWrap w:val="0"/>
            <w:vAlign w:val="center"/>
          </w:tcPr>
          <w:p w14:paraId="39BA3222">
            <w:pPr>
              <w:widowControl/>
              <w:jc w:val="left"/>
              <w:rPr>
                <w:rFonts w:hint="eastAsia" w:ascii="宋体" w:hAnsi="宋体" w:eastAsia="宋体" w:cs="宋体"/>
                <w:color w:val="auto"/>
                <w:kern w:val="0"/>
                <w:sz w:val="20"/>
                <w:szCs w:val="20"/>
                <w:highlight w:val="none"/>
              </w:rPr>
            </w:pPr>
          </w:p>
        </w:tc>
        <w:tc>
          <w:tcPr>
            <w:tcW w:w="0" w:type="auto"/>
            <w:vMerge w:val="continue"/>
            <w:tcBorders>
              <w:top w:val="nil"/>
              <w:left w:val="single" w:color="000000" w:sz="8" w:space="0"/>
              <w:bottom w:val="single" w:color="000000" w:sz="8" w:space="0"/>
              <w:right w:val="single" w:color="000000" w:sz="8" w:space="0"/>
            </w:tcBorders>
            <w:noWrap w:val="0"/>
            <w:vAlign w:val="center"/>
          </w:tcPr>
          <w:p w14:paraId="51974E28">
            <w:pPr>
              <w:widowControl/>
              <w:jc w:val="left"/>
              <w:rPr>
                <w:rFonts w:hint="eastAsia" w:ascii="宋体" w:hAnsi="宋体" w:eastAsia="宋体" w:cs="宋体"/>
                <w:color w:val="auto"/>
                <w:kern w:val="0"/>
                <w:sz w:val="20"/>
                <w:szCs w:val="20"/>
                <w:highlight w:val="none"/>
              </w:rPr>
            </w:pPr>
          </w:p>
        </w:tc>
        <w:tc>
          <w:tcPr>
            <w:tcW w:w="1320" w:type="dxa"/>
            <w:tcBorders>
              <w:top w:val="nil"/>
              <w:left w:val="nil"/>
              <w:bottom w:val="single" w:color="000000" w:sz="8" w:space="0"/>
              <w:right w:val="single" w:color="000000" w:sz="8" w:space="0"/>
            </w:tcBorders>
            <w:noWrap w:val="0"/>
            <w:vAlign w:val="center"/>
          </w:tcPr>
          <w:p w14:paraId="6147E28E">
            <w:pPr>
              <w:widowControl/>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★A02010107平板式微型计算机</w:t>
            </w:r>
          </w:p>
        </w:tc>
        <w:tc>
          <w:tcPr>
            <w:tcW w:w="1620" w:type="dxa"/>
            <w:tcBorders>
              <w:top w:val="nil"/>
              <w:left w:val="nil"/>
              <w:bottom w:val="single" w:color="000000" w:sz="8" w:space="0"/>
              <w:right w:val="single" w:color="000000" w:sz="8" w:space="0"/>
            </w:tcBorders>
            <w:noWrap w:val="0"/>
            <w:vAlign w:val="center"/>
          </w:tcPr>
          <w:p w14:paraId="1F10D46E">
            <w:pPr>
              <w:widowControl/>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　</w:t>
            </w:r>
          </w:p>
        </w:tc>
        <w:tc>
          <w:tcPr>
            <w:tcW w:w="4540" w:type="dxa"/>
            <w:tcBorders>
              <w:top w:val="nil"/>
              <w:left w:val="nil"/>
              <w:bottom w:val="single" w:color="000000" w:sz="8" w:space="0"/>
              <w:right w:val="single" w:color="000000" w:sz="8" w:space="0"/>
            </w:tcBorders>
            <w:noWrap w:val="0"/>
            <w:vAlign w:val="center"/>
          </w:tcPr>
          <w:p w14:paraId="2FDA8B15">
            <w:pPr>
              <w:widowControl/>
              <w:jc w:val="left"/>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《微型计算机能效限定值及能效等级》（GB28380）</w:t>
            </w:r>
          </w:p>
        </w:tc>
      </w:tr>
      <w:tr w14:paraId="0AE5BF71">
        <w:tblPrEx>
          <w:tblCellMar>
            <w:top w:w="0" w:type="dxa"/>
            <w:left w:w="108" w:type="dxa"/>
            <w:bottom w:w="0" w:type="dxa"/>
            <w:right w:w="108" w:type="dxa"/>
          </w:tblCellMar>
        </w:tblPrEx>
        <w:trPr>
          <w:trHeight w:val="495" w:hRule="atLeast"/>
        </w:trPr>
        <w:tc>
          <w:tcPr>
            <w:tcW w:w="660" w:type="dxa"/>
            <w:vMerge w:val="restart"/>
            <w:tcBorders>
              <w:top w:val="nil"/>
              <w:left w:val="single" w:color="000000" w:sz="8" w:space="0"/>
              <w:bottom w:val="single" w:color="000000" w:sz="8" w:space="0"/>
              <w:right w:val="single" w:color="000000" w:sz="8" w:space="0"/>
            </w:tcBorders>
            <w:noWrap w:val="0"/>
            <w:vAlign w:val="center"/>
          </w:tcPr>
          <w:p w14:paraId="3CF9412B">
            <w:pPr>
              <w:widowControl/>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2</w:t>
            </w:r>
          </w:p>
        </w:tc>
        <w:tc>
          <w:tcPr>
            <w:tcW w:w="1080" w:type="dxa"/>
            <w:vMerge w:val="restart"/>
            <w:tcBorders>
              <w:top w:val="nil"/>
              <w:left w:val="single" w:color="000000" w:sz="8" w:space="0"/>
              <w:bottom w:val="single" w:color="000000" w:sz="8" w:space="0"/>
              <w:right w:val="single" w:color="000000" w:sz="8" w:space="0"/>
            </w:tcBorders>
            <w:noWrap w:val="0"/>
            <w:vAlign w:val="center"/>
          </w:tcPr>
          <w:p w14:paraId="0D4412A0">
            <w:pPr>
              <w:widowControl/>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A020106输入输出设备</w:t>
            </w:r>
          </w:p>
        </w:tc>
        <w:tc>
          <w:tcPr>
            <w:tcW w:w="1320" w:type="dxa"/>
            <w:vMerge w:val="restart"/>
            <w:tcBorders>
              <w:top w:val="nil"/>
              <w:left w:val="single" w:color="000000" w:sz="8" w:space="0"/>
              <w:bottom w:val="single" w:color="000000" w:sz="8" w:space="0"/>
              <w:right w:val="single" w:color="000000" w:sz="8" w:space="0"/>
            </w:tcBorders>
            <w:noWrap w:val="0"/>
            <w:vAlign w:val="center"/>
          </w:tcPr>
          <w:p w14:paraId="76F59E01">
            <w:pPr>
              <w:widowControl/>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A02010601打印设备</w:t>
            </w:r>
          </w:p>
        </w:tc>
        <w:tc>
          <w:tcPr>
            <w:tcW w:w="1620" w:type="dxa"/>
            <w:tcBorders>
              <w:top w:val="nil"/>
              <w:left w:val="nil"/>
              <w:bottom w:val="single" w:color="000000" w:sz="8" w:space="0"/>
              <w:right w:val="single" w:color="000000" w:sz="8" w:space="0"/>
            </w:tcBorders>
            <w:noWrap w:val="0"/>
            <w:vAlign w:val="center"/>
          </w:tcPr>
          <w:p w14:paraId="646737EE">
            <w:pPr>
              <w:widowControl/>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A0201060101喷墨打印机</w:t>
            </w:r>
          </w:p>
        </w:tc>
        <w:tc>
          <w:tcPr>
            <w:tcW w:w="4540" w:type="dxa"/>
            <w:tcBorders>
              <w:top w:val="nil"/>
              <w:left w:val="nil"/>
              <w:bottom w:val="single" w:color="000000" w:sz="8" w:space="0"/>
              <w:right w:val="single" w:color="000000" w:sz="8" w:space="0"/>
            </w:tcBorders>
            <w:noWrap w:val="0"/>
            <w:vAlign w:val="center"/>
          </w:tcPr>
          <w:p w14:paraId="2530D635">
            <w:pPr>
              <w:widowControl/>
              <w:jc w:val="left"/>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《复印机、打印机和传真机能效限定值及能效等级》（GB21521）</w:t>
            </w:r>
          </w:p>
        </w:tc>
      </w:tr>
      <w:tr w14:paraId="46B9AB06">
        <w:tblPrEx>
          <w:tblCellMar>
            <w:top w:w="0" w:type="dxa"/>
            <w:left w:w="108" w:type="dxa"/>
            <w:bottom w:w="0" w:type="dxa"/>
            <w:right w:w="108" w:type="dxa"/>
          </w:tblCellMar>
        </w:tblPrEx>
        <w:trPr>
          <w:trHeight w:val="495" w:hRule="atLeast"/>
        </w:trPr>
        <w:tc>
          <w:tcPr>
            <w:tcW w:w="0" w:type="auto"/>
            <w:vMerge w:val="continue"/>
            <w:tcBorders>
              <w:top w:val="nil"/>
              <w:left w:val="single" w:color="000000" w:sz="8" w:space="0"/>
              <w:bottom w:val="single" w:color="000000" w:sz="8" w:space="0"/>
              <w:right w:val="single" w:color="000000" w:sz="8" w:space="0"/>
            </w:tcBorders>
            <w:noWrap w:val="0"/>
            <w:vAlign w:val="center"/>
          </w:tcPr>
          <w:p w14:paraId="33BE814E">
            <w:pPr>
              <w:widowControl/>
              <w:jc w:val="left"/>
              <w:rPr>
                <w:rFonts w:hint="eastAsia" w:ascii="宋体" w:hAnsi="宋体" w:eastAsia="宋体" w:cs="宋体"/>
                <w:color w:val="auto"/>
                <w:kern w:val="0"/>
                <w:sz w:val="20"/>
                <w:szCs w:val="20"/>
                <w:highlight w:val="none"/>
              </w:rPr>
            </w:pPr>
          </w:p>
        </w:tc>
        <w:tc>
          <w:tcPr>
            <w:tcW w:w="0" w:type="auto"/>
            <w:vMerge w:val="continue"/>
            <w:tcBorders>
              <w:top w:val="nil"/>
              <w:left w:val="single" w:color="000000" w:sz="8" w:space="0"/>
              <w:bottom w:val="single" w:color="000000" w:sz="8" w:space="0"/>
              <w:right w:val="single" w:color="000000" w:sz="8" w:space="0"/>
            </w:tcBorders>
            <w:noWrap w:val="0"/>
            <w:vAlign w:val="center"/>
          </w:tcPr>
          <w:p w14:paraId="217A4C79">
            <w:pPr>
              <w:widowControl/>
              <w:jc w:val="left"/>
              <w:rPr>
                <w:rFonts w:hint="eastAsia" w:ascii="宋体" w:hAnsi="宋体" w:eastAsia="宋体" w:cs="宋体"/>
                <w:color w:val="auto"/>
                <w:kern w:val="0"/>
                <w:sz w:val="20"/>
                <w:szCs w:val="20"/>
                <w:highlight w:val="none"/>
              </w:rPr>
            </w:pPr>
          </w:p>
        </w:tc>
        <w:tc>
          <w:tcPr>
            <w:tcW w:w="0" w:type="auto"/>
            <w:vMerge w:val="continue"/>
            <w:tcBorders>
              <w:top w:val="nil"/>
              <w:left w:val="single" w:color="000000" w:sz="8" w:space="0"/>
              <w:bottom w:val="single" w:color="000000" w:sz="8" w:space="0"/>
              <w:right w:val="single" w:color="000000" w:sz="8" w:space="0"/>
            </w:tcBorders>
            <w:noWrap w:val="0"/>
            <w:vAlign w:val="center"/>
          </w:tcPr>
          <w:p w14:paraId="64199B6D">
            <w:pPr>
              <w:widowControl/>
              <w:jc w:val="left"/>
              <w:rPr>
                <w:rFonts w:hint="eastAsia" w:ascii="宋体" w:hAnsi="宋体" w:eastAsia="宋体" w:cs="宋体"/>
                <w:color w:val="auto"/>
                <w:kern w:val="0"/>
                <w:sz w:val="20"/>
                <w:szCs w:val="20"/>
                <w:highlight w:val="none"/>
              </w:rPr>
            </w:pPr>
          </w:p>
        </w:tc>
        <w:tc>
          <w:tcPr>
            <w:tcW w:w="1620" w:type="dxa"/>
            <w:tcBorders>
              <w:top w:val="nil"/>
              <w:left w:val="nil"/>
              <w:bottom w:val="single" w:color="000000" w:sz="8" w:space="0"/>
              <w:right w:val="single" w:color="000000" w:sz="8" w:space="0"/>
            </w:tcBorders>
            <w:noWrap w:val="0"/>
            <w:vAlign w:val="center"/>
          </w:tcPr>
          <w:p w14:paraId="7898759C">
            <w:pPr>
              <w:widowControl/>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★A0201060102激光打印机</w:t>
            </w:r>
          </w:p>
        </w:tc>
        <w:tc>
          <w:tcPr>
            <w:tcW w:w="4540" w:type="dxa"/>
            <w:tcBorders>
              <w:top w:val="nil"/>
              <w:left w:val="nil"/>
              <w:bottom w:val="single" w:color="000000" w:sz="8" w:space="0"/>
              <w:right w:val="single" w:color="000000" w:sz="8" w:space="0"/>
            </w:tcBorders>
            <w:noWrap w:val="0"/>
            <w:vAlign w:val="center"/>
          </w:tcPr>
          <w:p w14:paraId="6EB3BA27">
            <w:pPr>
              <w:widowControl/>
              <w:jc w:val="left"/>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《复印机、打印机和传真机能效限定值及能效等级》（GB21521）</w:t>
            </w:r>
          </w:p>
        </w:tc>
      </w:tr>
      <w:tr w14:paraId="29042395">
        <w:tblPrEx>
          <w:tblCellMar>
            <w:top w:w="0" w:type="dxa"/>
            <w:left w:w="108" w:type="dxa"/>
            <w:bottom w:w="0" w:type="dxa"/>
            <w:right w:w="108" w:type="dxa"/>
          </w:tblCellMar>
        </w:tblPrEx>
        <w:trPr>
          <w:trHeight w:val="495" w:hRule="atLeast"/>
        </w:trPr>
        <w:tc>
          <w:tcPr>
            <w:tcW w:w="0" w:type="auto"/>
            <w:vMerge w:val="continue"/>
            <w:tcBorders>
              <w:top w:val="nil"/>
              <w:left w:val="single" w:color="000000" w:sz="8" w:space="0"/>
              <w:bottom w:val="single" w:color="000000" w:sz="8" w:space="0"/>
              <w:right w:val="single" w:color="000000" w:sz="8" w:space="0"/>
            </w:tcBorders>
            <w:noWrap w:val="0"/>
            <w:vAlign w:val="center"/>
          </w:tcPr>
          <w:p w14:paraId="56355219">
            <w:pPr>
              <w:widowControl/>
              <w:jc w:val="left"/>
              <w:rPr>
                <w:rFonts w:hint="eastAsia" w:ascii="宋体" w:hAnsi="宋体" w:eastAsia="宋体" w:cs="宋体"/>
                <w:color w:val="auto"/>
                <w:kern w:val="0"/>
                <w:sz w:val="20"/>
                <w:szCs w:val="20"/>
                <w:highlight w:val="none"/>
              </w:rPr>
            </w:pPr>
          </w:p>
        </w:tc>
        <w:tc>
          <w:tcPr>
            <w:tcW w:w="0" w:type="auto"/>
            <w:vMerge w:val="continue"/>
            <w:tcBorders>
              <w:top w:val="nil"/>
              <w:left w:val="single" w:color="000000" w:sz="8" w:space="0"/>
              <w:bottom w:val="single" w:color="000000" w:sz="8" w:space="0"/>
              <w:right w:val="single" w:color="000000" w:sz="8" w:space="0"/>
            </w:tcBorders>
            <w:noWrap w:val="0"/>
            <w:vAlign w:val="center"/>
          </w:tcPr>
          <w:p w14:paraId="1896A504">
            <w:pPr>
              <w:widowControl/>
              <w:jc w:val="left"/>
              <w:rPr>
                <w:rFonts w:hint="eastAsia" w:ascii="宋体" w:hAnsi="宋体" w:eastAsia="宋体" w:cs="宋体"/>
                <w:color w:val="auto"/>
                <w:kern w:val="0"/>
                <w:sz w:val="20"/>
                <w:szCs w:val="20"/>
                <w:highlight w:val="none"/>
              </w:rPr>
            </w:pPr>
          </w:p>
        </w:tc>
        <w:tc>
          <w:tcPr>
            <w:tcW w:w="0" w:type="auto"/>
            <w:vMerge w:val="continue"/>
            <w:tcBorders>
              <w:top w:val="nil"/>
              <w:left w:val="single" w:color="000000" w:sz="8" w:space="0"/>
              <w:bottom w:val="single" w:color="000000" w:sz="8" w:space="0"/>
              <w:right w:val="single" w:color="000000" w:sz="8" w:space="0"/>
            </w:tcBorders>
            <w:noWrap w:val="0"/>
            <w:vAlign w:val="center"/>
          </w:tcPr>
          <w:p w14:paraId="3EAE804E">
            <w:pPr>
              <w:widowControl/>
              <w:jc w:val="left"/>
              <w:rPr>
                <w:rFonts w:hint="eastAsia" w:ascii="宋体" w:hAnsi="宋体" w:eastAsia="宋体" w:cs="宋体"/>
                <w:color w:val="auto"/>
                <w:kern w:val="0"/>
                <w:sz w:val="20"/>
                <w:szCs w:val="20"/>
                <w:highlight w:val="none"/>
              </w:rPr>
            </w:pPr>
          </w:p>
        </w:tc>
        <w:tc>
          <w:tcPr>
            <w:tcW w:w="1620" w:type="dxa"/>
            <w:tcBorders>
              <w:top w:val="nil"/>
              <w:left w:val="nil"/>
              <w:bottom w:val="single" w:color="000000" w:sz="8" w:space="0"/>
              <w:right w:val="single" w:color="000000" w:sz="8" w:space="0"/>
            </w:tcBorders>
            <w:noWrap w:val="0"/>
            <w:vAlign w:val="center"/>
          </w:tcPr>
          <w:p w14:paraId="41545F7E">
            <w:pPr>
              <w:widowControl/>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★A0201060104针式打印机</w:t>
            </w:r>
          </w:p>
        </w:tc>
        <w:tc>
          <w:tcPr>
            <w:tcW w:w="4540" w:type="dxa"/>
            <w:tcBorders>
              <w:top w:val="nil"/>
              <w:left w:val="nil"/>
              <w:bottom w:val="single" w:color="000000" w:sz="8" w:space="0"/>
              <w:right w:val="single" w:color="000000" w:sz="8" w:space="0"/>
            </w:tcBorders>
            <w:noWrap w:val="0"/>
            <w:vAlign w:val="center"/>
          </w:tcPr>
          <w:p w14:paraId="3F045138">
            <w:pPr>
              <w:widowControl/>
              <w:jc w:val="left"/>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《复印机、打印机和传真机能效限定值及能效等级》（GB21521）</w:t>
            </w:r>
          </w:p>
        </w:tc>
      </w:tr>
      <w:tr w14:paraId="782D4911">
        <w:tblPrEx>
          <w:tblCellMar>
            <w:top w:w="0" w:type="dxa"/>
            <w:left w:w="108" w:type="dxa"/>
            <w:bottom w:w="0" w:type="dxa"/>
            <w:right w:w="108" w:type="dxa"/>
          </w:tblCellMar>
        </w:tblPrEx>
        <w:trPr>
          <w:trHeight w:val="495" w:hRule="atLeast"/>
        </w:trPr>
        <w:tc>
          <w:tcPr>
            <w:tcW w:w="0" w:type="auto"/>
            <w:vMerge w:val="continue"/>
            <w:tcBorders>
              <w:top w:val="nil"/>
              <w:left w:val="single" w:color="000000" w:sz="8" w:space="0"/>
              <w:bottom w:val="single" w:color="000000" w:sz="8" w:space="0"/>
              <w:right w:val="single" w:color="000000" w:sz="8" w:space="0"/>
            </w:tcBorders>
            <w:noWrap w:val="0"/>
            <w:vAlign w:val="center"/>
          </w:tcPr>
          <w:p w14:paraId="6B9EF1F6">
            <w:pPr>
              <w:widowControl/>
              <w:jc w:val="left"/>
              <w:rPr>
                <w:rFonts w:hint="eastAsia" w:ascii="宋体" w:hAnsi="宋体" w:eastAsia="宋体" w:cs="宋体"/>
                <w:color w:val="auto"/>
                <w:kern w:val="0"/>
                <w:sz w:val="20"/>
                <w:szCs w:val="20"/>
                <w:highlight w:val="none"/>
              </w:rPr>
            </w:pPr>
          </w:p>
        </w:tc>
        <w:tc>
          <w:tcPr>
            <w:tcW w:w="0" w:type="auto"/>
            <w:vMerge w:val="continue"/>
            <w:tcBorders>
              <w:top w:val="nil"/>
              <w:left w:val="single" w:color="000000" w:sz="8" w:space="0"/>
              <w:bottom w:val="single" w:color="000000" w:sz="8" w:space="0"/>
              <w:right w:val="single" w:color="000000" w:sz="8" w:space="0"/>
            </w:tcBorders>
            <w:noWrap w:val="0"/>
            <w:vAlign w:val="center"/>
          </w:tcPr>
          <w:p w14:paraId="0069FFC7">
            <w:pPr>
              <w:widowControl/>
              <w:jc w:val="left"/>
              <w:rPr>
                <w:rFonts w:hint="eastAsia" w:ascii="宋体" w:hAnsi="宋体" w:eastAsia="宋体" w:cs="宋体"/>
                <w:color w:val="auto"/>
                <w:kern w:val="0"/>
                <w:sz w:val="20"/>
                <w:szCs w:val="20"/>
                <w:highlight w:val="none"/>
              </w:rPr>
            </w:pPr>
          </w:p>
        </w:tc>
        <w:tc>
          <w:tcPr>
            <w:tcW w:w="1320" w:type="dxa"/>
            <w:tcBorders>
              <w:top w:val="nil"/>
              <w:left w:val="nil"/>
              <w:bottom w:val="single" w:color="000000" w:sz="8" w:space="0"/>
              <w:right w:val="single" w:color="000000" w:sz="8" w:space="0"/>
            </w:tcBorders>
            <w:noWrap w:val="0"/>
            <w:vAlign w:val="center"/>
          </w:tcPr>
          <w:p w14:paraId="76925FEB">
            <w:pPr>
              <w:widowControl/>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A02010604显示设备</w:t>
            </w:r>
          </w:p>
        </w:tc>
        <w:tc>
          <w:tcPr>
            <w:tcW w:w="1620" w:type="dxa"/>
            <w:tcBorders>
              <w:top w:val="nil"/>
              <w:left w:val="nil"/>
              <w:bottom w:val="single" w:color="000000" w:sz="8" w:space="0"/>
              <w:right w:val="single" w:color="000000" w:sz="8" w:space="0"/>
            </w:tcBorders>
            <w:noWrap w:val="0"/>
            <w:vAlign w:val="center"/>
          </w:tcPr>
          <w:p w14:paraId="161D9FEB">
            <w:pPr>
              <w:widowControl/>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★A0201060401液晶显示器</w:t>
            </w:r>
          </w:p>
        </w:tc>
        <w:tc>
          <w:tcPr>
            <w:tcW w:w="4540" w:type="dxa"/>
            <w:tcBorders>
              <w:top w:val="nil"/>
              <w:left w:val="nil"/>
              <w:bottom w:val="single" w:color="000000" w:sz="8" w:space="0"/>
              <w:right w:val="single" w:color="000000" w:sz="8" w:space="0"/>
            </w:tcBorders>
            <w:noWrap w:val="0"/>
            <w:vAlign w:val="center"/>
          </w:tcPr>
          <w:p w14:paraId="62531B18">
            <w:pPr>
              <w:widowControl/>
              <w:jc w:val="left"/>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《计算机显示器能效限定值及能效等级》（GB21520）</w:t>
            </w:r>
          </w:p>
        </w:tc>
      </w:tr>
      <w:tr w14:paraId="7A904804">
        <w:tblPrEx>
          <w:tblCellMar>
            <w:top w:w="0" w:type="dxa"/>
            <w:left w:w="108" w:type="dxa"/>
            <w:bottom w:w="0" w:type="dxa"/>
            <w:right w:w="108" w:type="dxa"/>
          </w:tblCellMar>
        </w:tblPrEx>
        <w:trPr>
          <w:trHeight w:val="975" w:hRule="atLeast"/>
        </w:trPr>
        <w:tc>
          <w:tcPr>
            <w:tcW w:w="0" w:type="auto"/>
            <w:vMerge w:val="continue"/>
            <w:tcBorders>
              <w:top w:val="nil"/>
              <w:left w:val="single" w:color="000000" w:sz="8" w:space="0"/>
              <w:bottom w:val="single" w:color="000000" w:sz="8" w:space="0"/>
              <w:right w:val="single" w:color="000000" w:sz="8" w:space="0"/>
            </w:tcBorders>
            <w:noWrap w:val="0"/>
            <w:vAlign w:val="center"/>
          </w:tcPr>
          <w:p w14:paraId="68719276">
            <w:pPr>
              <w:widowControl/>
              <w:jc w:val="left"/>
              <w:rPr>
                <w:rFonts w:hint="eastAsia" w:ascii="宋体" w:hAnsi="宋体" w:eastAsia="宋体" w:cs="宋体"/>
                <w:color w:val="auto"/>
                <w:kern w:val="0"/>
                <w:sz w:val="20"/>
                <w:szCs w:val="20"/>
                <w:highlight w:val="none"/>
              </w:rPr>
            </w:pPr>
          </w:p>
        </w:tc>
        <w:tc>
          <w:tcPr>
            <w:tcW w:w="0" w:type="auto"/>
            <w:vMerge w:val="continue"/>
            <w:tcBorders>
              <w:top w:val="nil"/>
              <w:left w:val="single" w:color="000000" w:sz="8" w:space="0"/>
              <w:bottom w:val="single" w:color="000000" w:sz="8" w:space="0"/>
              <w:right w:val="single" w:color="000000" w:sz="8" w:space="0"/>
            </w:tcBorders>
            <w:noWrap w:val="0"/>
            <w:vAlign w:val="center"/>
          </w:tcPr>
          <w:p w14:paraId="45F95A04">
            <w:pPr>
              <w:widowControl/>
              <w:jc w:val="left"/>
              <w:rPr>
                <w:rFonts w:hint="eastAsia" w:ascii="宋体" w:hAnsi="宋体" w:eastAsia="宋体" w:cs="宋体"/>
                <w:color w:val="auto"/>
                <w:kern w:val="0"/>
                <w:sz w:val="20"/>
                <w:szCs w:val="20"/>
                <w:highlight w:val="none"/>
              </w:rPr>
            </w:pPr>
          </w:p>
        </w:tc>
        <w:tc>
          <w:tcPr>
            <w:tcW w:w="1320" w:type="dxa"/>
            <w:tcBorders>
              <w:top w:val="nil"/>
              <w:left w:val="nil"/>
              <w:bottom w:val="single" w:color="000000" w:sz="8" w:space="0"/>
              <w:right w:val="single" w:color="000000" w:sz="8" w:space="0"/>
            </w:tcBorders>
            <w:noWrap w:val="0"/>
            <w:vAlign w:val="center"/>
          </w:tcPr>
          <w:p w14:paraId="1C1D3D33">
            <w:pPr>
              <w:widowControl/>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A02010609图形图像输入设备</w:t>
            </w:r>
          </w:p>
        </w:tc>
        <w:tc>
          <w:tcPr>
            <w:tcW w:w="1620" w:type="dxa"/>
            <w:tcBorders>
              <w:top w:val="nil"/>
              <w:left w:val="nil"/>
              <w:bottom w:val="single" w:color="000000" w:sz="8" w:space="0"/>
              <w:right w:val="single" w:color="000000" w:sz="8" w:space="0"/>
            </w:tcBorders>
            <w:noWrap w:val="0"/>
            <w:vAlign w:val="center"/>
          </w:tcPr>
          <w:p w14:paraId="55CFD297">
            <w:pPr>
              <w:widowControl/>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A0201060901扫描仪</w:t>
            </w:r>
          </w:p>
        </w:tc>
        <w:tc>
          <w:tcPr>
            <w:tcW w:w="4540" w:type="dxa"/>
            <w:tcBorders>
              <w:top w:val="nil"/>
              <w:left w:val="nil"/>
              <w:bottom w:val="single" w:color="000000" w:sz="8" w:space="0"/>
              <w:right w:val="single" w:color="000000" w:sz="8" w:space="0"/>
            </w:tcBorders>
            <w:noWrap w:val="0"/>
            <w:vAlign w:val="center"/>
          </w:tcPr>
          <w:p w14:paraId="31832F01">
            <w:pPr>
              <w:widowControl/>
              <w:jc w:val="left"/>
              <w:rPr>
                <w:rFonts w:hint="eastAsia" w:ascii="宋体" w:hAnsi="宋体" w:eastAsia="宋体" w:cs="宋体"/>
                <w:color w:val="auto"/>
                <w:kern w:val="0"/>
                <w:sz w:val="20"/>
                <w:szCs w:val="20"/>
                <w:highlight w:val="none"/>
                <w:lang w:eastAsia="zh-CN"/>
              </w:rPr>
            </w:pPr>
            <w:r>
              <w:rPr>
                <w:rFonts w:hint="eastAsia" w:ascii="宋体" w:hAnsi="宋体" w:eastAsia="宋体" w:cs="宋体"/>
                <w:color w:val="auto"/>
                <w:kern w:val="0"/>
                <w:sz w:val="20"/>
                <w:szCs w:val="20"/>
                <w:highlight w:val="none"/>
              </w:rPr>
              <w:t>参照《复印机、打印机和传真机能效限定值及能效等级》（GB21521中打印速度为15页/分的针式打印机相关要求</w:t>
            </w:r>
            <w:r>
              <w:rPr>
                <w:rFonts w:hint="eastAsia" w:ascii="宋体" w:hAnsi="宋体" w:cs="宋体"/>
                <w:color w:val="auto"/>
                <w:kern w:val="0"/>
                <w:sz w:val="20"/>
                <w:szCs w:val="20"/>
                <w:highlight w:val="none"/>
                <w:lang w:eastAsia="zh-CN"/>
              </w:rPr>
              <w:t>）</w:t>
            </w:r>
          </w:p>
        </w:tc>
      </w:tr>
      <w:tr w14:paraId="436BEAFF">
        <w:tblPrEx>
          <w:tblCellMar>
            <w:top w:w="0" w:type="dxa"/>
            <w:left w:w="108" w:type="dxa"/>
            <w:bottom w:w="0" w:type="dxa"/>
            <w:right w:w="108" w:type="dxa"/>
          </w:tblCellMar>
        </w:tblPrEx>
        <w:trPr>
          <w:trHeight w:val="495" w:hRule="atLeast"/>
        </w:trPr>
        <w:tc>
          <w:tcPr>
            <w:tcW w:w="660" w:type="dxa"/>
            <w:tcBorders>
              <w:top w:val="nil"/>
              <w:left w:val="single" w:color="000000" w:sz="8" w:space="0"/>
              <w:bottom w:val="single" w:color="000000" w:sz="8" w:space="0"/>
              <w:right w:val="single" w:color="000000" w:sz="8" w:space="0"/>
            </w:tcBorders>
            <w:noWrap w:val="0"/>
            <w:vAlign w:val="center"/>
          </w:tcPr>
          <w:p w14:paraId="0FDFA088">
            <w:pPr>
              <w:widowControl/>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3</w:t>
            </w:r>
          </w:p>
        </w:tc>
        <w:tc>
          <w:tcPr>
            <w:tcW w:w="1080" w:type="dxa"/>
            <w:tcBorders>
              <w:top w:val="nil"/>
              <w:left w:val="nil"/>
              <w:bottom w:val="single" w:color="000000" w:sz="8" w:space="0"/>
              <w:right w:val="single" w:color="000000" w:sz="8" w:space="0"/>
            </w:tcBorders>
            <w:noWrap w:val="0"/>
            <w:vAlign w:val="center"/>
          </w:tcPr>
          <w:p w14:paraId="3F0345E6">
            <w:pPr>
              <w:widowControl/>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A020202投影仪</w:t>
            </w:r>
          </w:p>
        </w:tc>
        <w:tc>
          <w:tcPr>
            <w:tcW w:w="1320" w:type="dxa"/>
            <w:tcBorders>
              <w:top w:val="nil"/>
              <w:left w:val="nil"/>
              <w:bottom w:val="single" w:color="000000" w:sz="8" w:space="0"/>
              <w:right w:val="single" w:color="000000" w:sz="8" w:space="0"/>
            </w:tcBorders>
            <w:noWrap w:val="0"/>
            <w:vAlign w:val="center"/>
          </w:tcPr>
          <w:p w14:paraId="53E2E472">
            <w:pPr>
              <w:widowControl/>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　</w:t>
            </w:r>
          </w:p>
        </w:tc>
        <w:tc>
          <w:tcPr>
            <w:tcW w:w="1620" w:type="dxa"/>
            <w:tcBorders>
              <w:top w:val="nil"/>
              <w:left w:val="nil"/>
              <w:bottom w:val="single" w:color="000000" w:sz="8" w:space="0"/>
              <w:right w:val="single" w:color="000000" w:sz="8" w:space="0"/>
            </w:tcBorders>
            <w:noWrap w:val="0"/>
            <w:vAlign w:val="center"/>
          </w:tcPr>
          <w:p w14:paraId="1E01C025">
            <w:pPr>
              <w:widowControl/>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　</w:t>
            </w:r>
          </w:p>
        </w:tc>
        <w:tc>
          <w:tcPr>
            <w:tcW w:w="4540" w:type="dxa"/>
            <w:tcBorders>
              <w:top w:val="nil"/>
              <w:left w:val="nil"/>
              <w:bottom w:val="single" w:color="000000" w:sz="8" w:space="0"/>
              <w:right w:val="single" w:color="000000" w:sz="8" w:space="0"/>
            </w:tcBorders>
            <w:noWrap w:val="0"/>
            <w:vAlign w:val="center"/>
          </w:tcPr>
          <w:p w14:paraId="740D5055">
            <w:pPr>
              <w:widowControl/>
              <w:jc w:val="left"/>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《投影机能效限定值及能效等级》（GB32028）</w:t>
            </w:r>
          </w:p>
        </w:tc>
      </w:tr>
      <w:tr w14:paraId="6661BE33">
        <w:tblPrEx>
          <w:tblCellMar>
            <w:top w:w="0" w:type="dxa"/>
            <w:left w:w="108" w:type="dxa"/>
            <w:bottom w:w="0" w:type="dxa"/>
            <w:right w:w="108" w:type="dxa"/>
          </w:tblCellMar>
        </w:tblPrEx>
        <w:trPr>
          <w:trHeight w:val="495" w:hRule="atLeast"/>
        </w:trPr>
        <w:tc>
          <w:tcPr>
            <w:tcW w:w="660" w:type="dxa"/>
            <w:tcBorders>
              <w:top w:val="nil"/>
              <w:left w:val="single" w:color="000000" w:sz="8" w:space="0"/>
              <w:bottom w:val="single" w:color="000000" w:sz="8" w:space="0"/>
              <w:right w:val="single" w:color="000000" w:sz="8" w:space="0"/>
            </w:tcBorders>
            <w:noWrap w:val="0"/>
            <w:vAlign w:val="center"/>
          </w:tcPr>
          <w:p w14:paraId="4BBBB449">
            <w:pPr>
              <w:widowControl/>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4</w:t>
            </w:r>
          </w:p>
        </w:tc>
        <w:tc>
          <w:tcPr>
            <w:tcW w:w="1080" w:type="dxa"/>
            <w:tcBorders>
              <w:top w:val="nil"/>
              <w:left w:val="nil"/>
              <w:bottom w:val="single" w:color="000000" w:sz="8" w:space="0"/>
              <w:right w:val="single" w:color="000000" w:sz="8" w:space="0"/>
            </w:tcBorders>
            <w:noWrap w:val="0"/>
            <w:vAlign w:val="center"/>
          </w:tcPr>
          <w:p w14:paraId="2F90C54A">
            <w:pPr>
              <w:widowControl/>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A020204多功能一体机</w:t>
            </w:r>
          </w:p>
        </w:tc>
        <w:tc>
          <w:tcPr>
            <w:tcW w:w="1320" w:type="dxa"/>
            <w:tcBorders>
              <w:top w:val="nil"/>
              <w:left w:val="nil"/>
              <w:bottom w:val="single" w:color="000000" w:sz="8" w:space="0"/>
              <w:right w:val="single" w:color="000000" w:sz="8" w:space="0"/>
            </w:tcBorders>
            <w:noWrap w:val="0"/>
            <w:vAlign w:val="center"/>
          </w:tcPr>
          <w:p w14:paraId="325E342E">
            <w:pPr>
              <w:widowControl/>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　</w:t>
            </w:r>
          </w:p>
        </w:tc>
        <w:tc>
          <w:tcPr>
            <w:tcW w:w="1620" w:type="dxa"/>
            <w:tcBorders>
              <w:top w:val="nil"/>
              <w:left w:val="nil"/>
              <w:bottom w:val="single" w:color="000000" w:sz="8" w:space="0"/>
              <w:right w:val="single" w:color="000000" w:sz="8" w:space="0"/>
            </w:tcBorders>
            <w:noWrap w:val="0"/>
            <w:vAlign w:val="center"/>
          </w:tcPr>
          <w:p w14:paraId="59C96845">
            <w:pPr>
              <w:widowControl/>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　</w:t>
            </w:r>
          </w:p>
        </w:tc>
        <w:tc>
          <w:tcPr>
            <w:tcW w:w="4540" w:type="dxa"/>
            <w:tcBorders>
              <w:top w:val="nil"/>
              <w:left w:val="nil"/>
              <w:bottom w:val="single" w:color="000000" w:sz="8" w:space="0"/>
              <w:right w:val="single" w:color="000000" w:sz="8" w:space="0"/>
            </w:tcBorders>
            <w:noWrap w:val="0"/>
            <w:vAlign w:val="center"/>
          </w:tcPr>
          <w:p w14:paraId="1DEAF632">
            <w:pPr>
              <w:widowControl/>
              <w:jc w:val="left"/>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《复印机、打印机和传真机能效限定值及能效等级》（GB21521）</w:t>
            </w:r>
          </w:p>
        </w:tc>
      </w:tr>
      <w:tr w14:paraId="4772659A">
        <w:tblPrEx>
          <w:tblCellMar>
            <w:top w:w="0" w:type="dxa"/>
            <w:left w:w="108" w:type="dxa"/>
            <w:bottom w:w="0" w:type="dxa"/>
            <w:right w:w="108" w:type="dxa"/>
          </w:tblCellMar>
        </w:tblPrEx>
        <w:trPr>
          <w:trHeight w:val="495" w:hRule="atLeast"/>
        </w:trPr>
        <w:tc>
          <w:tcPr>
            <w:tcW w:w="660" w:type="dxa"/>
            <w:tcBorders>
              <w:top w:val="nil"/>
              <w:left w:val="single" w:color="000000" w:sz="8" w:space="0"/>
              <w:bottom w:val="single" w:color="000000" w:sz="8" w:space="0"/>
              <w:right w:val="single" w:color="000000" w:sz="8" w:space="0"/>
            </w:tcBorders>
            <w:noWrap w:val="0"/>
            <w:vAlign w:val="center"/>
          </w:tcPr>
          <w:p w14:paraId="202D9EBC">
            <w:pPr>
              <w:widowControl/>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5</w:t>
            </w:r>
          </w:p>
        </w:tc>
        <w:tc>
          <w:tcPr>
            <w:tcW w:w="1080" w:type="dxa"/>
            <w:tcBorders>
              <w:top w:val="nil"/>
              <w:left w:val="nil"/>
              <w:bottom w:val="single" w:color="000000" w:sz="8" w:space="0"/>
              <w:right w:val="single" w:color="000000" w:sz="8" w:space="0"/>
            </w:tcBorders>
            <w:noWrap w:val="0"/>
            <w:vAlign w:val="center"/>
          </w:tcPr>
          <w:p w14:paraId="4CF801CE">
            <w:pPr>
              <w:widowControl/>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A020519泵</w:t>
            </w:r>
          </w:p>
        </w:tc>
        <w:tc>
          <w:tcPr>
            <w:tcW w:w="1320" w:type="dxa"/>
            <w:tcBorders>
              <w:top w:val="nil"/>
              <w:left w:val="nil"/>
              <w:bottom w:val="single" w:color="000000" w:sz="8" w:space="0"/>
              <w:right w:val="single" w:color="000000" w:sz="8" w:space="0"/>
            </w:tcBorders>
            <w:noWrap w:val="0"/>
            <w:vAlign w:val="center"/>
          </w:tcPr>
          <w:p w14:paraId="0E9081C5">
            <w:pPr>
              <w:widowControl/>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A02051901离心泵</w:t>
            </w:r>
          </w:p>
        </w:tc>
        <w:tc>
          <w:tcPr>
            <w:tcW w:w="1620" w:type="dxa"/>
            <w:tcBorders>
              <w:top w:val="nil"/>
              <w:left w:val="nil"/>
              <w:bottom w:val="single" w:color="000000" w:sz="8" w:space="0"/>
              <w:right w:val="single" w:color="000000" w:sz="8" w:space="0"/>
            </w:tcBorders>
            <w:noWrap w:val="0"/>
            <w:vAlign w:val="center"/>
          </w:tcPr>
          <w:p w14:paraId="4134D742">
            <w:pPr>
              <w:widowControl/>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　</w:t>
            </w:r>
          </w:p>
        </w:tc>
        <w:tc>
          <w:tcPr>
            <w:tcW w:w="4540" w:type="dxa"/>
            <w:tcBorders>
              <w:top w:val="nil"/>
              <w:left w:val="nil"/>
              <w:bottom w:val="single" w:color="000000" w:sz="8" w:space="0"/>
              <w:right w:val="single" w:color="000000" w:sz="8" w:space="0"/>
            </w:tcBorders>
            <w:noWrap w:val="0"/>
            <w:vAlign w:val="center"/>
          </w:tcPr>
          <w:p w14:paraId="187B86DE">
            <w:pPr>
              <w:widowControl/>
              <w:jc w:val="left"/>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《清水离心泵能效限定值及节能评价值》（GB19762）</w:t>
            </w:r>
          </w:p>
        </w:tc>
      </w:tr>
      <w:tr w14:paraId="6B68D34F">
        <w:tblPrEx>
          <w:tblCellMar>
            <w:top w:w="0" w:type="dxa"/>
            <w:left w:w="108" w:type="dxa"/>
            <w:bottom w:w="0" w:type="dxa"/>
            <w:right w:w="108" w:type="dxa"/>
          </w:tblCellMar>
        </w:tblPrEx>
        <w:trPr>
          <w:trHeight w:val="735" w:hRule="atLeast"/>
        </w:trPr>
        <w:tc>
          <w:tcPr>
            <w:tcW w:w="660" w:type="dxa"/>
            <w:vMerge w:val="restart"/>
            <w:tcBorders>
              <w:top w:val="nil"/>
              <w:left w:val="single" w:color="000000" w:sz="8" w:space="0"/>
              <w:bottom w:val="single" w:color="000000" w:sz="8" w:space="0"/>
              <w:right w:val="single" w:color="000000" w:sz="8" w:space="0"/>
            </w:tcBorders>
            <w:noWrap w:val="0"/>
            <w:vAlign w:val="center"/>
          </w:tcPr>
          <w:p w14:paraId="70C4C889">
            <w:pPr>
              <w:widowControl/>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6</w:t>
            </w:r>
          </w:p>
        </w:tc>
        <w:tc>
          <w:tcPr>
            <w:tcW w:w="1080" w:type="dxa"/>
            <w:vMerge w:val="restart"/>
            <w:tcBorders>
              <w:top w:val="nil"/>
              <w:left w:val="single" w:color="000000" w:sz="8" w:space="0"/>
              <w:bottom w:val="single" w:color="000000" w:sz="8" w:space="0"/>
              <w:right w:val="single" w:color="000000" w:sz="8" w:space="0"/>
            </w:tcBorders>
            <w:noWrap w:val="0"/>
            <w:vAlign w:val="center"/>
          </w:tcPr>
          <w:p w14:paraId="4303A3C3">
            <w:pPr>
              <w:widowControl/>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A020523制冷空调设备</w:t>
            </w:r>
          </w:p>
        </w:tc>
        <w:tc>
          <w:tcPr>
            <w:tcW w:w="1320" w:type="dxa"/>
            <w:vMerge w:val="restart"/>
            <w:tcBorders>
              <w:top w:val="nil"/>
              <w:left w:val="single" w:color="000000" w:sz="8" w:space="0"/>
              <w:bottom w:val="single" w:color="000000" w:sz="8" w:space="0"/>
              <w:right w:val="single" w:color="000000" w:sz="8" w:space="0"/>
            </w:tcBorders>
            <w:noWrap w:val="0"/>
            <w:vAlign w:val="center"/>
          </w:tcPr>
          <w:p w14:paraId="4C032495">
            <w:pPr>
              <w:widowControl/>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★A02052301制冷压缩机</w:t>
            </w:r>
          </w:p>
        </w:tc>
        <w:tc>
          <w:tcPr>
            <w:tcW w:w="1620" w:type="dxa"/>
            <w:tcBorders>
              <w:top w:val="nil"/>
              <w:left w:val="nil"/>
              <w:bottom w:val="single" w:color="000000" w:sz="8" w:space="0"/>
              <w:right w:val="single" w:color="000000" w:sz="8" w:space="0"/>
            </w:tcBorders>
            <w:noWrap w:val="0"/>
            <w:vAlign w:val="center"/>
          </w:tcPr>
          <w:p w14:paraId="629CA81A">
            <w:pPr>
              <w:widowControl/>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冷水机组</w:t>
            </w:r>
          </w:p>
        </w:tc>
        <w:tc>
          <w:tcPr>
            <w:tcW w:w="4540" w:type="dxa"/>
            <w:tcBorders>
              <w:top w:val="nil"/>
              <w:left w:val="nil"/>
              <w:bottom w:val="single" w:color="000000" w:sz="8" w:space="0"/>
              <w:right w:val="single" w:color="000000" w:sz="8" w:space="0"/>
            </w:tcBorders>
            <w:noWrap w:val="0"/>
            <w:vAlign w:val="center"/>
          </w:tcPr>
          <w:p w14:paraId="17FA387C">
            <w:pPr>
              <w:widowControl/>
              <w:jc w:val="left"/>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《冷水机组能效限定值及能效等级》（GB19577），《低环境温度空气源热泵（冷水）机组能效限定值及能效等级》（GB37480）</w:t>
            </w:r>
          </w:p>
        </w:tc>
      </w:tr>
      <w:tr w14:paraId="78FA423A">
        <w:tblPrEx>
          <w:tblCellMar>
            <w:top w:w="0" w:type="dxa"/>
            <w:left w:w="108" w:type="dxa"/>
            <w:bottom w:w="0" w:type="dxa"/>
            <w:right w:w="108" w:type="dxa"/>
          </w:tblCellMar>
        </w:tblPrEx>
        <w:trPr>
          <w:trHeight w:val="495" w:hRule="atLeast"/>
        </w:trPr>
        <w:tc>
          <w:tcPr>
            <w:tcW w:w="0" w:type="auto"/>
            <w:vMerge w:val="continue"/>
            <w:tcBorders>
              <w:top w:val="nil"/>
              <w:left w:val="single" w:color="000000" w:sz="8" w:space="0"/>
              <w:bottom w:val="single" w:color="000000" w:sz="8" w:space="0"/>
              <w:right w:val="single" w:color="000000" w:sz="8" w:space="0"/>
            </w:tcBorders>
            <w:noWrap w:val="0"/>
            <w:vAlign w:val="center"/>
          </w:tcPr>
          <w:p w14:paraId="132D3573">
            <w:pPr>
              <w:widowControl/>
              <w:jc w:val="left"/>
              <w:rPr>
                <w:rFonts w:hint="eastAsia" w:ascii="宋体" w:hAnsi="宋体" w:eastAsia="宋体" w:cs="宋体"/>
                <w:color w:val="auto"/>
                <w:kern w:val="0"/>
                <w:sz w:val="20"/>
                <w:szCs w:val="20"/>
                <w:highlight w:val="none"/>
              </w:rPr>
            </w:pPr>
          </w:p>
        </w:tc>
        <w:tc>
          <w:tcPr>
            <w:tcW w:w="0" w:type="auto"/>
            <w:vMerge w:val="continue"/>
            <w:tcBorders>
              <w:top w:val="nil"/>
              <w:left w:val="single" w:color="000000" w:sz="8" w:space="0"/>
              <w:bottom w:val="single" w:color="000000" w:sz="8" w:space="0"/>
              <w:right w:val="single" w:color="000000" w:sz="8" w:space="0"/>
            </w:tcBorders>
            <w:noWrap w:val="0"/>
            <w:vAlign w:val="center"/>
          </w:tcPr>
          <w:p w14:paraId="3ABA7A9F">
            <w:pPr>
              <w:widowControl/>
              <w:jc w:val="left"/>
              <w:rPr>
                <w:rFonts w:hint="eastAsia" w:ascii="宋体" w:hAnsi="宋体" w:eastAsia="宋体" w:cs="宋体"/>
                <w:color w:val="auto"/>
                <w:kern w:val="0"/>
                <w:sz w:val="20"/>
                <w:szCs w:val="20"/>
                <w:highlight w:val="none"/>
              </w:rPr>
            </w:pPr>
          </w:p>
        </w:tc>
        <w:tc>
          <w:tcPr>
            <w:tcW w:w="0" w:type="auto"/>
            <w:vMerge w:val="continue"/>
            <w:tcBorders>
              <w:top w:val="nil"/>
              <w:left w:val="single" w:color="000000" w:sz="8" w:space="0"/>
              <w:bottom w:val="single" w:color="000000" w:sz="8" w:space="0"/>
              <w:right w:val="single" w:color="000000" w:sz="8" w:space="0"/>
            </w:tcBorders>
            <w:noWrap w:val="0"/>
            <w:vAlign w:val="center"/>
          </w:tcPr>
          <w:p w14:paraId="2B0F3E99">
            <w:pPr>
              <w:widowControl/>
              <w:jc w:val="left"/>
              <w:rPr>
                <w:rFonts w:hint="eastAsia" w:ascii="宋体" w:hAnsi="宋体" w:eastAsia="宋体" w:cs="宋体"/>
                <w:color w:val="auto"/>
                <w:kern w:val="0"/>
                <w:sz w:val="20"/>
                <w:szCs w:val="20"/>
                <w:highlight w:val="none"/>
              </w:rPr>
            </w:pPr>
          </w:p>
        </w:tc>
        <w:tc>
          <w:tcPr>
            <w:tcW w:w="1620" w:type="dxa"/>
            <w:tcBorders>
              <w:top w:val="nil"/>
              <w:left w:val="nil"/>
              <w:bottom w:val="single" w:color="000000" w:sz="8" w:space="0"/>
              <w:right w:val="single" w:color="000000" w:sz="8" w:space="0"/>
            </w:tcBorders>
            <w:noWrap w:val="0"/>
            <w:vAlign w:val="center"/>
          </w:tcPr>
          <w:p w14:paraId="24288B33">
            <w:pPr>
              <w:widowControl/>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水源热泵机组</w:t>
            </w:r>
          </w:p>
        </w:tc>
        <w:tc>
          <w:tcPr>
            <w:tcW w:w="4540" w:type="dxa"/>
            <w:tcBorders>
              <w:top w:val="nil"/>
              <w:left w:val="nil"/>
              <w:bottom w:val="single" w:color="000000" w:sz="8" w:space="0"/>
              <w:right w:val="single" w:color="000000" w:sz="8" w:space="0"/>
            </w:tcBorders>
            <w:noWrap w:val="0"/>
            <w:vAlign w:val="center"/>
          </w:tcPr>
          <w:p w14:paraId="23FF6357">
            <w:pPr>
              <w:widowControl/>
              <w:jc w:val="left"/>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《水（地）源热泵机组能效限定值及能效等级》（GB30721）</w:t>
            </w:r>
          </w:p>
        </w:tc>
      </w:tr>
      <w:tr w14:paraId="4DE4E997">
        <w:tblPrEx>
          <w:tblCellMar>
            <w:top w:w="0" w:type="dxa"/>
            <w:left w:w="108" w:type="dxa"/>
            <w:bottom w:w="0" w:type="dxa"/>
            <w:right w:w="108" w:type="dxa"/>
          </w:tblCellMar>
        </w:tblPrEx>
        <w:trPr>
          <w:trHeight w:val="495" w:hRule="atLeast"/>
        </w:trPr>
        <w:tc>
          <w:tcPr>
            <w:tcW w:w="0" w:type="auto"/>
            <w:vMerge w:val="continue"/>
            <w:tcBorders>
              <w:top w:val="nil"/>
              <w:left w:val="single" w:color="000000" w:sz="8" w:space="0"/>
              <w:bottom w:val="single" w:color="000000" w:sz="8" w:space="0"/>
              <w:right w:val="single" w:color="000000" w:sz="8" w:space="0"/>
            </w:tcBorders>
            <w:noWrap w:val="0"/>
            <w:vAlign w:val="center"/>
          </w:tcPr>
          <w:p w14:paraId="3BA8AA6D">
            <w:pPr>
              <w:widowControl/>
              <w:jc w:val="left"/>
              <w:rPr>
                <w:rFonts w:hint="eastAsia" w:ascii="宋体" w:hAnsi="宋体" w:eastAsia="宋体" w:cs="宋体"/>
                <w:color w:val="auto"/>
                <w:kern w:val="0"/>
                <w:sz w:val="20"/>
                <w:szCs w:val="20"/>
                <w:highlight w:val="none"/>
              </w:rPr>
            </w:pPr>
          </w:p>
        </w:tc>
        <w:tc>
          <w:tcPr>
            <w:tcW w:w="0" w:type="auto"/>
            <w:vMerge w:val="continue"/>
            <w:tcBorders>
              <w:top w:val="nil"/>
              <w:left w:val="single" w:color="000000" w:sz="8" w:space="0"/>
              <w:bottom w:val="single" w:color="000000" w:sz="8" w:space="0"/>
              <w:right w:val="single" w:color="000000" w:sz="8" w:space="0"/>
            </w:tcBorders>
            <w:noWrap w:val="0"/>
            <w:vAlign w:val="center"/>
          </w:tcPr>
          <w:p w14:paraId="19F8AAAB">
            <w:pPr>
              <w:widowControl/>
              <w:jc w:val="left"/>
              <w:rPr>
                <w:rFonts w:hint="eastAsia" w:ascii="宋体" w:hAnsi="宋体" w:eastAsia="宋体" w:cs="宋体"/>
                <w:color w:val="auto"/>
                <w:kern w:val="0"/>
                <w:sz w:val="20"/>
                <w:szCs w:val="20"/>
                <w:highlight w:val="none"/>
              </w:rPr>
            </w:pPr>
          </w:p>
        </w:tc>
        <w:tc>
          <w:tcPr>
            <w:tcW w:w="0" w:type="auto"/>
            <w:vMerge w:val="continue"/>
            <w:tcBorders>
              <w:top w:val="nil"/>
              <w:left w:val="single" w:color="000000" w:sz="8" w:space="0"/>
              <w:bottom w:val="single" w:color="000000" w:sz="8" w:space="0"/>
              <w:right w:val="single" w:color="000000" w:sz="8" w:space="0"/>
            </w:tcBorders>
            <w:noWrap w:val="0"/>
            <w:vAlign w:val="center"/>
          </w:tcPr>
          <w:p w14:paraId="1A716ADA">
            <w:pPr>
              <w:widowControl/>
              <w:jc w:val="left"/>
              <w:rPr>
                <w:rFonts w:hint="eastAsia" w:ascii="宋体" w:hAnsi="宋体" w:eastAsia="宋体" w:cs="宋体"/>
                <w:color w:val="auto"/>
                <w:kern w:val="0"/>
                <w:sz w:val="20"/>
                <w:szCs w:val="20"/>
                <w:highlight w:val="none"/>
              </w:rPr>
            </w:pPr>
          </w:p>
        </w:tc>
        <w:tc>
          <w:tcPr>
            <w:tcW w:w="1620" w:type="dxa"/>
            <w:tcBorders>
              <w:top w:val="nil"/>
              <w:left w:val="nil"/>
              <w:bottom w:val="single" w:color="000000" w:sz="8" w:space="0"/>
              <w:right w:val="single" w:color="000000" w:sz="8" w:space="0"/>
            </w:tcBorders>
            <w:noWrap w:val="0"/>
            <w:vAlign w:val="center"/>
          </w:tcPr>
          <w:p w14:paraId="30E3463E">
            <w:pPr>
              <w:widowControl/>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溴化锂吸收式冷水机组</w:t>
            </w:r>
          </w:p>
        </w:tc>
        <w:tc>
          <w:tcPr>
            <w:tcW w:w="4540" w:type="dxa"/>
            <w:tcBorders>
              <w:top w:val="nil"/>
              <w:left w:val="nil"/>
              <w:bottom w:val="single" w:color="000000" w:sz="8" w:space="0"/>
              <w:right w:val="single" w:color="000000" w:sz="8" w:space="0"/>
            </w:tcBorders>
            <w:noWrap w:val="0"/>
            <w:vAlign w:val="center"/>
          </w:tcPr>
          <w:p w14:paraId="64CB55EF">
            <w:pPr>
              <w:widowControl/>
              <w:jc w:val="left"/>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《溴化锂吸收式冷水机组能效限定值及能效等级》（GB29540）</w:t>
            </w:r>
          </w:p>
        </w:tc>
      </w:tr>
      <w:tr w14:paraId="6E927DE3">
        <w:tblPrEx>
          <w:tblCellMar>
            <w:top w:w="0" w:type="dxa"/>
            <w:left w:w="108" w:type="dxa"/>
            <w:bottom w:w="0" w:type="dxa"/>
            <w:right w:w="108" w:type="dxa"/>
          </w:tblCellMar>
        </w:tblPrEx>
        <w:trPr>
          <w:trHeight w:val="735" w:hRule="atLeast"/>
        </w:trPr>
        <w:tc>
          <w:tcPr>
            <w:tcW w:w="0" w:type="auto"/>
            <w:vMerge w:val="continue"/>
            <w:tcBorders>
              <w:top w:val="nil"/>
              <w:left w:val="single" w:color="000000" w:sz="8" w:space="0"/>
              <w:bottom w:val="single" w:color="000000" w:sz="8" w:space="0"/>
              <w:right w:val="single" w:color="000000" w:sz="8" w:space="0"/>
            </w:tcBorders>
            <w:noWrap w:val="0"/>
            <w:vAlign w:val="center"/>
          </w:tcPr>
          <w:p w14:paraId="5953581B">
            <w:pPr>
              <w:widowControl/>
              <w:jc w:val="left"/>
              <w:rPr>
                <w:rFonts w:hint="eastAsia" w:ascii="宋体" w:hAnsi="宋体" w:eastAsia="宋体" w:cs="宋体"/>
                <w:color w:val="auto"/>
                <w:kern w:val="0"/>
                <w:sz w:val="20"/>
                <w:szCs w:val="20"/>
                <w:highlight w:val="none"/>
              </w:rPr>
            </w:pPr>
          </w:p>
        </w:tc>
        <w:tc>
          <w:tcPr>
            <w:tcW w:w="0" w:type="auto"/>
            <w:vMerge w:val="continue"/>
            <w:tcBorders>
              <w:top w:val="nil"/>
              <w:left w:val="single" w:color="000000" w:sz="8" w:space="0"/>
              <w:bottom w:val="single" w:color="000000" w:sz="8" w:space="0"/>
              <w:right w:val="single" w:color="000000" w:sz="8" w:space="0"/>
            </w:tcBorders>
            <w:noWrap w:val="0"/>
            <w:vAlign w:val="center"/>
          </w:tcPr>
          <w:p w14:paraId="21270CD3">
            <w:pPr>
              <w:widowControl/>
              <w:jc w:val="left"/>
              <w:rPr>
                <w:rFonts w:hint="eastAsia" w:ascii="宋体" w:hAnsi="宋体" w:eastAsia="宋体" w:cs="宋体"/>
                <w:color w:val="auto"/>
                <w:kern w:val="0"/>
                <w:sz w:val="20"/>
                <w:szCs w:val="20"/>
                <w:highlight w:val="none"/>
              </w:rPr>
            </w:pPr>
          </w:p>
        </w:tc>
        <w:tc>
          <w:tcPr>
            <w:tcW w:w="1320" w:type="dxa"/>
            <w:vMerge w:val="restart"/>
            <w:tcBorders>
              <w:top w:val="nil"/>
              <w:left w:val="single" w:color="000000" w:sz="8" w:space="0"/>
              <w:bottom w:val="single" w:color="000000" w:sz="8" w:space="0"/>
              <w:right w:val="single" w:color="000000" w:sz="8" w:space="0"/>
            </w:tcBorders>
            <w:noWrap w:val="0"/>
            <w:vAlign w:val="center"/>
          </w:tcPr>
          <w:p w14:paraId="081F985B">
            <w:pPr>
              <w:widowControl/>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★A02052305空调机组</w:t>
            </w:r>
          </w:p>
        </w:tc>
        <w:tc>
          <w:tcPr>
            <w:tcW w:w="1620" w:type="dxa"/>
            <w:tcBorders>
              <w:top w:val="nil"/>
              <w:left w:val="nil"/>
              <w:bottom w:val="single" w:color="000000" w:sz="8" w:space="0"/>
              <w:right w:val="single" w:color="000000" w:sz="8" w:space="0"/>
            </w:tcBorders>
            <w:noWrap w:val="0"/>
            <w:vAlign w:val="center"/>
          </w:tcPr>
          <w:p w14:paraId="68B7F9E4">
            <w:pPr>
              <w:widowControl/>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多联式空调（热泵）机组(制冷量&gt;14000W)</w:t>
            </w:r>
          </w:p>
        </w:tc>
        <w:tc>
          <w:tcPr>
            <w:tcW w:w="4540" w:type="dxa"/>
            <w:tcBorders>
              <w:top w:val="nil"/>
              <w:left w:val="nil"/>
              <w:bottom w:val="single" w:color="000000" w:sz="8" w:space="0"/>
              <w:right w:val="single" w:color="000000" w:sz="8" w:space="0"/>
            </w:tcBorders>
            <w:noWrap w:val="0"/>
            <w:vAlign w:val="center"/>
          </w:tcPr>
          <w:p w14:paraId="438A74DE">
            <w:pPr>
              <w:widowControl/>
              <w:jc w:val="left"/>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《多联式空调（热泵）机组能效限定值及能源效率等级》（GB21454）</w:t>
            </w:r>
          </w:p>
        </w:tc>
      </w:tr>
      <w:tr w14:paraId="33CC55F5">
        <w:tblPrEx>
          <w:tblCellMar>
            <w:top w:w="0" w:type="dxa"/>
            <w:left w:w="108" w:type="dxa"/>
            <w:bottom w:w="0" w:type="dxa"/>
            <w:right w:w="108" w:type="dxa"/>
          </w:tblCellMar>
        </w:tblPrEx>
        <w:trPr>
          <w:trHeight w:val="735" w:hRule="atLeast"/>
        </w:trPr>
        <w:tc>
          <w:tcPr>
            <w:tcW w:w="0" w:type="auto"/>
            <w:vMerge w:val="continue"/>
            <w:tcBorders>
              <w:top w:val="nil"/>
              <w:left w:val="single" w:color="000000" w:sz="8" w:space="0"/>
              <w:bottom w:val="single" w:color="000000" w:sz="8" w:space="0"/>
              <w:right w:val="single" w:color="000000" w:sz="8" w:space="0"/>
            </w:tcBorders>
            <w:noWrap w:val="0"/>
            <w:vAlign w:val="center"/>
          </w:tcPr>
          <w:p w14:paraId="49B9EC2C">
            <w:pPr>
              <w:widowControl/>
              <w:jc w:val="left"/>
              <w:rPr>
                <w:rFonts w:hint="eastAsia" w:ascii="宋体" w:hAnsi="宋体" w:eastAsia="宋体" w:cs="宋体"/>
                <w:color w:val="auto"/>
                <w:kern w:val="0"/>
                <w:sz w:val="20"/>
                <w:szCs w:val="20"/>
                <w:highlight w:val="none"/>
              </w:rPr>
            </w:pPr>
          </w:p>
        </w:tc>
        <w:tc>
          <w:tcPr>
            <w:tcW w:w="0" w:type="auto"/>
            <w:vMerge w:val="continue"/>
            <w:tcBorders>
              <w:top w:val="nil"/>
              <w:left w:val="single" w:color="000000" w:sz="8" w:space="0"/>
              <w:bottom w:val="single" w:color="000000" w:sz="8" w:space="0"/>
              <w:right w:val="single" w:color="000000" w:sz="8" w:space="0"/>
            </w:tcBorders>
            <w:noWrap w:val="0"/>
            <w:vAlign w:val="center"/>
          </w:tcPr>
          <w:p w14:paraId="18167A73">
            <w:pPr>
              <w:widowControl/>
              <w:jc w:val="left"/>
              <w:rPr>
                <w:rFonts w:hint="eastAsia" w:ascii="宋体" w:hAnsi="宋体" w:eastAsia="宋体" w:cs="宋体"/>
                <w:color w:val="auto"/>
                <w:kern w:val="0"/>
                <w:sz w:val="20"/>
                <w:szCs w:val="20"/>
                <w:highlight w:val="none"/>
              </w:rPr>
            </w:pPr>
          </w:p>
        </w:tc>
        <w:tc>
          <w:tcPr>
            <w:tcW w:w="0" w:type="auto"/>
            <w:vMerge w:val="continue"/>
            <w:tcBorders>
              <w:top w:val="nil"/>
              <w:left w:val="single" w:color="000000" w:sz="8" w:space="0"/>
              <w:bottom w:val="single" w:color="000000" w:sz="8" w:space="0"/>
              <w:right w:val="single" w:color="000000" w:sz="8" w:space="0"/>
            </w:tcBorders>
            <w:noWrap w:val="0"/>
            <w:vAlign w:val="center"/>
          </w:tcPr>
          <w:p w14:paraId="760E1116">
            <w:pPr>
              <w:widowControl/>
              <w:jc w:val="left"/>
              <w:rPr>
                <w:rFonts w:hint="eastAsia" w:ascii="宋体" w:hAnsi="宋体" w:eastAsia="宋体" w:cs="宋体"/>
                <w:color w:val="auto"/>
                <w:kern w:val="0"/>
                <w:sz w:val="20"/>
                <w:szCs w:val="20"/>
                <w:highlight w:val="none"/>
              </w:rPr>
            </w:pPr>
          </w:p>
        </w:tc>
        <w:tc>
          <w:tcPr>
            <w:tcW w:w="1620" w:type="dxa"/>
            <w:tcBorders>
              <w:top w:val="nil"/>
              <w:left w:val="nil"/>
              <w:bottom w:val="single" w:color="000000" w:sz="8" w:space="0"/>
              <w:right w:val="single" w:color="000000" w:sz="8" w:space="0"/>
            </w:tcBorders>
            <w:noWrap w:val="0"/>
            <w:vAlign w:val="center"/>
          </w:tcPr>
          <w:p w14:paraId="1AFDF120">
            <w:pPr>
              <w:widowControl/>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单元式空气调节机(制冷量&gt;14000W</w:t>
            </w:r>
          </w:p>
        </w:tc>
        <w:tc>
          <w:tcPr>
            <w:tcW w:w="4540" w:type="dxa"/>
            <w:tcBorders>
              <w:top w:val="nil"/>
              <w:left w:val="nil"/>
              <w:bottom w:val="single" w:color="000000" w:sz="8" w:space="0"/>
              <w:right w:val="single" w:color="000000" w:sz="8" w:space="0"/>
            </w:tcBorders>
            <w:noWrap w:val="0"/>
            <w:vAlign w:val="center"/>
          </w:tcPr>
          <w:p w14:paraId="566783A6">
            <w:pPr>
              <w:widowControl/>
              <w:jc w:val="left"/>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《单元式空气调节机能效限定值及能效等级》（GB19576）《风管送风式空调机组能效限定值及能效等级》（GB37479）</w:t>
            </w:r>
          </w:p>
        </w:tc>
      </w:tr>
      <w:tr w14:paraId="758FAF84">
        <w:tblPrEx>
          <w:tblCellMar>
            <w:top w:w="0" w:type="dxa"/>
            <w:left w:w="108" w:type="dxa"/>
            <w:bottom w:w="0" w:type="dxa"/>
            <w:right w:w="108" w:type="dxa"/>
          </w:tblCellMar>
        </w:tblPrEx>
        <w:trPr>
          <w:trHeight w:val="735" w:hRule="atLeast"/>
        </w:trPr>
        <w:tc>
          <w:tcPr>
            <w:tcW w:w="0" w:type="auto"/>
            <w:vMerge w:val="continue"/>
            <w:tcBorders>
              <w:top w:val="nil"/>
              <w:left w:val="single" w:color="000000" w:sz="8" w:space="0"/>
              <w:bottom w:val="single" w:color="000000" w:sz="8" w:space="0"/>
              <w:right w:val="single" w:color="000000" w:sz="8" w:space="0"/>
            </w:tcBorders>
            <w:noWrap w:val="0"/>
            <w:vAlign w:val="center"/>
          </w:tcPr>
          <w:p w14:paraId="0808B59C">
            <w:pPr>
              <w:widowControl/>
              <w:jc w:val="left"/>
              <w:rPr>
                <w:rFonts w:hint="eastAsia" w:ascii="宋体" w:hAnsi="宋体" w:eastAsia="宋体" w:cs="宋体"/>
                <w:color w:val="auto"/>
                <w:kern w:val="0"/>
                <w:sz w:val="20"/>
                <w:szCs w:val="20"/>
                <w:highlight w:val="none"/>
              </w:rPr>
            </w:pPr>
          </w:p>
        </w:tc>
        <w:tc>
          <w:tcPr>
            <w:tcW w:w="0" w:type="auto"/>
            <w:vMerge w:val="continue"/>
            <w:tcBorders>
              <w:top w:val="nil"/>
              <w:left w:val="single" w:color="000000" w:sz="8" w:space="0"/>
              <w:bottom w:val="single" w:color="000000" w:sz="8" w:space="0"/>
              <w:right w:val="single" w:color="000000" w:sz="8" w:space="0"/>
            </w:tcBorders>
            <w:noWrap w:val="0"/>
            <w:vAlign w:val="center"/>
          </w:tcPr>
          <w:p w14:paraId="6270ECCE">
            <w:pPr>
              <w:widowControl/>
              <w:jc w:val="left"/>
              <w:rPr>
                <w:rFonts w:hint="eastAsia" w:ascii="宋体" w:hAnsi="宋体" w:eastAsia="宋体" w:cs="宋体"/>
                <w:color w:val="auto"/>
                <w:kern w:val="0"/>
                <w:sz w:val="20"/>
                <w:szCs w:val="20"/>
                <w:highlight w:val="none"/>
              </w:rPr>
            </w:pPr>
          </w:p>
        </w:tc>
        <w:tc>
          <w:tcPr>
            <w:tcW w:w="1320" w:type="dxa"/>
            <w:tcBorders>
              <w:top w:val="nil"/>
              <w:left w:val="nil"/>
              <w:bottom w:val="single" w:color="000000" w:sz="8" w:space="0"/>
              <w:right w:val="single" w:color="000000" w:sz="8" w:space="0"/>
            </w:tcBorders>
            <w:noWrap w:val="0"/>
            <w:vAlign w:val="center"/>
          </w:tcPr>
          <w:p w14:paraId="4EE6A968">
            <w:pPr>
              <w:widowControl/>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★A02052309专用制冷、空调设备</w:t>
            </w:r>
          </w:p>
        </w:tc>
        <w:tc>
          <w:tcPr>
            <w:tcW w:w="1620" w:type="dxa"/>
            <w:tcBorders>
              <w:top w:val="nil"/>
              <w:left w:val="nil"/>
              <w:bottom w:val="single" w:color="000000" w:sz="8" w:space="0"/>
              <w:right w:val="single" w:color="000000" w:sz="8" w:space="0"/>
            </w:tcBorders>
            <w:noWrap w:val="0"/>
            <w:vAlign w:val="center"/>
          </w:tcPr>
          <w:p w14:paraId="0BB6A759">
            <w:pPr>
              <w:widowControl/>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机房空调</w:t>
            </w:r>
          </w:p>
        </w:tc>
        <w:tc>
          <w:tcPr>
            <w:tcW w:w="4540" w:type="dxa"/>
            <w:tcBorders>
              <w:top w:val="nil"/>
              <w:left w:val="nil"/>
              <w:bottom w:val="single" w:color="000000" w:sz="8" w:space="0"/>
              <w:right w:val="single" w:color="000000" w:sz="8" w:space="0"/>
            </w:tcBorders>
            <w:noWrap w:val="0"/>
            <w:vAlign w:val="center"/>
          </w:tcPr>
          <w:p w14:paraId="68943021">
            <w:pPr>
              <w:widowControl/>
              <w:jc w:val="left"/>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《单元式空气调节机能效限定值及能效等级》（GB19576）</w:t>
            </w:r>
          </w:p>
        </w:tc>
      </w:tr>
      <w:tr w14:paraId="5A8BDCE4">
        <w:tblPrEx>
          <w:tblCellMar>
            <w:top w:w="0" w:type="dxa"/>
            <w:left w:w="108" w:type="dxa"/>
            <w:bottom w:w="0" w:type="dxa"/>
            <w:right w:w="108" w:type="dxa"/>
          </w:tblCellMar>
        </w:tblPrEx>
        <w:trPr>
          <w:trHeight w:val="735" w:hRule="atLeast"/>
        </w:trPr>
        <w:tc>
          <w:tcPr>
            <w:tcW w:w="0" w:type="auto"/>
            <w:vMerge w:val="continue"/>
            <w:tcBorders>
              <w:top w:val="nil"/>
              <w:left w:val="single" w:color="000000" w:sz="8" w:space="0"/>
              <w:bottom w:val="single" w:color="000000" w:sz="8" w:space="0"/>
              <w:right w:val="single" w:color="000000" w:sz="8" w:space="0"/>
            </w:tcBorders>
            <w:noWrap w:val="0"/>
            <w:vAlign w:val="center"/>
          </w:tcPr>
          <w:p w14:paraId="3F386929">
            <w:pPr>
              <w:widowControl/>
              <w:jc w:val="left"/>
              <w:rPr>
                <w:rFonts w:hint="eastAsia" w:ascii="宋体" w:hAnsi="宋体" w:eastAsia="宋体" w:cs="宋体"/>
                <w:color w:val="auto"/>
                <w:kern w:val="0"/>
                <w:sz w:val="20"/>
                <w:szCs w:val="20"/>
                <w:highlight w:val="none"/>
              </w:rPr>
            </w:pPr>
          </w:p>
        </w:tc>
        <w:tc>
          <w:tcPr>
            <w:tcW w:w="0" w:type="auto"/>
            <w:vMerge w:val="continue"/>
            <w:tcBorders>
              <w:top w:val="nil"/>
              <w:left w:val="single" w:color="000000" w:sz="8" w:space="0"/>
              <w:bottom w:val="single" w:color="000000" w:sz="8" w:space="0"/>
              <w:right w:val="single" w:color="000000" w:sz="8" w:space="0"/>
            </w:tcBorders>
            <w:noWrap w:val="0"/>
            <w:vAlign w:val="center"/>
          </w:tcPr>
          <w:p w14:paraId="6FD354B3">
            <w:pPr>
              <w:widowControl/>
              <w:jc w:val="left"/>
              <w:rPr>
                <w:rFonts w:hint="eastAsia" w:ascii="宋体" w:hAnsi="宋体" w:eastAsia="宋体" w:cs="宋体"/>
                <w:color w:val="auto"/>
                <w:kern w:val="0"/>
                <w:sz w:val="20"/>
                <w:szCs w:val="20"/>
                <w:highlight w:val="none"/>
              </w:rPr>
            </w:pPr>
          </w:p>
        </w:tc>
        <w:tc>
          <w:tcPr>
            <w:tcW w:w="1320" w:type="dxa"/>
            <w:tcBorders>
              <w:top w:val="nil"/>
              <w:left w:val="nil"/>
              <w:bottom w:val="single" w:color="000000" w:sz="8" w:space="0"/>
              <w:right w:val="single" w:color="000000" w:sz="8" w:space="0"/>
            </w:tcBorders>
            <w:noWrap w:val="0"/>
            <w:vAlign w:val="center"/>
          </w:tcPr>
          <w:p w14:paraId="24A6DF9A">
            <w:pPr>
              <w:widowControl/>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A02052399其他制冷空调设备</w:t>
            </w:r>
          </w:p>
        </w:tc>
        <w:tc>
          <w:tcPr>
            <w:tcW w:w="1620" w:type="dxa"/>
            <w:tcBorders>
              <w:top w:val="nil"/>
              <w:left w:val="nil"/>
              <w:bottom w:val="single" w:color="000000" w:sz="8" w:space="0"/>
              <w:right w:val="single" w:color="000000" w:sz="8" w:space="0"/>
            </w:tcBorders>
            <w:noWrap w:val="0"/>
            <w:vAlign w:val="center"/>
          </w:tcPr>
          <w:p w14:paraId="577CF9E9">
            <w:pPr>
              <w:widowControl/>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冷却塔</w:t>
            </w:r>
          </w:p>
        </w:tc>
        <w:tc>
          <w:tcPr>
            <w:tcW w:w="4540" w:type="dxa"/>
            <w:tcBorders>
              <w:top w:val="nil"/>
              <w:left w:val="nil"/>
              <w:bottom w:val="single" w:color="000000" w:sz="8" w:space="0"/>
              <w:right w:val="single" w:color="000000" w:sz="8" w:space="0"/>
            </w:tcBorders>
            <w:noWrap w:val="0"/>
            <w:vAlign w:val="center"/>
          </w:tcPr>
          <w:p w14:paraId="1E462BFA">
            <w:pPr>
              <w:widowControl/>
              <w:jc w:val="left"/>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《机械通风冷却塔第1部分：中小型开式冷却塔》（GB/T7190.1）；《机械通风冷却塔第2部分：大型开式冷却塔》（GB/T7190.2）</w:t>
            </w:r>
          </w:p>
        </w:tc>
      </w:tr>
      <w:tr w14:paraId="1FC047F4">
        <w:tblPrEx>
          <w:tblCellMar>
            <w:top w:w="0" w:type="dxa"/>
            <w:left w:w="108" w:type="dxa"/>
            <w:bottom w:w="0" w:type="dxa"/>
            <w:right w:w="108" w:type="dxa"/>
          </w:tblCellMar>
        </w:tblPrEx>
        <w:trPr>
          <w:trHeight w:val="495" w:hRule="atLeast"/>
        </w:trPr>
        <w:tc>
          <w:tcPr>
            <w:tcW w:w="660" w:type="dxa"/>
            <w:tcBorders>
              <w:top w:val="nil"/>
              <w:left w:val="single" w:color="000000" w:sz="8" w:space="0"/>
              <w:bottom w:val="single" w:color="000000" w:sz="8" w:space="0"/>
              <w:right w:val="single" w:color="000000" w:sz="8" w:space="0"/>
            </w:tcBorders>
            <w:noWrap w:val="0"/>
            <w:vAlign w:val="center"/>
          </w:tcPr>
          <w:p w14:paraId="1F8A8E47">
            <w:pPr>
              <w:widowControl/>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7</w:t>
            </w:r>
          </w:p>
        </w:tc>
        <w:tc>
          <w:tcPr>
            <w:tcW w:w="1080" w:type="dxa"/>
            <w:tcBorders>
              <w:top w:val="nil"/>
              <w:left w:val="nil"/>
              <w:bottom w:val="single" w:color="000000" w:sz="8" w:space="0"/>
              <w:right w:val="single" w:color="000000" w:sz="8" w:space="0"/>
            </w:tcBorders>
            <w:noWrap w:val="0"/>
            <w:vAlign w:val="center"/>
          </w:tcPr>
          <w:p w14:paraId="4B62DA13">
            <w:pPr>
              <w:widowControl/>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A020601电机</w:t>
            </w:r>
          </w:p>
        </w:tc>
        <w:tc>
          <w:tcPr>
            <w:tcW w:w="1320" w:type="dxa"/>
            <w:tcBorders>
              <w:top w:val="nil"/>
              <w:left w:val="nil"/>
              <w:bottom w:val="single" w:color="000000" w:sz="8" w:space="0"/>
              <w:right w:val="single" w:color="000000" w:sz="8" w:space="0"/>
            </w:tcBorders>
            <w:noWrap w:val="0"/>
            <w:vAlign w:val="center"/>
          </w:tcPr>
          <w:p w14:paraId="556C3F31">
            <w:pPr>
              <w:widowControl/>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　</w:t>
            </w:r>
          </w:p>
        </w:tc>
        <w:tc>
          <w:tcPr>
            <w:tcW w:w="1620" w:type="dxa"/>
            <w:tcBorders>
              <w:top w:val="nil"/>
              <w:left w:val="nil"/>
              <w:bottom w:val="single" w:color="000000" w:sz="8" w:space="0"/>
              <w:right w:val="single" w:color="000000" w:sz="8" w:space="0"/>
            </w:tcBorders>
            <w:noWrap w:val="0"/>
            <w:vAlign w:val="center"/>
          </w:tcPr>
          <w:p w14:paraId="2C17E2EA">
            <w:pPr>
              <w:widowControl/>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　</w:t>
            </w:r>
          </w:p>
        </w:tc>
        <w:tc>
          <w:tcPr>
            <w:tcW w:w="4540" w:type="dxa"/>
            <w:tcBorders>
              <w:top w:val="nil"/>
              <w:left w:val="nil"/>
              <w:bottom w:val="single" w:color="000000" w:sz="8" w:space="0"/>
              <w:right w:val="single" w:color="000000" w:sz="8" w:space="0"/>
            </w:tcBorders>
            <w:noWrap w:val="0"/>
            <w:vAlign w:val="center"/>
          </w:tcPr>
          <w:p w14:paraId="7A4F7AD5">
            <w:pPr>
              <w:widowControl/>
              <w:jc w:val="left"/>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《中小型三相异步电动机能效限定值及能效等级》（GB18613）</w:t>
            </w:r>
          </w:p>
        </w:tc>
      </w:tr>
      <w:tr w14:paraId="2B6D2929">
        <w:tblPrEx>
          <w:tblCellMar>
            <w:top w:w="0" w:type="dxa"/>
            <w:left w:w="108" w:type="dxa"/>
            <w:bottom w:w="0" w:type="dxa"/>
            <w:right w:w="108" w:type="dxa"/>
          </w:tblCellMar>
        </w:tblPrEx>
        <w:trPr>
          <w:trHeight w:val="495" w:hRule="atLeast"/>
        </w:trPr>
        <w:tc>
          <w:tcPr>
            <w:tcW w:w="660" w:type="dxa"/>
            <w:tcBorders>
              <w:top w:val="nil"/>
              <w:left w:val="single" w:color="000000" w:sz="8" w:space="0"/>
              <w:bottom w:val="single" w:color="000000" w:sz="8" w:space="0"/>
              <w:right w:val="single" w:color="000000" w:sz="8" w:space="0"/>
            </w:tcBorders>
            <w:noWrap w:val="0"/>
            <w:vAlign w:val="center"/>
          </w:tcPr>
          <w:p w14:paraId="0BB2F33D">
            <w:pPr>
              <w:widowControl/>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8</w:t>
            </w:r>
          </w:p>
        </w:tc>
        <w:tc>
          <w:tcPr>
            <w:tcW w:w="1080" w:type="dxa"/>
            <w:tcBorders>
              <w:top w:val="nil"/>
              <w:left w:val="nil"/>
              <w:bottom w:val="single" w:color="000000" w:sz="8" w:space="0"/>
              <w:right w:val="single" w:color="000000" w:sz="8" w:space="0"/>
            </w:tcBorders>
            <w:noWrap w:val="0"/>
            <w:vAlign w:val="center"/>
          </w:tcPr>
          <w:p w14:paraId="0DB90AC3">
            <w:pPr>
              <w:widowControl/>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A020602变压器</w:t>
            </w:r>
          </w:p>
        </w:tc>
        <w:tc>
          <w:tcPr>
            <w:tcW w:w="1320" w:type="dxa"/>
            <w:tcBorders>
              <w:top w:val="nil"/>
              <w:left w:val="nil"/>
              <w:bottom w:val="single" w:color="000000" w:sz="8" w:space="0"/>
              <w:right w:val="single" w:color="000000" w:sz="8" w:space="0"/>
            </w:tcBorders>
            <w:noWrap w:val="0"/>
            <w:vAlign w:val="center"/>
          </w:tcPr>
          <w:p w14:paraId="0C5781A9">
            <w:pPr>
              <w:widowControl/>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配电变压器</w:t>
            </w:r>
          </w:p>
        </w:tc>
        <w:tc>
          <w:tcPr>
            <w:tcW w:w="1620" w:type="dxa"/>
            <w:tcBorders>
              <w:top w:val="nil"/>
              <w:left w:val="nil"/>
              <w:bottom w:val="single" w:color="000000" w:sz="8" w:space="0"/>
              <w:right w:val="single" w:color="000000" w:sz="8" w:space="0"/>
            </w:tcBorders>
            <w:noWrap w:val="0"/>
            <w:vAlign w:val="center"/>
          </w:tcPr>
          <w:p w14:paraId="6DCF27EF">
            <w:pPr>
              <w:widowControl/>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　</w:t>
            </w:r>
          </w:p>
        </w:tc>
        <w:tc>
          <w:tcPr>
            <w:tcW w:w="4540" w:type="dxa"/>
            <w:tcBorders>
              <w:top w:val="nil"/>
              <w:left w:val="nil"/>
              <w:bottom w:val="single" w:color="000000" w:sz="8" w:space="0"/>
              <w:right w:val="single" w:color="000000" w:sz="8" w:space="0"/>
            </w:tcBorders>
            <w:noWrap w:val="0"/>
            <w:vAlign w:val="center"/>
          </w:tcPr>
          <w:p w14:paraId="48820EEA">
            <w:pPr>
              <w:widowControl/>
              <w:jc w:val="left"/>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《三相配电变压器能效限定值及能效等级》（GB20052）</w:t>
            </w:r>
          </w:p>
        </w:tc>
      </w:tr>
      <w:tr w14:paraId="651E40B5">
        <w:tblPrEx>
          <w:tblCellMar>
            <w:top w:w="0" w:type="dxa"/>
            <w:left w:w="108" w:type="dxa"/>
            <w:bottom w:w="0" w:type="dxa"/>
            <w:right w:w="108" w:type="dxa"/>
          </w:tblCellMar>
        </w:tblPrEx>
        <w:trPr>
          <w:trHeight w:val="495" w:hRule="atLeast"/>
        </w:trPr>
        <w:tc>
          <w:tcPr>
            <w:tcW w:w="660" w:type="dxa"/>
            <w:tcBorders>
              <w:top w:val="nil"/>
              <w:left w:val="single" w:color="000000" w:sz="8" w:space="0"/>
              <w:bottom w:val="single" w:color="000000" w:sz="8" w:space="0"/>
              <w:right w:val="single" w:color="000000" w:sz="8" w:space="0"/>
            </w:tcBorders>
            <w:noWrap w:val="0"/>
            <w:vAlign w:val="center"/>
          </w:tcPr>
          <w:p w14:paraId="051779F2">
            <w:pPr>
              <w:widowControl/>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9</w:t>
            </w:r>
          </w:p>
        </w:tc>
        <w:tc>
          <w:tcPr>
            <w:tcW w:w="1080" w:type="dxa"/>
            <w:tcBorders>
              <w:top w:val="nil"/>
              <w:left w:val="nil"/>
              <w:bottom w:val="single" w:color="000000" w:sz="8" w:space="0"/>
              <w:right w:val="single" w:color="000000" w:sz="8" w:space="0"/>
            </w:tcBorders>
            <w:noWrap w:val="0"/>
            <w:vAlign w:val="center"/>
          </w:tcPr>
          <w:p w14:paraId="16DAABD3">
            <w:pPr>
              <w:widowControl/>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★A020609镇流器</w:t>
            </w:r>
          </w:p>
        </w:tc>
        <w:tc>
          <w:tcPr>
            <w:tcW w:w="1320" w:type="dxa"/>
            <w:tcBorders>
              <w:top w:val="nil"/>
              <w:left w:val="nil"/>
              <w:bottom w:val="single" w:color="000000" w:sz="8" w:space="0"/>
              <w:right w:val="single" w:color="000000" w:sz="8" w:space="0"/>
            </w:tcBorders>
            <w:noWrap w:val="0"/>
            <w:vAlign w:val="center"/>
          </w:tcPr>
          <w:p w14:paraId="1C0FA7AE">
            <w:pPr>
              <w:widowControl/>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管型荧光灯镇流器</w:t>
            </w:r>
          </w:p>
        </w:tc>
        <w:tc>
          <w:tcPr>
            <w:tcW w:w="1620" w:type="dxa"/>
            <w:tcBorders>
              <w:top w:val="nil"/>
              <w:left w:val="nil"/>
              <w:bottom w:val="single" w:color="000000" w:sz="8" w:space="0"/>
              <w:right w:val="single" w:color="000000" w:sz="8" w:space="0"/>
            </w:tcBorders>
            <w:noWrap w:val="0"/>
            <w:vAlign w:val="center"/>
          </w:tcPr>
          <w:p w14:paraId="5DABA2CF">
            <w:pPr>
              <w:widowControl/>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　</w:t>
            </w:r>
          </w:p>
        </w:tc>
        <w:tc>
          <w:tcPr>
            <w:tcW w:w="4540" w:type="dxa"/>
            <w:tcBorders>
              <w:top w:val="nil"/>
              <w:left w:val="nil"/>
              <w:bottom w:val="single" w:color="000000" w:sz="8" w:space="0"/>
              <w:right w:val="single" w:color="000000" w:sz="8" w:space="0"/>
            </w:tcBorders>
            <w:noWrap w:val="0"/>
            <w:vAlign w:val="center"/>
          </w:tcPr>
          <w:p w14:paraId="4963EDDF">
            <w:pPr>
              <w:widowControl/>
              <w:jc w:val="left"/>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《管形荧光灯镇流器能效限定值及能效等级》（GB17896）</w:t>
            </w:r>
          </w:p>
        </w:tc>
      </w:tr>
      <w:tr w14:paraId="2CBBA325">
        <w:tblPrEx>
          <w:tblCellMar>
            <w:top w:w="0" w:type="dxa"/>
            <w:left w:w="108" w:type="dxa"/>
            <w:bottom w:w="0" w:type="dxa"/>
            <w:right w:w="108" w:type="dxa"/>
          </w:tblCellMar>
        </w:tblPrEx>
        <w:trPr>
          <w:trHeight w:val="495" w:hRule="atLeast"/>
        </w:trPr>
        <w:tc>
          <w:tcPr>
            <w:tcW w:w="660" w:type="dxa"/>
            <w:vMerge w:val="restart"/>
            <w:tcBorders>
              <w:top w:val="nil"/>
              <w:left w:val="single" w:color="000000" w:sz="8" w:space="0"/>
              <w:bottom w:val="single" w:color="000000" w:sz="8" w:space="0"/>
              <w:right w:val="single" w:color="000000" w:sz="8" w:space="0"/>
            </w:tcBorders>
            <w:noWrap w:val="0"/>
            <w:vAlign w:val="center"/>
          </w:tcPr>
          <w:p w14:paraId="253AAF26">
            <w:pPr>
              <w:widowControl/>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10</w:t>
            </w:r>
          </w:p>
        </w:tc>
        <w:tc>
          <w:tcPr>
            <w:tcW w:w="1080" w:type="dxa"/>
            <w:vMerge w:val="restart"/>
            <w:tcBorders>
              <w:top w:val="nil"/>
              <w:left w:val="single" w:color="000000" w:sz="8" w:space="0"/>
              <w:bottom w:val="single" w:color="000000" w:sz="8" w:space="0"/>
              <w:right w:val="single" w:color="000000" w:sz="8" w:space="0"/>
            </w:tcBorders>
            <w:noWrap w:val="0"/>
            <w:vAlign w:val="center"/>
          </w:tcPr>
          <w:p w14:paraId="06876409">
            <w:pPr>
              <w:widowControl/>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A020618生活用电器</w:t>
            </w:r>
          </w:p>
        </w:tc>
        <w:tc>
          <w:tcPr>
            <w:tcW w:w="1320" w:type="dxa"/>
            <w:tcBorders>
              <w:top w:val="nil"/>
              <w:left w:val="nil"/>
              <w:bottom w:val="single" w:color="000000" w:sz="8" w:space="0"/>
              <w:right w:val="single" w:color="000000" w:sz="8" w:space="0"/>
            </w:tcBorders>
            <w:noWrap w:val="0"/>
            <w:vAlign w:val="center"/>
          </w:tcPr>
          <w:p w14:paraId="63BCB985">
            <w:pPr>
              <w:widowControl/>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A0206180101电冰箱</w:t>
            </w:r>
          </w:p>
        </w:tc>
        <w:tc>
          <w:tcPr>
            <w:tcW w:w="1620" w:type="dxa"/>
            <w:tcBorders>
              <w:top w:val="nil"/>
              <w:left w:val="nil"/>
              <w:bottom w:val="single" w:color="000000" w:sz="8" w:space="0"/>
              <w:right w:val="single" w:color="000000" w:sz="8" w:space="0"/>
            </w:tcBorders>
            <w:noWrap w:val="0"/>
            <w:vAlign w:val="center"/>
          </w:tcPr>
          <w:p w14:paraId="3456C61A">
            <w:pPr>
              <w:widowControl/>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　</w:t>
            </w:r>
          </w:p>
        </w:tc>
        <w:tc>
          <w:tcPr>
            <w:tcW w:w="4540" w:type="dxa"/>
            <w:tcBorders>
              <w:top w:val="nil"/>
              <w:left w:val="nil"/>
              <w:bottom w:val="single" w:color="000000" w:sz="8" w:space="0"/>
              <w:right w:val="single" w:color="000000" w:sz="8" w:space="0"/>
            </w:tcBorders>
            <w:noWrap w:val="0"/>
            <w:vAlign w:val="center"/>
          </w:tcPr>
          <w:p w14:paraId="73321215">
            <w:pPr>
              <w:widowControl/>
              <w:jc w:val="left"/>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《家用电冰箱耗电量限定值及能效等级》（GB12021.2）</w:t>
            </w:r>
          </w:p>
        </w:tc>
      </w:tr>
      <w:tr w14:paraId="661678FA">
        <w:tblPrEx>
          <w:tblCellMar>
            <w:top w:w="0" w:type="dxa"/>
            <w:left w:w="108" w:type="dxa"/>
            <w:bottom w:w="0" w:type="dxa"/>
            <w:right w:w="108" w:type="dxa"/>
          </w:tblCellMar>
        </w:tblPrEx>
        <w:trPr>
          <w:trHeight w:val="975" w:hRule="atLeast"/>
        </w:trPr>
        <w:tc>
          <w:tcPr>
            <w:tcW w:w="0" w:type="auto"/>
            <w:vMerge w:val="continue"/>
            <w:tcBorders>
              <w:top w:val="nil"/>
              <w:left w:val="single" w:color="000000" w:sz="8" w:space="0"/>
              <w:bottom w:val="single" w:color="000000" w:sz="8" w:space="0"/>
              <w:right w:val="single" w:color="000000" w:sz="8" w:space="0"/>
            </w:tcBorders>
            <w:noWrap w:val="0"/>
            <w:vAlign w:val="center"/>
          </w:tcPr>
          <w:p w14:paraId="17C2D1B1">
            <w:pPr>
              <w:widowControl/>
              <w:jc w:val="left"/>
              <w:rPr>
                <w:rFonts w:hint="eastAsia" w:ascii="宋体" w:hAnsi="宋体" w:eastAsia="宋体" w:cs="宋体"/>
                <w:color w:val="auto"/>
                <w:kern w:val="0"/>
                <w:sz w:val="20"/>
                <w:szCs w:val="20"/>
                <w:highlight w:val="none"/>
              </w:rPr>
            </w:pPr>
          </w:p>
        </w:tc>
        <w:tc>
          <w:tcPr>
            <w:tcW w:w="0" w:type="auto"/>
            <w:vMerge w:val="continue"/>
            <w:tcBorders>
              <w:top w:val="nil"/>
              <w:left w:val="single" w:color="000000" w:sz="8" w:space="0"/>
              <w:bottom w:val="single" w:color="000000" w:sz="8" w:space="0"/>
              <w:right w:val="single" w:color="000000" w:sz="8" w:space="0"/>
            </w:tcBorders>
            <w:noWrap w:val="0"/>
            <w:vAlign w:val="center"/>
          </w:tcPr>
          <w:p w14:paraId="5D6B9C23">
            <w:pPr>
              <w:widowControl/>
              <w:jc w:val="left"/>
              <w:rPr>
                <w:rFonts w:hint="eastAsia" w:ascii="宋体" w:hAnsi="宋体" w:eastAsia="宋体" w:cs="宋体"/>
                <w:color w:val="auto"/>
                <w:kern w:val="0"/>
                <w:sz w:val="20"/>
                <w:szCs w:val="20"/>
                <w:highlight w:val="none"/>
              </w:rPr>
            </w:pPr>
          </w:p>
        </w:tc>
        <w:tc>
          <w:tcPr>
            <w:tcW w:w="1320" w:type="dxa"/>
            <w:vMerge w:val="restart"/>
            <w:tcBorders>
              <w:top w:val="nil"/>
              <w:left w:val="single" w:color="000000" w:sz="8" w:space="0"/>
              <w:bottom w:val="single" w:color="000000" w:sz="8" w:space="0"/>
              <w:right w:val="single" w:color="000000" w:sz="8" w:space="0"/>
            </w:tcBorders>
            <w:noWrap w:val="0"/>
            <w:vAlign w:val="center"/>
          </w:tcPr>
          <w:p w14:paraId="37E5C1F8">
            <w:pPr>
              <w:widowControl/>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★A0206180203空调机</w:t>
            </w:r>
          </w:p>
        </w:tc>
        <w:tc>
          <w:tcPr>
            <w:tcW w:w="1620" w:type="dxa"/>
            <w:tcBorders>
              <w:top w:val="nil"/>
              <w:left w:val="nil"/>
              <w:bottom w:val="single" w:color="000000" w:sz="8" w:space="0"/>
              <w:right w:val="single" w:color="000000" w:sz="8" w:space="0"/>
            </w:tcBorders>
            <w:noWrap w:val="0"/>
            <w:vAlign w:val="center"/>
          </w:tcPr>
          <w:p w14:paraId="594D9F88">
            <w:pPr>
              <w:widowControl/>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房间空气调节器</w:t>
            </w:r>
          </w:p>
        </w:tc>
        <w:tc>
          <w:tcPr>
            <w:tcW w:w="4540" w:type="dxa"/>
            <w:tcBorders>
              <w:top w:val="nil"/>
              <w:left w:val="nil"/>
              <w:bottom w:val="single" w:color="000000" w:sz="8" w:space="0"/>
              <w:right w:val="single" w:color="000000" w:sz="8" w:space="0"/>
            </w:tcBorders>
            <w:noWrap w:val="0"/>
            <w:vAlign w:val="center"/>
          </w:tcPr>
          <w:p w14:paraId="2DDF0379">
            <w:pPr>
              <w:widowControl/>
              <w:jc w:val="left"/>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《转速可控型房间空气调节器能效限定值及能效等级》（GB21455-2013），待2019年修订发布后，按《房间空气调节器能效限定值及能效等级》（GB21455-2019</w:t>
            </w:r>
            <w:r>
              <w:rPr>
                <w:rFonts w:hint="eastAsia" w:ascii="宋体" w:hAnsi="宋体" w:cs="宋体"/>
                <w:color w:val="auto"/>
                <w:kern w:val="0"/>
                <w:sz w:val="20"/>
                <w:szCs w:val="20"/>
                <w:highlight w:val="none"/>
                <w:lang w:eastAsia="zh-CN"/>
              </w:rPr>
              <w:t>）</w:t>
            </w:r>
            <w:r>
              <w:rPr>
                <w:rFonts w:hint="eastAsia" w:ascii="宋体" w:hAnsi="宋体" w:eastAsia="宋体" w:cs="宋体"/>
                <w:color w:val="auto"/>
                <w:kern w:val="0"/>
                <w:sz w:val="20"/>
                <w:szCs w:val="20"/>
                <w:highlight w:val="none"/>
              </w:rPr>
              <w:t>实施。</w:t>
            </w:r>
          </w:p>
        </w:tc>
      </w:tr>
      <w:tr w14:paraId="58B7F03A">
        <w:tblPrEx>
          <w:tblCellMar>
            <w:top w:w="0" w:type="dxa"/>
            <w:left w:w="108" w:type="dxa"/>
            <w:bottom w:w="0" w:type="dxa"/>
            <w:right w:w="108" w:type="dxa"/>
          </w:tblCellMar>
        </w:tblPrEx>
        <w:trPr>
          <w:trHeight w:val="735" w:hRule="atLeast"/>
        </w:trPr>
        <w:tc>
          <w:tcPr>
            <w:tcW w:w="0" w:type="auto"/>
            <w:vMerge w:val="continue"/>
            <w:tcBorders>
              <w:top w:val="nil"/>
              <w:left w:val="single" w:color="000000" w:sz="8" w:space="0"/>
              <w:bottom w:val="single" w:color="000000" w:sz="8" w:space="0"/>
              <w:right w:val="single" w:color="000000" w:sz="8" w:space="0"/>
            </w:tcBorders>
            <w:noWrap w:val="0"/>
            <w:vAlign w:val="center"/>
          </w:tcPr>
          <w:p w14:paraId="10025213">
            <w:pPr>
              <w:widowControl/>
              <w:jc w:val="left"/>
              <w:rPr>
                <w:rFonts w:hint="eastAsia" w:ascii="宋体" w:hAnsi="宋体" w:eastAsia="宋体" w:cs="宋体"/>
                <w:color w:val="auto"/>
                <w:kern w:val="0"/>
                <w:sz w:val="20"/>
                <w:szCs w:val="20"/>
                <w:highlight w:val="none"/>
              </w:rPr>
            </w:pPr>
          </w:p>
        </w:tc>
        <w:tc>
          <w:tcPr>
            <w:tcW w:w="0" w:type="auto"/>
            <w:vMerge w:val="continue"/>
            <w:tcBorders>
              <w:top w:val="nil"/>
              <w:left w:val="single" w:color="000000" w:sz="8" w:space="0"/>
              <w:bottom w:val="single" w:color="000000" w:sz="8" w:space="0"/>
              <w:right w:val="single" w:color="000000" w:sz="8" w:space="0"/>
            </w:tcBorders>
            <w:noWrap w:val="0"/>
            <w:vAlign w:val="center"/>
          </w:tcPr>
          <w:p w14:paraId="60FA4F3C">
            <w:pPr>
              <w:widowControl/>
              <w:jc w:val="left"/>
              <w:rPr>
                <w:rFonts w:hint="eastAsia" w:ascii="宋体" w:hAnsi="宋体" w:eastAsia="宋体" w:cs="宋体"/>
                <w:color w:val="auto"/>
                <w:kern w:val="0"/>
                <w:sz w:val="20"/>
                <w:szCs w:val="20"/>
                <w:highlight w:val="none"/>
              </w:rPr>
            </w:pPr>
          </w:p>
        </w:tc>
        <w:tc>
          <w:tcPr>
            <w:tcW w:w="0" w:type="auto"/>
            <w:vMerge w:val="continue"/>
            <w:tcBorders>
              <w:top w:val="nil"/>
              <w:left w:val="single" w:color="000000" w:sz="8" w:space="0"/>
              <w:bottom w:val="single" w:color="000000" w:sz="8" w:space="0"/>
              <w:right w:val="single" w:color="000000" w:sz="8" w:space="0"/>
            </w:tcBorders>
            <w:noWrap w:val="0"/>
            <w:vAlign w:val="center"/>
          </w:tcPr>
          <w:p w14:paraId="5C0C43B8">
            <w:pPr>
              <w:widowControl/>
              <w:jc w:val="left"/>
              <w:rPr>
                <w:rFonts w:hint="eastAsia" w:ascii="宋体" w:hAnsi="宋体" w:eastAsia="宋体" w:cs="宋体"/>
                <w:color w:val="auto"/>
                <w:kern w:val="0"/>
                <w:sz w:val="20"/>
                <w:szCs w:val="20"/>
                <w:highlight w:val="none"/>
              </w:rPr>
            </w:pPr>
          </w:p>
        </w:tc>
        <w:tc>
          <w:tcPr>
            <w:tcW w:w="1620" w:type="dxa"/>
            <w:tcBorders>
              <w:top w:val="nil"/>
              <w:left w:val="nil"/>
              <w:bottom w:val="single" w:color="000000" w:sz="8" w:space="0"/>
              <w:right w:val="single" w:color="000000" w:sz="8" w:space="0"/>
            </w:tcBorders>
            <w:noWrap w:val="0"/>
            <w:vAlign w:val="center"/>
          </w:tcPr>
          <w:p w14:paraId="6214FFFB">
            <w:pPr>
              <w:widowControl/>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多联式空调（热泵）机组（制冷量≤14000W）</w:t>
            </w:r>
          </w:p>
        </w:tc>
        <w:tc>
          <w:tcPr>
            <w:tcW w:w="4540" w:type="dxa"/>
            <w:tcBorders>
              <w:top w:val="nil"/>
              <w:left w:val="nil"/>
              <w:bottom w:val="single" w:color="000000" w:sz="8" w:space="0"/>
              <w:right w:val="single" w:color="000000" w:sz="8" w:space="0"/>
            </w:tcBorders>
            <w:noWrap w:val="0"/>
            <w:vAlign w:val="center"/>
          </w:tcPr>
          <w:p w14:paraId="10B1CC18">
            <w:pPr>
              <w:widowControl/>
              <w:jc w:val="left"/>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《多联式空调（热泵）机组能效限定值及能源效率等级》（GB21454）</w:t>
            </w:r>
          </w:p>
        </w:tc>
      </w:tr>
      <w:tr w14:paraId="72C7E74D">
        <w:tblPrEx>
          <w:tblCellMar>
            <w:top w:w="0" w:type="dxa"/>
            <w:left w:w="108" w:type="dxa"/>
            <w:bottom w:w="0" w:type="dxa"/>
            <w:right w:w="108" w:type="dxa"/>
          </w:tblCellMar>
        </w:tblPrEx>
        <w:trPr>
          <w:trHeight w:val="735" w:hRule="atLeast"/>
        </w:trPr>
        <w:tc>
          <w:tcPr>
            <w:tcW w:w="0" w:type="auto"/>
            <w:vMerge w:val="continue"/>
            <w:tcBorders>
              <w:top w:val="nil"/>
              <w:left w:val="single" w:color="000000" w:sz="8" w:space="0"/>
              <w:bottom w:val="single" w:color="000000" w:sz="8" w:space="0"/>
              <w:right w:val="single" w:color="000000" w:sz="8" w:space="0"/>
            </w:tcBorders>
            <w:noWrap w:val="0"/>
            <w:vAlign w:val="center"/>
          </w:tcPr>
          <w:p w14:paraId="10912844">
            <w:pPr>
              <w:widowControl/>
              <w:jc w:val="left"/>
              <w:rPr>
                <w:rFonts w:hint="eastAsia" w:ascii="宋体" w:hAnsi="宋体" w:eastAsia="宋体" w:cs="宋体"/>
                <w:color w:val="auto"/>
                <w:kern w:val="0"/>
                <w:sz w:val="20"/>
                <w:szCs w:val="20"/>
                <w:highlight w:val="none"/>
              </w:rPr>
            </w:pPr>
          </w:p>
        </w:tc>
        <w:tc>
          <w:tcPr>
            <w:tcW w:w="0" w:type="auto"/>
            <w:vMerge w:val="continue"/>
            <w:tcBorders>
              <w:top w:val="nil"/>
              <w:left w:val="single" w:color="000000" w:sz="8" w:space="0"/>
              <w:bottom w:val="single" w:color="000000" w:sz="8" w:space="0"/>
              <w:right w:val="single" w:color="000000" w:sz="8" w:space="0"/>
            </w:tcBorders>
            <w:noWrap w:val="0"/>
            <w:vAlign w:val="center"/>
          </w:tcPr>
          <w:p w14:paraId="43135527">
            <w:pPr>
              <w:widowControl/>
              <w:jc w:val="left"/>
              <w:rPr>
                <w:rFonts w:hint="eastAsia" w:ascii="宋体" w:hAnsi="宋体" w:eastAsia="宋体" w:cs="宋体"/>
                <w:color w:val="auto"/>
                <w:kern w:val="0"/>
                <w:sz w:val="20"/>
                <w:szCs w:val="20"/>
                <w:highlight w:val="none"/>
              </w:rPr>
            </w:pPr>
          </w:p>
        </w:tc>
        <w:tc>
          <w:tcPr>
            <w:tcW w:w="0" w:type="auto"/>
            <w:vMerge w:val="continue"/>
            <w:tcBorders>
              <w:top w:val="nil"/>
              <w:left w:val="single" w:color="000000" w:sz="8" w:space="0"/>
              <w:bottom w:val="single" w:color="000000" w:sz="8" w:space="0"/>
              <w:right w:val="single" w:color="000000" w:sz="8" w:space="0"/>
            </w:tcBorders>
            <w:noWrap w:val="0"/>
            <w:vAlign w:val="center"/>
          </w:tcPr>
          <w:p w14:paraId="5BFE3354">
            <w:pPr>
              <w:widowControl/>
              <w:jc w:val="left"/>
              <w:rPr>
                <w:rFonts w:hint="eastAsia" w:ascii="宋体" w:hAnsi="宋体" w:eastAsia="宋体" w:cs="宋体"/>
                <w:color w:val="auto"/>
                <w:kern w:val="0"/>
                <w:sz w:val="20"/>
                <w:szCs w:val="20"/>
                <w:highlight w:val="none"/>
              </w:rPr>
            </w:pPr>
          </w:p>
        </w:tc>
        <w:tc>
          <w:tcPr>
            <w:tcW w:w="1620" w:type="dxa"/>
            <w:tcBorders>
              <w:top w:val="nil"/>
              <w:left w:val="nil"/>
              <w:bottom w:val="single" w:color="000000" w:sz="8" w:space="0"/>
              <w:right w:val="single" w:color="000000" w:sz="8" w:space="0"/>
            </w:tcBorders>
            <w:noWrap w:val="0"/>
            <w:vAlign w:val="center"/>
          </w:tcPr>
          <w:p w14:paraId="415E49AF">
            <w:pPr>
              <w:widowControl/>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单元式空气调节机(制冷量≤14000W)</w:t>
            </w:r>
          </w:p>
        </w:tc>
        <w:tc>
          <w:tcPr>
            <w:tcW w:w="4540" w:type="dxa"/>
            <w:tcBorders>
              <w:top w:val="nil"/>
              <w:left w:val="nil"/>
              <w:bottom w:val="single" w:color="000000" w:sz="8" w:space="0"/>
              <w:right w:val="single" w:color="000000" w:sz="8" w:space="0"/>
            </w:tcBorders>
            <w:noWrap w:val="0"/>
            <w:vAlign w:val="center"/>
          </w:tcPr>
          <w:p w14:paraId="73525A07">
            <w:pPr>
              <w:widowControl/>
              <w:jc w:val="left"/>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《单元式空气调节机能效限定值及能源效率等级》（GB19576）《风管送风式空调机组能效限定值及能效等级》（GB37479）</w:t>
            </w:r>
          </w:p>
        </w:tc>
      </w:tr>
      <w:tr w14:paraId="17120564">
        <w:tblPrEx>
          <w:tblCellMar>
            <w:top w:w="0" w:type="dxa"/>
            <w:left w:w="108" w:type="dxa"/>
            <w:bottom w:w="0" w:type="dxa"/>
            <w:right w:w="108" w:type="dxa"/>
          </w:tblCellMar>
        </w:tblPrEx>
        <w:trPr>
          <w:trHeight w:val="495" w:hRule="atLeast"/>
        </w:trPr>
        <w:tc>
          <w:tcPr>
            <w:tcW w:w="0" w:type="auto"/>
            <w:vMerge w:val="continue"/>
            <w:tcBorders>
              <w:top w:val="nil"/>
              <w:left w:val="single" w:color="000000" w:sz="8" w:space="0"/>
              <w:bottom w:val="single" w:color="000000" w:sz="8" w:space="0"/>
              <w:right w:val="single" w:color="000000" w:sz="8" w:space="0"/>
            </w:tcBorders>
            <w:noWrap w:val="0"/>
            <w:vAlign w:val="center"/>
          </w:tcPr>
          <w:p w14:paraId="4EB29F68">
            <w:pPr>
              <w:widowControl/>
              <w:jc w:val="left"/>
              <w:rPr>
                <w:rFonts w:hint="eastAsia" w:ascii="宋体" w:hAnsi="宋体" w:eastAsia="宋体" w:cs="宋体"/>
                <w:color w:val="auto"/>
                <w:kern w:val="0"/>
                <w:sz w:val="20"/>
                <w:szCs w:val="20"/>
                <w:highlight w:val="none"/>
              </w:rPr>
            </w:pPr>
          </w:p>
        </w:tc>
        <w:tc>
          <w:tcPr>
            <w:tcW w:w="0" w:type="auto"/>
            <w:vMerge w:val="continue"/>
            <w:tcBorders>
              <w:top w:val="nil"/>
              <w:left w:val="single" w:color="000000" w:sz="8" w:space="0"/>
              <w:bottom w:val="single" w:color="000000" w:sz="8" w:space="0"/>
              <w:right w:val="single" w:color="000000" w:sz="8" w:space="0"/>
            </w:tcBorders>
            <w:noWrap w:val="0"/>
            <w:vAlign w:val="center"/>
          </w:tcPr>
          <w:p w14:paraId="7A2BFAEE">
            <w:pPr>
              <w:widowControl/>
              <w:jc w:val="left"/>
              <w:rPr>
                <w:rFonts w:hint="eastAsia" w:ascii="宋体" w:hAnsi="宋体" w:eastAsia="宋体" w:cs="宋体"/>
                <w:color w:val="auto"/>
                <w:kern w:val="0"/>
                <w:sz w:val="20"/>
                <w:szCs w:val="20"/>
                <w:highlight w:val="none"/>
              </w:rPr>
            </w:pPr>
          </w:p>
        </w:tc>
        <w:tc>
          <w:tcPr>
            <w:tcW w:w="1320" w:type="dxa"/>
            <w:tcBorders>
              <w:top w:val="nil"/>
              <w:left w:val="nil"/>
              <w:bottom w:val="single" w:color="000000" w:sz="8" w:space="0"/>
              <w:right w:val="single" w:color="000000" w:sz="8" w:space="0"/>
            </w:tcBorders>
            <w:noWrap w:val="0"/>
            <w:vAlign w:val="center"/>
          </w:tcPr>
          <w:p w14:paraId="5E8704CD">
            <w:pPr>
              <w:widowControl/>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A0206180301洗衣机</w:t>
            </w:r>
          </w:p>
        </w:tc>
        <w:tc>
          <w:tcPr>
            <w:tcW w:w="1620" w:type="dxa"/>
            <w:tcBorders>
              <w:top w:val="nil"/>
              <w:left w:val="nil"/>
              <w:bottom w:val="single" w:color="000000" w:sz="8" w:space="0"/>
              <w:right w:val="single" w:color="000000" w:sz="8" w:space="0"/>
            </w:tcBorders>
            <w:noWrap w:val="0"/>
            <w:vAlign w:val="center"/>
          </w:tcPr>
          <w:p w14:paraId="49B9A2E3">
            <w:pPr>
              <w:widowControl/>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　</w:t>
            </w:r>
          </w:p>
        </w:tc>
        <w:tc>
          <w:tcPr>
            <w:tcW w:w="4540" w:type="dxa"/>
            <w:tcBorders>
              <w:top w:val="nil"/>
              <w:left w:val="nil"/>
              <w:bottom w:val="single" w:color="000000" w:sz="8" w:space="0"/>
              <w:right w:val="single" w:color="000000" w:sz="8" w:space="0"/>
            </w:tcBorders>
            <w:noWrap w:val="0"/>
            <w:vAlign w:val="center"/>
          </w:tcPr>
          <w:p w14:paraId="3DAAD7BE">
            <w:pPr>
              <w:widowControl/>
              <w:jc w:val="left"/>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《电动洗衣机能效水效限定值及等级》（GB12021.4）</w:t>
            </w:r>
          </w:p>
        </w:tc>
      </w:tr>
      <w:tr w14:paraId="3830838D">
        <w:tblPrEx>
          <w:tblCellMar>
            <w:top w:w="0" w:type="dxa"/>
            <w:left w:w="108" w:type="dxa"/>
            <w:bottom w:w="0" w:type="dxa"/>
            <w:right w:w="108" w:type="dxa"/>
          </w:tblCellMar>
        </w:tblPrEx>
        <w:trPr>
          <w:trHeight w:val="495" w:hRule="atLeast"/>
        </w:trPr>
        <w:tc>
          <w:tcPr>
            <w:tcW w:w="0" w:type="auto"/>
            <w:vMerge w:val="continue"/>
            <w:tcBorders>
              <w:top w:val="nil"/>
              <w:left w:val="single" w:color="000000" w:sz="8" w:space="0"/>
              <w:bottom w:val="single" w:color="000000" w:sz="8" w:space="0"/>
              <w:right w:val="single" w:color="000000" w:sz="8" w:space="0"/>
            </w:tcBorders>
            <w:noWrap w:val="0"/>
            <w:vAlign w:val="center"/>
          </w:tcPr>
          <w:p w14:paraId="6612BE7C">
            <w:pPr>
              <w:widowControl/>
              <w:jc w:val="left"/>
              <w:rPr>
                <w:rFonts w:hint="eastAsia" w:ascii="宋体" w:hAnsi="宋体" w:eastAsia="宋体" w:cs="宋体"/>
                <w:color w:val="auto"/>
                <w:kern w:val="0"/>
                <w:sz w:val="20"/>
                <w:szCs w:val="20"/>
                <w:highlight w:val="none"/>
              </w:rPr>
            </w:pPr>
          </w:p>
        </w:tc>
        <w:tc>
          <w:tcPr>
            <w:tcW w:w="0" w:type="auto"/>
            <w:vMerge w:val="continue"/>
            <w:tcBorders>
              <w:top w:val="nil"/>
              <w:left w:val="single" w:color="000000" w:sz="8" w:space="0"/>
              <w:bottom w:val="single" w:color="000000" w:sz="8" w:space="0"/>
              <w:right w:val="single" w:color="000000" w:sz="8" w:space="0"/>
            </w:tcBorders>
            <w:noWrap w:val="0"/>
            <w:vAlign w:val="center"/>
          </w:tcPr>
          <w:p w14:paraId="4751F31C">
            <w:pPr>
              <w:widowControl/>
              <w:jc w:val="left"/>
              <w:rPr>
                <w:rFonts w:hint="eastAsia" w:ascii="宋体" w:hAnsi="宋体" w:eastAsia="宋体" w:cs="宋体"/>
                <w:color w:val="auto"/>
                <w:kern w:val="0"/>
                <w:sz w:val="20"/>
                <w:szCs w:val="20"/>
                <w:highlight w:val="none"/>
              </w:rPr>
            </w:pPr>
          </w:p>
        </w:tc>
        <w:tc>
          <w:tcPr>
            <w:tcW w:w="1320" w:type="dxa"/>
            <w:vMerge w:val="restart"/>
            <w:tcBorders>
              <w:top w:val="nil"/>
              <w:left w:val="single" w:color="000000" w:sz="8" w:space="0"/>
              <w:bottom w:val="single" w:color="000000" w:sz="8" w:space="0"/>
              <w:right w:val="single" w:color="000000" w:sz="8" w:space="0"/>
            </w:tcBorders>
            <w:noWrap w:val="0"/>
            <w:vAlign w:val="center"/>
          </w:tcPr>
          <w:p w14:paraId="5B02F06E">
            <w:pPr>
              <w:widowControl/>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A02061808热水器</w:t>
            </w:r>
          </w:p>
        </w:tc>
        <w:tc>
          <w:tcPr>
            <w:tcW w:w="1620" w:type="dxa"/>
            <w:tcBorders>
              <w:top w:val="nil"/>
              <w:left w:val="nil"/>
              <w:bottom w:val="single" w:color="000000" w:sz="8" w:space="0"/>
              <w:right w:val="single" w:color="000000" w:sz="8" w:space="0"/>
            </w:tcBorders>
            <w:noWrap w:val="0"/>
            <w:vAlign w:val="center"/>
          </w:tcPr>
          <w:p w14:paraId="37E7E5F1">
            <w:pPr>
              <w:widowControl/>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★电热水器</w:t>
            </w:r>
          </w:p>
        </w:tc>
        <w:tc>
          <w:tcPr>
            <w:tcW w:w="4540" w:type="dxa"/>
            <w:tcBorders>
              <w:top w:val="nil"/>
              <w:left w:val="nil"/>
              <w:bottom w:val="single" w:color="000000" w:sz="8" w:space="0"/>
              <w:right w:val="single" w:color="000000" w:sz="8" w:space="0"/>
            </w:tcBorders>
            <w:noWrap w:val="0"/>
            <w:vAlign w:val="center"/>
          </w:tcPr>
          <w:p w14:paraId="29852357">
            <w:pPr>
              <w:widowControl/>
              <w:jc w:val="left"/>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《储水式电热水器能效限定值及能效等级》（GB21519）</w:t>
            </w:r>
          </w:p>
        </w:tc>
      </w:tr>
      <w:tr w14:paraId="6A31AC34">
        <w:tblPrEx>
          <w:tblCellMar>
            <w:top w:w="0" w:type="dxa"/>
            <w:left w:w="108" w:type="dxa"/>
            <w:bottom w:w="0" w:type="dxa"/>
            <w:right w:w="108" w:type="dxa"/>
          </w:tblCellMar>
        </w:tblPrEx>
        <w:trPr>
          <w:trHeight w:val="495" w:hRule="atLeast"/>
        </w:trPr>
        <w:tc>
          <w:tcPr>
            <w:tcW w:w="0" w:type="auto"/>
            <w:vMerge w:val="continue"/>
            <w:tcBorders>
              <w:top w:val="nil"/>
              <w:left w:val="single" w:color="000000" w:sz="8" w:space="0"/>
              <w:bottom w:val="single" w:color="000000" w:sz="8" w:space="0"/>
              <w:right w:val="single" w:color="000000" w:sz="8" w:space="0"/>
            </w:tcBorders>
            <w:noWrap w:val="0"/>
            <w:vAlign w:val="center"/>
          </w:tcPr>
          <w:p w14:paraId="07A1023A">
            <w:pPr>
              <w:widowControl/>
              <w:jc w:val="left"/>
              <w:rPr>
                <w:rFonts w:hint="eastAsia" w:ascii="宋体" w:hAnsi="宋体" w:eastAsia="宋体" w:cs="宋体"/>
                <w:color w:val="auto"/>
                <w:kern w:val="0"/>
                <w:sz w:val="20"/>
                <w:szCs w:val="20"/>
                <w:highlight w:val="none"/>
              </w:rPr>
            </w:pPr>
          </w:p>
        </w:tc>
        <w:tc>
          <w:tcPr>
            <w:tcW w:w="0" w:type="auto"/>
            <w:vMerge w:val="continue"/>
            <w:tcBorders>
              <w:top w:val="nil"/>
              <w:left w:val="single" w:color="000000" w:sz="8" w:space="0"/>
              <w:bottom w:val="single" w:color="000000" w:sz="8" w:space="0"/>
              <w:right w:val="single" w:color="000000" w:sz="8" w:space="0"/>
            </w:tcBorders>
            <w:noWrap w:val="0"/>
            <w:vAlign w:val="center"/>
          </w:tcPr>
          <w:p w14:paraId="6C8198EE">
            <w:pPr>
              <w:widowControl/>
              <w:jc w:val="left"/>
              <w:rPr>
                <w:rFonts w:hint="eastAsia" w:ascii="宋体" w:hAnsi="宋体" w:eastAsia="宋体" w:cs="宋体"/>
                <w:color w:val="auto"/>
                <w:kern w:val="0"/>
                <w:sz w:val="20"/>
                <w:szCs w:val="20"/>
                <w:highlight w:val="none"/>
              </w:rPr>
            </w:pPr>
          </w:p>
        </w:tc>
        <w:tc>
          <w:tcPr>
            <w:tcW w:w="0" w:type="auto"/>
            <w:vMerge w:val="continue"/>
            <w:tcBorders>
              <w:top w:val="nil"/>
              <w:left w:val="single" w:color="000000" w:sz="8" w:space="0"/>
              <w:bottom w:val="single" w:color="000000" w:sz="8" w:space="0"/>
              <w:right w:val="single" w:color="000000" w:sz="8" w:space="0"/>
            </w:tcBorders>
            <w:noWrap w:val="0"/>
            <w:vAlign w:val="center"/>
          </w:tcPr>
          <w:p w14:paraId="0C95BCAB">
            <w:pPr>
              <w:widowControl/>
              <w:jc w:val="left"/>
              <w:rPr>
                <w:rFonts w:hint="eastAsia" w:ascii="宋体" w:hAnsi="宋体" w:eastAsia="宋体" w:cs="宋体"/>
                <w:color w:val="auto"/>
                <w:kern w:val="0"/>
                <w:sz w:val="20"/>
                <w:szCs w:val="20"/>
                <w:highlight w:val="none"/>
              </w:rPr>
            </w:pPr>
          </w:p>
        </w:tc>
        <w:tc>
          <w:tcPr>
            <w:tcW w:w="1620" w:type="dxa"/>
            <w:tcBorders>
              <w:top w:val="nil"/>
              <w:left w:val="nil"/>
              <w:bottom w:val="single" w:color="000000" w:sz="8" w:space="0"/>
              <w:right w:val="single" w:color="000000" w:sz="8" w:space="0"/>
            </w:tcBorders>
            <w:noWrap w:val="0"/>
            <w:vAlign w:val="center"/>
          </w:tcPr>
          <w:p w14:paraId="532ABA38">
            <w:pPr>
              <w:widowControl/>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燃气热水器</w:t>
            </w:r>
          </w:p>
        </w:tc>
        <w:tc>
          <w:tcPr>
            <w:tcW w:w="4540" w:type="dxa"/>
            <w:tcBorders>
              <w:top w:val="nil"/>
              <w:left w:val="nil"/>
              <w:bottom w:val="single" w:color="000000" w:sz="8" w:space="0"/>
              <w:right w:val="single" w:color="000000" w:sz="8" w:space="0"/>
            </w:tcBorders>
            <w:noWrap w:val="0"/>
            <w:vAlign w:val="center"/>
          </w:tcPr>
          <w:p w14:paraId="661EAE0F">
            <w:pPr>
              <w:widowControl/>
              <w:jc w:val="left"/>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《家用燃气快速热水器和燃气采暖热水炉能效限定值及能效等级》（GB20665）</w:t>
            </w:r>
          </w:p>
        </w:tc>
      </w:tr>
      <w:tr w14:paraId="51074DD3">
        <w:tblPrEx>
          <w:tblCellMar>
            <w:top w:w="0" w:type="dxa"/>
            <w:left w:w="108" w:type="dxa"/>
            <w:bottom w:w="0" w:type="dxa"/>
            <w:right w:w="108" w:type="dxa"/>
          </w:tblCellMar>
        </w:tblPrEx>
        <w:trPr>
          <w:trHeight w:val="495" w:hRule="atLeast"/>
        </w:trPr>
        <w:tc>
          <w:tcPr>
            <w:tcW w:w="0" w:type="auto"/>
            <w:vMerge w:val="continue"/>
            <w:tcBorders>
              <w:top w:val="nil"/>
              <w:left w:val="single" w:color="000000" w:sz="8" w:space="0"/>
              <w:bottom w:val="single" w:color="000000" w:sz="8" w:space="0"/>
              <w:right w:val="single" w:color="000000" w:sz="8" w:space="0"/>
            </w:tcBorders>
            <w:noWrap w:val="0"/>
            <w:vAlign w:val="center"/>
          </w:tcPr>
          <w:p w14:paraId="4B0B0E6B">
            <w:pPr>
              <w:widowControl/>
              <w:jc w:val="left"/>
              <w:rPr>
                <w:rFonts w:hint="eastAsia" w:ascii="宋体" w:hAnsi="宋体" w:eastAsia="宋体" w:cs="宋体"/>
                <w:color w:val="auto"/>
                <w:kern w:val="0"/>
                <w:sz w:val="20"/>
                <w:szCs w:val="20"/>
                <w:highlight w:val="none"/>
              </w:rPr>
            </w:pPr>
          </w:p>
        </w:tc>
        <w:tc>
          <w:tcPr>
            <w:tcW w:w="0" w:type="auto"/>
            <w:vMerge w:val="continue"/>
            <w:tcBorders>
              <w:top w:val="nil"/>
              <w:left w:val="single" w:color="000000" w:sz="8" w:space="0"/>
              <w:bottom w:val="single" w:color="000000" w:sz="8" w:space="0"/>
              <w:right w:val="single" w:color="000000" w:sz="8" w:space="0"/>
            </w:tcBorders>
            <w:noWrap w:val="0"/>
            <w:vAlign w:val="center"/>
          </w:tcPr>
          <w:p w14:paraId="5D819FD1">
            <w:pPr>
              <w:widowControl/>
              <w:jc w:val="left"/>
              <w:rPr>
                <w:rFonts w:hint="eastAsia" w:ascii="宋体" w:hAnsi="宋体" w:eastAsia="宋体" w:cs="宋体"/>
                <w:color w:val="auto"/>
                <w:kern w:val="0"/>
                <w:sz w:val="20"/>
                <w:szCs w:val="20"/>
                <w:highlight w:val="none"/>
              </w:rPr>
            </w:pPr>
          </w:p>
        </w:tc>
        <w:tc>
          <w:tcPr>
            <w:tcW w:w="0" w:type="auto"/>
            <w:vMerge w:val="continue"/>
            <w:tcBorders>
              <w:top w:val="nil"/>
              <w:left w:val="single" w:color="000000" w:sz="8" w:space="0"/>
              <w:bottom w:val="single" w:color="000000" w:sz="8" w:space="0"/>
              <w:right w:val="single" w:color="000000" w:sz="8" w:space="0"/>
            </w:tcBorders>
            <w:noWrap w:val="0"/>
            <w:vAlign w:val="center"/>
          </w:tcPr>
          <w:p w14:paraId="5A7D81D3">
            <w:pPr>
              <w:widowControl/>
              <w:jc w:val="left"/>
              <w:rPr>
                <w:rFonts w:hint="eastAsia" w:ascii="宋体" w:hAnsi="宋体" w:eastAsia="宋体" w:cs="宋体"/>
                <w:color w:val="auto"/>
                <w:kern w:val="0"/>
                <w:sz w:val="20"/>
                <w:szCs w:val="20"/>
                <w:highlight w:val="none"/>
              </w:rPr>
            </w:pPr>
          </w:p>
        </w:tc>
        <w:tc>
          <w:tcPr>
            <w:tcW w:w="1620" w:type="dxa"/>
            <w:tcBorders>
              <w:top w:val="nil"/>
              <w:left w:val="nil"/>
              <w:bottom w:val="single" w:color="000000" w:sz="8" w:space="0"/>
              <w:right w:val="single" w:color="000000" w:sz="8" w:space="0"/>
            </w:tcBorders>
            <w:noWrap w:val="0"/>
            <w:vAlign w:val="center"/>
          </w:tcPr>
          <w:p w14:paraId="2EDFA73D">
            <w:pPr>
              <w:widowControl/>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热泵热水器</w:t>
            </w:r>
          </w:p>
        </w:tc>
        <w:tc>
          <w:tcPr>
            <w:tcW w:w="4540" w:type="dxa"/>
            <w:tcBorders>
              <w:top w:val="nil"/>
              <w:left w:val="nil"/>
              <w:bottom w:val="single" w:color="000000" w:sz="8" w:space="0"/>
              <w:right w:val="single" w:color="000000" w:sz="8" w:space="0"/>
            </w:tcBorders>
            <w:noWrap w:val="0"/>
            <w:vAlign w:val="center"/>
          </w:tcPr>
          <w:p w14:paraId="5D258B1C">
            <w:pPr>
              <w:widowControl/>
              <w:jc w:val="left"/>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《热泵热水机（器）能效限定值及能效等级》（GB29541）</w:t>
            </w:r>
          </w:p>
        </w:tc>
      </w:tr>
      <w:tr w14:paraId="6CAF1019">
        <w:tblPrEx>
          <w:tblCellMar>
            <w:top w:w="0" w:type="dxa"/>
            <w:left w:w="108" w:type="dxa"/>
            <w:bottom w:w="0" w:type="dxa"/>
            <w:right w:w="108" w:type="dxa"/>
          </w:tblCellMar>
        </w:tblPrEx>
        <w:trPr>
          <w:trHeight w:val="495" w:hRule="atLeast"/>
        </w:trPr>
        <w:tc>
          <w:tcPr>
            <w:tcW w:w="0" w:type="auto"/>
            <w:vMerge w:val="continue"/>
            <w:tcBorders>
              <w:top w:val="nil"/>
              <w:left w:val="single" w:color="000000" w:sz="8" w:space="0"/>
              <w:bottom w:val="single" w:color="000000" w:sz="8" w:space="0"/>
              <w:right w:val="single" w:color="000000" w:sz="8" w:space="0"/>
            </w:tcBorders>
            <w:noWrap w:val="0"/>
            <w:vAlign w:val="center"/>
          </w:tcPr>
          <w:p w14:paraId="6E93231B">
            <w:pPr>
              <w:widowControl/>
              <w:jc w:val="left"/>
              <w:rPr>
                <w:rFonts w:hint="eastAsia" w:ascii="宋体" w:hAnsi="宋体" w:eastAsia="宋体" w:cs="宋体"/>
                <w:color w:val="auto"/>
                <w:kern w:val="0"/>
                <w:sz w:val="20"/>
                <w:szCs w:val="20"/>
                <w:highlight w:val="none"/>
              </w:rPr>
            </w:pPr>
          </w:p>
        </w:tc>
        <w:tc>
          <w:tcPr>
            <w:tcW w:w="0" w:type="auto"/>
            <w:vMerge w:val="continue"/>
            <w:tcBorders>
              <w:top w:val="nil"/>
              <w:left w:val="single" w:color="000000" w:sz="8" w:space="0"/>
              <w:bottom w:val="single" w:color="000000" w:sz="8" w:space="0"/>
              <w:right w:val="single" w:color="000000" w:sz="8" w:space="0"/>
            </w:tcBorders>
            <w:noWrap w:val="0"/>
            <w:vAlign w:val="center"/>
          </w:tcPr>
          <w:p w14:paraId="00A01908">
            <w:pPr>
              <w:widowControl/>
              <w:jc w:val="left"/>
              <w:rPr>
                <w:rFonts w:hint="eastAsia" w:ascii="宋体" w:hAnsi="宋体" w:eastAsia="宋体" w:cs="宋体"/>
                <w:color w:val="auto"/>
                <w:kern w:val="0"/>
                <w:sz w:val="20"/>
                <w:szCs w:val="20"/>
                <w:highlight w:val="none"/>
              </w:rPr>
            </w:pPr>
          </w:p>
        </w:tc>
        <w:tc>
          <w:tcPr>
            <w:tcW w:w="0" w:type="auto"/>
            <w:vMerge w:val="continue"/>
            <w:tcBorders>
              <w:top w:val="nil"/>
              <w:left w:val="single" w:color="000000" w:sz="8" w:space="0"/>
              <w:bottom w:val="single" w:color="000000" w:sz="8" w:space="0"/>
              <w:right w:val="single" w:color="000000" w:sz="8" w:space="0"/>
            </w:tcBorders>
            <w:noWrap w:val="0"/>
            <w:vAlign w:val="center"/>
          </w:tcPr>
          <w:p w14:paraId="32557F8C">
            <w:pPr>
              <w:widowControl/>
              <w:jc w:val="left"/>
              <w:rPr>
                <w:rFonts w:hint="eastAsia" w:ascii="宋体" w:hAnsi="宋体" w:eastAsia="宋体" w:cs="宋体"/>
                <w:color w:val="auto"/>
                <w:kern w:val="0"/>
                <w:sz w:val="20"/>
                <w:szCs w:val="20"/>
                <w:highlight w:val="none"/>
              </w:rPr>
            </w:pPr>
          </w:p>
        </w:tc>
        <w:tc>
          <w:tcPr>
            <w:tcW w:w="1620" w:type="dxa"/>
            <w:tcBorders>
              <w:top w:val="nil"/>
              <w:left w:val="nil"/>
              <w:bottom w:val="single" w:color="000000" w:sz="8" w:space="0"/>
              <w:right w:val="single" w:color="000000" w:sz="8" w:space="0"/>
            </w:tcBorders>
            <w:noWrap w:val="0"/>
            <w:vAlign w:val="center"/>
          </w:tcPr>
          <w:p w14:paraId="60BAB4F0">
            <w:pPr>
              <w:widowControl/>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太阳能热水系统</w:t>
            </w:r>
          </w:p>
        </w:tc>
        <w:tc>
          <w:tcPr>
            <w:tcW w:w="4540" w:type="dxa"/>
            <w:tcBorders>
              <w:top w:val="nil"/>
              <w:left w:val="nil"/>
              <w:bottom w:val="single" w:color="000000" w:sz="8" w:space="0"/>
              <w:right w:val="single" w:color="000000" w:sz="8" w:space="0"/>
            </w:tcBorders>
            <w:noWrap w:val="0"/>
            <w:vAlign w:val="center"/>
          </w:tcPr>
          <w:p w14:paraId="390564CF">
            <w:pPr>
              <w:widowControl/>
              <w:jc w:val="left"/>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《家用太阳能热水系统能效限定值及能效等级》（GB26969）</w:t>
            </w:r>
          </w:p>
        </w:tc>
      </w:tr>
      <w:tr w14:paraId="00BFB549">
        <w:tblPrEx>
          <w:tblCellMar>
            <w:top w:w="0" w:type="dxa"/>
            <w:left w:w="108" w:type="dxa"/>
            <w:bottom w:w="0" w:type="dxa"/>
            <w:right w:w="108" w:type="dxa"/>
          </w:tblCellMar>
        </w:tblPrEx>
        <w:trPr>
          <w:trHeight w:val="495" w:hRule="atLeast"/>
        </w:trPr>
        <w:tc>
          <w:tcPr>
            <w:tcW w:w="660" w:type="dxa"/>
            <w:vMerge w:val="restart"/>
            <w:tcBorders>
              <w:top w:val="nil"/>
              <w:left w:val="single" w:color="000000" w:sz="8" w:space="0"/>
              <w:bottom w:val="single" w:color="000000" w:sz="8" w:space="0"/>
              <w:right w:val="single" w:color="000000" w:sz="8" w:space="0"/>
            </w:tcBorders>
            <w:noWrap w:val="0"/>
            <w:vAlign w:val="center"/>
          </w:tcPr>
          <w:p w14:paraId="7A085ED9">
            <w:pPr>
              <w:widowControl/>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11</w:t>
            </w:r>
          </w:p>
        </w:tc>
        <w:tc>
          <w:tcPr>
            <w:tcW w:w="1080" w:type="dxa"/>
            <w:vMerge w:val="restart"/>
            <w:tcBorders>
              <w:top w:val="nil"/>
              <w:left w:val="single" w:color="000000" w:sz="8" w:space="0"/>
              <w:bottom w:val="single" w:color="000000" w:sz="8" w:space="0"/>
              <w:right w:val="single" w:color="000000" w:sz="8" w:space="0"/>
            </w:tcBorders>
            <w:noWrap w:val="0"/>
            <w:vAlign w:val="center"/>
          </w:tcPr>
          <w:p w14:paraId="18E19E49">
            <w:pPr>
              <w:widowControl/>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A020619照明设备</w:t>
            </w:r>
          </w:p>
        </w:tc>
        <w:tc>
          <w:tcPr>
            <w:tcW w:w="1320" w:type="dxa"/>
            <w:tcBorders>
              <w:top w:val="nil"/>
              <w:left w:val="nil"/>
              <w:bottom w:val="single" w:color="000000" w:sz="8" w:space="0"/>
              <w:right w:val="single" w:color="000000" w:sz="8" w:space="0"/>
            </w:tcBorders>
            <w:noWrap w:val="0"/>
            <w:vAlign w:val="center"/>
          </w:tcPr>
          <w:p w14:paraId="29DD2C36">
            <w:pPr>
              <w:widowControl/>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★普通照明用双端荧光灯</w:t>
            </w:r>
          </w:p>
        </w:tc>
        <w:tc>
          <w:tcPr>
            <w:tcW w:w="1620" w:type="dxa"/>
            <w:tcBorders>
              <w:top w:val="nil"/>
              <w:left w:val="nil"/>
              <w:bottom w:val="single" w:color="000000" w:sz="8" w:space="0"/>
              <w:right w:val="single" w:color="000000" w:sz="8" w:space="0"/>
            </w:tcBorders>
            <w:noWrap w:val="0"/>
            <w:vAlign w:val="center"/>
          </w:tcPr>
          <w:p w14:paraId="4C6A291A">
            <w:pPr>
              <w:widowControl/>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　</w:t>
            </w:r>
          </w:p>
        </w:tc>
        <w:tc>
          <w:tcPr>
            <w:tcW w:w="4540" w:type="dxa"/>
            <w:tcBorders>
              <w:top w:val="nil"/>
              <w:left w:val="nil"/>
              <w:bottom w:val="single" w:color="000000" w:sz="8" w:space="0"/>
              <w:right w:val="single" w:color="000000" w:sz="8" w:space="0"/>
            </w:tcBorders>
            <w:noWrap w:val="0"/>
            <w:vAlign w:val="center"/>
          </w:tcPr>
          <w:p w14:paraId="454F3730">
            <w:pPr>
              <w:widowControl/>
              <w:jc w:val="left"/>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《普通照明用双端荧光灯能效限定值及能效等级》（GB19043）</w:t>
            </w:r>
          </w:p>
        </w:tc>
      </w:tr>
      <w:tr w14:paraId="548E8809">
        <w:tblPrEx>
          <w:tblCellMar>
            <w:top w:w="0" w:type="dxa"/>
            <w:left w:w="108" w:type="dxa"/>
            <w:bottom w:w="0" w:type="dxa"/>
            <w:right w:w="108" w:type="dxa"/>
          </w:tblCellMar>
        </w:tblPrEx>
        <w:trPr>
          <w:trHeight w:val="495" w:hRule="atLeast"/>
        </w:trPr>
        <w:tc>
          <w:tcPr>
            <w:tcW w:w="0" w:type="auto"/>
            <w:vMerge w:val="continue"/>
            <w:tcBorders>
              <w:top w:val="nil"/>
              <w:left w:val="single" w:color="000000" w:sz="8" w:space="0"/>
              <w:bottom w:val="single" w:color="000000" w:sz="8" w:space="0"/>
              <w:right w:val="single" w:color="000000" w:sz="8" w:space="0"/>
            </w:tcBorders>
            <w:noWrap w:val="0"/>
            <w:vAlign w:val="center"/>
          </w:tcPr>
          <w:p w14:paraId="7FA23A04">
            <w:pPr>
              <w:widowControl/>
              <w:jc w:val="left"/>
              <w:rPr>
                <w:rFonts w:hint="eastAsia" w:ascii="宋体" w:hAnsi="宋体" w:eastAsia="宋体" w:cs="宋体"/>
                <w:color w:val="auto"/>
                <w:kern w:val="0"/>
                <w:sz w:val="20"/>
                <w:szCs w:val="20"/>
                <w:highlight w:val="none"/>
              </w:rPr>
            </w:pPr>
          </w:p>
        </w:tc>
        <w:tc>
          <w:tcPr>
            <w:tcW w:w="0" w:type="auto"/>
            <w:vMerge w:val="continue"/>
            <w:tcBorders>
              <w:top w:val="nil"/>
              <w:left w:val="single" w:color="000000" w:sz="8" w:space="0"/>
              <w:bottom w:val="single" w:color="000000" w:sz="8" w:space="0"/>
              <w:right w:val="single" w:color="000000" w:sz="8" w:space="0"/>
            </w:tcBorders>
            <w:noWrap w:val="0"/>
            <w:vAlign w:val="center"/>
          </w:tcPr>
          <w:p w14:paraId="35ADD333">
            <w:pPr>
              <w:widowControl/>
              <w:jc w:val="left"/>
              <w:rPr>
                <w:rFonts w:hint="eastAsia" w:ascii="宋体" w:hAnsi="宋体" w:eastAsia="宋体" w:cs="宋体"/>
                <w:color w:val="auto"/>
                <w:kern w:val="0"/>
                <w:sz w:val="20"/>
                <w:szCs w:val="20"/>
                <w:highlight w:val="none"/>
              </w:rPr>
            </w:pPr>
          </w:p>
        </w:tc>
        <w:tc>
          <w:tcPr>
            <w:tcW w:w="1320" w:type="dxa"/>
            <w:tcBorders>
              <w:top w:val="nil"/>
              <w:left w:val="nil"/>
              <w:bottom w:val="single" w:color="000000" w:sz="8" w:space="0"/>
              <w:right w:val="single" w:color="000000" w:sz="8" w:space="0"/>
            </w:tcBorders>
            <w:noWrap w:val="0"/>
            <w:vAlign w:val="center"/>
          </w:tcPr>
          <w:p w14:paraId="69291C1C">
            <w:pPr>
              <w:widowControl/>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LED道路/隧道照明产品</w:t>
            </w:r>
          </w:p>
        </w:tc>
        <w:tc>
          <w:tcPr>
            <w:tcW w:w="1620" w:type="dxa"/>
            <w:tcBorders>
              <w:top w:val="nil"/>
              <w:left w:val="nil"/>
              <w:bottom w:val="single" w:color="000000" w:sz="8" w:space="0"/>
              <w:right w:val="single" w:color="000000" w:sz="8" w:space="0"/>
            </w:tcBorders>
            <w:noWrap w:val="0"/>
            <w:vAlign w:val="center"/>
          </w:tcPr>
          <w:p w14:paraId="054DDDE2">
            <w:pPr>
              <w:widowControl/>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　</w:t>
            </w:r>
          </w:p>
        </w:tc>
        <w:tc>
          <w:tcPr>
            <w:tcW w:w="4540" w:type="dxa"/>
            <w:tcBorders>
              <w:top w:val="nil"/>
              <w:left w:val="nil"/>
              <w:bottom w:val="single" w:color="000000" w:sz="8" w:space="0"/>
              <w:right w:val="single" w:color="000000" w:sz="8" w:space="0"/>
            </w:tcBorders>
            <w:noWrap w:val="0"/>
            <w:vAlign w:val="center"/>
          </w:tcPr>
          <w:p w14:paraId="289C4AB2">
            <w:pPr>
              <w:widowControl/>
              <w:jc w:val="left"/>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《道路和隧道照明用LED灯具能效限定值及能效等级》（GB37478）</w:t>
            </w:r>
          </w:p>
        </w:tc>
      </w:tr>
      <w:tr w14:paraId="4B10D1F8">
        <w:tblPrEx>
          <w:tblCellMar>
            <w:top w:w="0" w:type="dxa"/>
            <w:left w:w="108" w:type="dxa"/>
            <w:bottom w:w="0" w:type="dxa"/>
            <w:right w:w="108" w:type="dxa"/>
          </w:tblCellMar>
        </w:tblPrEx>
        <w:trPr>
          <w:trHeight w:val="495" w:hRule="atLeast"/>
        </w:trPr>
        <w:tc>
          <w:tcPr>
            <w:tcW w:w="0" w:type="auto"/>
            <w:vMerge w:val="continue"/>
            <w:tcBorders>
              <w:top w:val="nil"/>
              <w:left w:val="single" w:color="000000" w:sz="8" w:space="0"/>
              <w:bottom w:val="single" w:color="000000" w:sz="8" w:space="0"/>
              <w:right w:val="single" w:color="000000" w:sz="8" w:space="0"/>
            </w:tcBorders>
            <w:noWrap w:val="0"/>
            <w:vAlign w:val="center"/>
          </w:tcPr>
          <w:p w14:paraId="04E9AE2C">
            <w:pPr>
              <w:widowControl/>
              <w:jc w:val="left"/>
              <w:rPr>
                <w:rFonts w:hint="eastAsia" w:ascii="宋体" w:hAnsi="宋体" w:eastAsia="宋体" w:cs="宋体"/>
                <w:color w:val="auto"/>
                <w:kern w:val="0"/>
                <w:sz w:val="20"/>
                <w:szCs w:val="20"/>
                <w:highlight w:val="none"/>
              </w:rPr>
            </w:pPr>
          </w:p>
        </w:tc>
        <w:tc>
          <w:tcPr>
            <w:tcW w:w="0" w:type="auto"/>
            <w:vMerge w:val="continue"/>
            <w:tcBorders>
              <w:top w:val="nil"/>
              <w:left w:val="single" w:color="000000" w:sz="8" w:space="0"/>
              <w:bottom w:val="single" w:color="000000" w:sz="8" w:space="0"/>
              <w:right w:val="single" w:color="000000" w:sz="8" w:space="0"/>
            </w:tcBorders>
            <w:noWrap w:val="0"/>
            <w:vAlign w:val="center"/>
          </w:tcPr>
          <w:p w14:paraId="393BC0B8">
            <w:pPr>
              <w:widowControl/>
              <w:jc w:val="left"/>
              <w:rPr>
                <w:rFonts w:hint="eastAsia" w:ascii="宋体" w:hAnsi="宋体" w:eastAsia="宋体" w:cs="宋体"/>
                <w:color w:val="auto"/>
                <w:kern w:val="0"/>
                <w:sz w:val="20"/>
                <w:szCs w:val="20"/>
                <w:highlight w:val="none"/>
              </w:rPr>
            </w:pPr>
          </w:p>
        </w:tc>
        <w:tc>
          <w:tcPr>
            <w:tcW w:w="1320" w:type="dxa"/>
            <w:tcBorders>
              <w:top w:val="nil"/>
              <w:left w:val="nil"/>
              <w:bottom w:val="single" w:color="000000" w:sz="8" w:space="0"/>
              <w:right w:val="single" w:color="000000" w:sz="8" w:space="0"/>
            </w:tcBorders>
            <w:noWrap w:val="0"/>
            <w:vAlign w:val="center"/>
          </w:tcPr>
          <w:p w14:paraId="6B8014E0">
            <w:pPr>
              <w:widowControl/>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LED筒灯</w:t>
            </w:r>
          </w:p>
        </w:tc>
        <w:tc>
          <w:tcPr>
            <w:tcW w:w="1620" w:type="dxa"/>
            <w:tcBorders>
              <w:top w:val="nil"/>
              <w:left w:val="nil"/>
              <w:bottom w:val="single" w:color="000000" w:sz="8" w:space="0"/>
              <w:right w:val="single" w:color="000000" w:sz="8" w:space="0"/>
            </w:tcBorders>
            <w:noWrap w:val="0"/>
            <w:vAlign w:val="center"/>
          </w:tcPr>
          <w:p w14:paraId="3C586015">
            <w:pPr>
              <w:widowControl/>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　</w:t>
            </w:r>
          </w:p>
        </w:tc>
        <w:tc>
          <w:tcPr>
            <w:tcW w:w="4540" w:type="dxa"/>
            <w:tcBorders>
              <w:top w:val="nil"/>
              <w:left w:val="nil"/>
              <w:bottom w:val="single" w:color="000000" w:sz="8" w:space="0"/>
              <w:right w:val="single" w:color="000000" w:sz="8" w:space="0"/>
            </w:tcBorders>
            <w:noWrap w:val="0"/>
            <w:vAlign w:val="center"/>
          </w:tcPr>
          <w:p w14:paraId="49CA5DF6">
            <w:pPr>
              <w:widowControl/>
              <w:jc w:val="left"/>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《室内照明用LED产品能效限定值及能效等级》（GB30255）</w:t>
            </w:r>
          </w:p>
        </w:tc>
      </w:tr>
      <w:tr w14:paraId="59717CFE">
        <w:tblPrEx>
          <w:tblCellMar>
            <w:top w:w="0" w:type="dxa"/>
            <w:left w:w="108" w:type="dxa"/>
            <w:bottom w:w="0" w:type="dxa"/>
            <w:right w:w="108" w:type="dxa"/>
          </w:tblCellMar>
        </w:tblPrEx>
        <w:trPr>
          <w:trHeight w:val="735" w:hRule="atLeast"/>
        </w:trPr>
        <w:tc>
          <w:tcPr>
            <w:tcW w:w="0" w:type="auto"/>
            <w:vMerge w:val="continue"/>
            <w:tcBorders>
              <w:top w:val="nil"/>
              <w:left w:val="single" w:color="000000" w:sz="8" w:space="0"/>
              <w:bottom w:val="single" w:color="000000" w:sz="8" w:space="0"/>
              <w:right w:val="single" w:color="000000" w:sz="8" w:space="0"/>
            </w:tcBorders>
            <w:noWrap w:val="0"/>
            <w:vAlign w:val="center"/>
          </w:tcPr>
          <w:p w14:paraId="3FE5FCE8">
            <w:pPr>
              <w:widowControl/>
              <w:jc w:val="left"/>
              <w:rPr>
                <w:rFonts w:hint="eastAsia" w:ascii="宋体" w:hAnsi="宋体" w:eastAsia="宋体" w:cs="宋体"/>
                <w:color w:val="auto"/>
                <w:kern w:val="0"/>
                <w:sz w:val="20"/>
                <w:szCs w:val="20"/>
                <w:highlight w:val="none"/>
              </w:rPr>
            </w:pPr>
          </w:p>
        </w:tc>
        <w:tc>
          <w:tcPr>
            <w:tcW w:w="0" w:type="auto"/>
            <w:vMerge w:val="continue"/>
            <w:tcBorders>
              <w:top w:val="nil"/>
              <w:left w:val="single" w:color="000000" w:sz="8" w:space="0"/>
              <w:bottom w:val="single" w:color="000000" w:sz="8" w:space="0"/>
              <w:right w:val="single" w:color="000000" w:sz="8" w:space="0"/>
            </w:tcBorders>
            <w:noWrap w:val="0"/>
            <w:vAlign w:val="center"/>
          </w:tcPr>
          <w:p w14:paraId="60F31A1B">
            <w:pPr>
              <w:widowControl/>
              <w:jc w:val="left"/>
              <w:rPr>
                <w:rFonts w:hint="eastAsia" w:ascii="宋体" w:hAnsi="宋体" w:eastAsia="宋体" w:cs="宋体"/>
                <w:color w:val="auto"/>
                <w:kern w:val="0"/>
                <w:sz w:val="20"/>
                <w:szCs w:val="20"/>
                <w:highlight w:val="none"/>
              </w:rPr>
            </w:pPr>
          </w:p>
        </w:tc>
        <w:tc>
          <w:tcPr>
            <w:tcW w:w="1320" w:type="dxa"/>
            <w:tcBorders>
              <w:top w:val="nil"/>
              <w:left w:val="nil"/>
              <w:bottom w:val="single" w:color="000000" w:sz="8" w:space="0"/>
              <w:right w:val="single" w:color="000000" w:sz="8" w:space="0"/>
            </w:tcBorders>
            <w:noWrap w:val="0"/>
            <w:vAlign w:val="center"/>
          </w:tcPr>
          <w:p w14:paraId="277B3B65">
            <w:pPr>
              <w:widowControl/>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普通照明用非定向自镇流LED灯</w:t>
            </w:r>
          </w:p>
        </w:tc>
        <w:tc>
          <w:tcPr>
            <w:tcW w:w="1620" w:type="dxa"/>
            <w:tcBorders>
              <w:top w:val="nil"/>
              <w:left w:val="nil"/>
              <w:bottom w:val="single" w:color="000000" w:sz="8" w:space="0"/>
              <w:right w:val="single" w:color="000000" w:sz="8" w:space="0"/>
            </w:tcBorders>
            <w:noWrap w:val="0"/>
            <w:vAlign w:val="center"/>
          </w:tcPr>
          <w:p w14:paraId="71EA1E19">
            <w:pPr>
              <w:widowControl/>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　</w:t>
            </w:r>
          </w:p>
        </w:tc>
        <w:tc>
          <w:tcPr>
            <w:tcW w:w="4540" w:type="dxa"/>
            <w:tcBorders>
              <w:top w:val="nil"/>
              <w:left w:val="nil"/>
              <w:bottom w:val="single" w:color="000000" w:sz="8" w:space="0"/>
              <w:right w:val="single" w:color="000000" w:sz="8" w:space="0"/>
            </w:tcBorders>
            <w:noWrap w:val="0"/>
            <w:vAlign w:val="center"/>
          </w:tcPr>
          <w:p w14:paraId="58956188">
            <w:pPr>
              <w:widowControl/>
              <w:jc w:val="left"/>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《室内照明用LED产品能效限定值及能效等级》（GB30255）</w:t>
            </w:r>
          </w:p>
        </w:tc>
      </w:tr>
      <w:tr w14:paraId="4097EC97">
        <w:tblPrEx>
          <w:tblCellMar>
            <w:top w:w="0" w:type="dxa"/>
            <w:left w:w="108" w:type="dxa"/>
            <w:bottom w:w="0" w:type="dxa"/>
            <w:right w:w="108" w:type="dxa"/>
          </w:tblCellMar>
        </w:tblPrEx>
        <w:trPr>
          <w:trHeight w:val="735" w:hRule="atLeast"/>
        </w:trPr>
        <w:tc>
          <w:tcPr>
            <w:tcW w:w="660" w:type="dxa"/>
            <w:tcBorders>
              <w:top w:val="nil"/>
              <w:left w:val="single" w:color="000000" w:sz="8" w:space="0"/>
              <w:bottom w:val="single" w:color="000000" w:sz="8" w:space="0"/>
              <w:right w:val="single" w:color="000000" w:sz="8" w:space="0"/>
            </w:tcBorders>
            <w:noWrap w:val="0"/>
            <w:vAlign w:val="center"/>
          </w:tcPr>
          <w:p w14:paraId="49051F81">
            <w:pPr>
              <w:widowControl/>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12</w:t>
            </w:r>
          </w:p>
        </w:tc>
        <w:tc>
          <w:tcPr>
            <w:tcW w:w="1080" w:type="dxa"/>
            <w:tcBorders>
              <w:top w:val="nil"/>
              <w:left w:val="nil"/>
              <w:bottom w:val="single" w:color="000000" w:sz="8" w:space="0"/>
              <w:right w:val="single" w:color="000000" w:sz="8" w:space="0"/>
            </w:tcBorders>
            <w:noWrap w:val="0"/>
            <w:vAlign w:val="center"/>
          </w:tcPr>
          <w:p w14:paraId="6511D650">
            <w:pPr>
              <w:widowControl/>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★A020910电视设备</w:t>
            </w:r>
          </w:p>
        </w:tc>
        <w:tc>
          <w:tcPr>
            <w:tcW w:w="1320" w:type="dxa"/>
            <w:tcBorders>
              <w:top w:val="nil"/>
              <w:left w:val="nil"/>
              <w:bottom w:val="single" w:color="000000" w:sz="8" w:space="0"/>
              <w:right w:val="single" w:color="000000" w:sz="8" w:space="0"/>
            </w:tcBorders>
            <w:noWrap w:val="0"/>
            <w:vAlign w:val="center"/>
          </w:tcPr>
          <w:p w14:paraId="726AD716">
            <w:pPr>
              <w:widowControl/>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A02091001普通电视设备（电视机）</w:t>
            </w:r>
          </w:p>
        </w:tc>
        <w:tc>
          <w:tcPr>
            <w:tcW w:w="1620" w:type="dxa"/>
            <w:tcBorders>
              <w:top w:val="nil"/>
              <w:left w:val="nil"/>
              <w:bottom w:val="single" w:color="000000" w:sz="8" w:space="0"/>
              <w:right w:val="single" w:color="000000" w:sz="8" w:space="0"/>
            </w:tcBorders>
            <w:noWrap w:val="0"/>
            <w:vAlign w:val="center"/>
          </w:tcPr>
          <w:p w14:paraId="59258889">
            <w:pPr>
              <w:widowControl/>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　</w:t>
            </w:r>
          </w:p>
        </w:tc>
        <w:tc>
          <w:tcPr>
            <w:tcW w:w="4540" w:type="dxa"/>
            <w:tcBorders>
              <w:top w:val="nil"/>
              <w:left w:val="nil"/>
              <w:bottom w:val="single" w:color="000000" w:sz="8" w:space="0"/>
              <w:right w:val="single" w:color="000000" w:sz="8" w:space="0"/>
            </w:tcBorders>
            <w:noWrap w:val="0"/>
            <w:vAlign w:val="center"/>
          </w:tcPr>
          <w:p w14:paraId="70B0D305">
            <w:pPr>
              <w:widowControl/>
              <w:jc w:val="left"/>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《平板电视能效限定值及能效等级》（GB24850）</w:t>
            </w:r>
          </w:p>
        </w:tc>
      </w:tr>
      <w:tr w14:paraId="3F780C12">
        <w:tblPrEx>
          <w:tblCellMar>
            <w:top w:w="0" w:type="dxa"/>
            <w:left w:w="108" w:type="dxa"/>
            <w:bottom w:w="0" w:type="dxa"/>
            <w:right w:w="108" w:type="dxa"/>
          </w:tblCellMar>
        </w:tblPrEx>
        <w:trPr>
          <w:trHeight w:val="975" w:hRule="atLeast"/>
        </w:trPr>
        <w:tc>
          <w:tcPr>
            <w:tcW w:w="660" w:type="dxa"/>
            <w:tcBorders>
              <w:top w:val="nil"/>
              <w:left w:val="single" w:color="000000" w:sz="8" w:space="0"/>
              <w:bottom w:val="single" w:color="000000" w:sz="8" w:space="0"/>
              <w:right w:val="single" w:color="000000" w:sz="8" w:space="0"/>
            </w:tcBorders>
            <w:noWrap w:val="0"/>
            <w:vAlign w:val="center"/>
          </w:tcPr>
          <w:p w14:paraId="1AF76F89">
            <w:pPr>
              <w:widowControl/>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13</w:t>
            </w:r>
          </w:p>
        </w:tc>
        <w:tc>
          <w:tcPr>
            <w:tcW w:w="1080" w:type="dxa"/>
            <w:tcBorders>
              <w:top w:val="nil"/>
              <w:left w:val="nil"/>
              <w:bottom w:val="single" w:color="000000" w:sz="8" w:space="0"/>
              <w:right w:val="single" w:color="000000" w:sz="8" w:space="0"/>
            </w:tcBorders>
            <w:noWrap w:val="0"/>
            <w:vAlign w:val="center"/>
          </w:tcPr>
          <w:p w14:paraId="47070B95">
            <w:pPr>
              <w:widowControl/>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★A020911视频设备</w:t>
            </w:r>
          </w:p>
        </w:tc>
        <w:tc>
          <w:tcPr>
            <w:tcW w:w="1320" w:type="dxa"/>
            <w:tcBorders>
              <w:top w:val="nil"/>
              <w:left w:val="nil"/>
              <w:bottom w:val="single" w:color="000000" w:sz="8" w:space="0"/>
              <w:right w:val="single" w:color="000000" w:sz="8" w:space="0"/>
            </w:tcBorders>
            <w:noWrap w:val="0"/>
            <w:vAlign w:val="center"/>
          </w:tcPr>
          <w:p w14:paraId="298B0DBA">
            <w:pPr>
              <w:widowControl/>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A02091107视频监控设备</w:t>
            </w:r>
          </w:p>
        </w:tc>
        <w:tc>
          <w:tcPr>
            <w:tcW w:w="1620" w:type="dxa"/>
            <w:tcBorders>
              <w:top w:val="nil"/>
              <w:left w:val="nil"/>
              <w:bottom w:val="single" w:color="000000" w:sz="8" w:space="0"/>
              <w:right w:val="single" w:color="000000" w:sz="8" w:space="0"/>
            </w:tcBorders>
            <w:noWrap w:val="0"/>
            <w:vAlign w:val="center"/>
          </w:tcPr>
          <w:p w14:paraId="54E40A1A">
            <w:pPr>
              <w:widowControl/>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监视器</w:t>
            </w:r>
          </w:p>
        </w:tc>
        <w:tc>
          <w:tcPr>
            <w:tcW w:w="4540" w:type="dxa"/>
            <w:tcBorders>
              <w:top w:val="nil"/>
              <w:left w:val="nil"/>
              <w:bottom w:val="single" w:color="000000" w:sz="8" w:space="0"/>
              <w:right w:val="single" w:color="000000" w:sz="8" w:space="0"/>
            </w:tcBorders>
            <w:noWrap w:val="0"/>
            <w:vAlign w:val="center"/>
          </w:tcPr>
          <w:p w14:paraId="6E9BCE1A">
            <w:pPr>
              <w:widowControl/>
              <w:jc w:val="left"/>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以射频信号为主要信号输入的监视器应符合《平板电视能效限定值及能效等级》（GB24850），以数字信号为主要信号输入的监视器应符合《计算机显示器能效限定值及能效等级》（GB21520）</w:t>
            </w:r>
          </w:p>
        </w:tc>
      </w:tr>
      <w:tr w14:paraId="22B4AA9C">
        <w:tblPrEx>
          <w:tblCellMar>
            <w:top w:w="0" w:type="dxa"/>
            <w:left w:w="108" w:type="dxa"/>
            <w:bottom w:w="0" w:type="dxa"/>
            <w:right w:w="108" w:type="dxa"/>
          </w:tblCellMar>
        </w:tblPrEx>
        <w:trPr>
          <w:trHeight w:val="495" w:hRule="atLeast"/>
        </w:trPr>
        <w:tc>
          <w:tcPr>
            <w:tcW w:w="660" w:type="dxa"/>
            <w:tcBorders>
              <w:top w:val="nil"/>
              <w:left w:val="single" w:color="000000" w:sz="8" w:space="0"/>
              <w:bottom w:val="single" w:color="000000" w:sz="8" w:space="0"/>
              <w:right w:val="single" w:color="000000" w:sz="8" w:space="0"/>
            </w:tcBorders>
            <w:noWrap w:val="0"/>
            <w:vAlign w:val="center"/>
          </w:tcPr>
          <w:p w14:paraId="2B438DF2">
            <w:pPr>
              <w:widowControl/>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14</w:t>
            </w:r>
          </w:p>
        </w:tc>
        <w:tc>
          <w:tcPr>
            <w:tcW w:w="1080" w:type="dxa"/>
            <w:tcBorders>
              <w:top w:val="nil"/>
              <w:left w:val="nil"/>
              <w:bottom w:val="single" w:color="000000" w:sz="8" w:space="0"/>
              <w:right w:val="single" w:color="000000" w:sz="8" w:space="0"/>
            </w:tcBorders>
            <w:noWrap w:val="0"/>
            <w:vAlign w:val="center"/>
          </w:tcPr>
          <w:p w14:paraId="22A772AA">
            <w:pPr>
              <w:widowControl/>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A031210饮食炊事机械</w:t>
            </w:r>
          </w:p>
        </w:tc>
        <w:tc>
          <w:tcPr>
            <w:tcW w:w="1320" w:type="dxa"/>
            <w:tcBorders>
              <w:top w:val="nil"/>
              <w:left w:val="nil"/>
              <w:bottom w:val="single" w:color="000000" w:sz="8" w:space="0"/>
              <w:right w:val="single" w:color="000000" w:sz="8" w:space="0"/>
            </w:tcBorders>
            <w:noWrap w:val="0"/>
            <w:vAlign w:val="center"/>
          </w:tcPr>
          <w:p w14:paraId="65C7E8C7">
            <w:pPr>
              <w:widowControl/>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商用燃气灶具</w:t>
            </w:r>
          </w:p>
        </w:tc>
        <w:tc>
          <w:tcPr>
            <w:tcW w:w="1620" w:type="dxa"/>
            <w:tcBorders>
              <w:top w:val="nil"/>
              <w:left w:val="nil"/>
              <w:bottom w:val="single" w:color="000000" w:sz="8" w:space="0"/>
              <w:right w:val="single" w:color="000000" w:sz="8" w:space="0"/>
            </w:tcBorders>
            <w:noWrap w:val="0"/>
            <w:vAlign w:val="center"/>
          </w:tcPr>
          <w:p w14:paraId="06E6C29C">
            <w:pPr>
              <w:widowControl/>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　</w:t>
            </w:r>
          </w:p>
        </w:tc>
        <w:tc>
          <w:tcPr>
            <w:tcW w:w="4540" w:type="dxa"/>
            <w:tcBorders>
              <w:top w:val="nil"/>
              <w:left w:val="nil"/>
              <w:bottom w:val="single" w:color="000000" w:sz="8" w:space="0"/>
              <w:right w:val="single" w:color="000000" w:sz="8" w:space="0"/>
            </w:tcBorders>
            <w:noWrap w:val="0"/>
            <w:vAlign w:val="center"/>
          </w:tcPr>
          <w:p w14:paraId="311C1AD2">
            <w:pPr>
              <w:widowControl/>
              <w:jc w:val="left"/>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《商用燃气灶具能效限定值及能效等级》（GB30531）</w:t>
            </w:r>
          </w:p>
        </w:tc>
      </w:tr>
      <w:tr w14:paraId="42C5F453">
        <w:tblPrEx>
          <w:tblCellMar>
            <w:top w:w="0" w:type="dxa"/>
            <w:left w:w="108" w:type="dxa"/>
            <w:bottom w:w="0" w:type="dxa"/>
            <w:right w:w="108" w:type="dxa"/>
          </w:tblCellMar>
        </w:tblPrEx>
        <w:trPr>
          <w:trHeight w:val="285" w:hRule="atLeast"/>
        </w:trPr>
        <w:tc>
          <w:tcPr>
            <w:tcW w:w="660" w:type="dxa"/>
            <w:vMerge w:val="restart"/>
            <w:tcBorders>
              <w:top w:val="nil"/>
              <w:left w:val="single" w:color="000000" w:sz="8" w:space="0"/>
              <w:bottom w:val="single" w:color="000000" w:sz="8" w:space="0"/>
              <w:right w:val="single" w:color="000000" w:sz="8" w:space="0"/>
            </w:tcBorders>
            <w:noWrap w:val="0"/>
            <w:vAlign w:val="center"/>
          </w:tcPr>
          <w:p w14:paraId="536DBC35">
            <w:pPr>
              <w:widowControl/>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15</w:t>
            </w:r>
          </w:p>
        </w:tc>
        <w:tc>
          <w:tcPr>
            <w:tcW w:w="1080" w:type="dxa"/>
            <w:vMerge w:val="restart"/>
            <w:tcBorders>
              <w:top w:val="nil"/>
              <w:left w:val="single" w:color="000000" w:sz="8" w:space="0"/>
              <w:bottom w:val="single" w:color="000000" w:sz="8" w:space="0"/>
              <w:right w:val="single" w:color="000000" w:sz="8" w:space="0"/>
            </w:tcBorders>
            <w:noWrap w:val="0"/>
            <w:vAlign w:val="center"/>
          </w:tcPr>
          <w:p w14:paraId="23A00489">
            <w:pPr>
              <w:widowControl/>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★A060805便器</w:t>
            </w:r>
          </w:p>
        </w:tc>
        <w:tc>
          <w:tcPr>
            <w:tcW w:w="1320" w:type="dxa"/>
            <w:tcBorders>
              <w:top w:val="nil"/>
              <w:left w:val="nil"/>
              <w:bottom w:val="single" w:color="000000" w:sz="8" w:space="0"/>
              <w:right w:val="single" w:color="000000" w:sz="8" w:space="0"/>
            </w:tcBorders>
            <w:noWrap w:val="0"/>
            <w:vAlign w:val="center"/>
          </w:tcPr>
          <w:p w14:paraId="630CE118">
            <w:pPr>
              <w:widowControl/>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坐便器</w:t>
            </w:r>
          </w:p>
        </w:tc>
        <w:tc>
          <w:tcPr>
            <w:tcW w:w="1620" w:type="dxa"/>
            <w:tcBorders>
              <w:top w:val="nil"/>
              <w:left w:val="nil"/>
              <w:bottom w:val="single" w:color="000000" w:sz="8" w:space="0"/>
              <w:right w:val="single" w:color="000000" w:sz="8" w:space="0"/>
            </w:tcBorders>
            <w:noWrap w:val="0"/>
            <w:vAlign w:val="center"/>
          </w:tcPr>
          <w:p w14:paraId="49AF0D76">
            <w:pPr>
              <w:widowControl/>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　</w:t>
            </w:r>
          </w:p>
        </w:tc>
        <w:tc>
          <w:tcPr>
            <w:tcW w:w="4540" w:type="dxa"/>
            <w:tcBorders>
              <w:top w:val="nil"/>
              <w:left w:val="nil"/>
              <w:bottom w:val="single" w:color="000000" w:sz="8" w:space="0"/>
              <w:right w:val="single" w:color="000000" w:sz="8" w:space="0"/>
            </w:tcBorders>
            <w:noWrap w:val="0"/>
            <w:vAlign w:val="center"/>
          </w:tcPr>
          <w:p w14:paraId="35C7065D">
            <w:pPr>
              <w:widowControl/>
              <w:jc w:val="left"/>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《坐便器水效限定值及水效等级》（GB25502）</w:t>
            </w:r>
          </w:p>
        </w:tc>
      </w:tr>
      <w:tr w14:paraId="70BA5147">
        <w:tblPrEx>
          <w:tblCellMar>
            <w:top w:w="0" w:type="dxa"/>
            <w:left w:w="108" w:type="dxa"/>
            <w:bottom w:w="0" w:type="dxa"/>
            <w:right w:w="108" w:type="dxa"/>
          </w:tblCellMar>
        </w:tblPrEx>
        <w:trPr>
          <w:trHeight w:val="495" w:hRule="atLeast"/>
        </w:trPr>
        <w:tc>
          <w:tcPr>
            <w:tcW w:w="0" w:type="auto"/>
            <w:vMerge w:val="continue"/>
            <w:tcBorders>
              <w:top w:val="nil"/>
              <w:left w:val="single" w:color="000000" w:sz="8" w:space="0"/>
              <w:bottom w:val="single" w:color="000000" w:sz="8" w:space="0"/>
              <w:right w:val="single" w:color="000000" w:sz="8" w:space="0"/>
            </w:tcBorders>
            <w:noWrap w:val="0"/>
            <w:vAlign w:val="center"/>
          </w:tcPr>
          <w:p w14:paraId="1C723841">
            <w:pPr>
              <w:widowControl/>
              <w:jc w:val="left"/>
              <w:rPr>
                <w:rFonts w:hint="eastAsia" w:ascii="宋体" w:hAnsi="宋体" w:eastAsia="宋体" w:cs="宋体"/>
                <w:color w:val="auto"/>
                <w:kern w:val="0"/>
                <w:sz w:val="20"/>
                <w:szCs w:val="20"/>
                <w:highlight w:val="none"/>
              </w:rPr>
            </w:pPr>
          </w:p>
        </w:tc>
        <w:tc>
          <w:tcPr>
            <w:tcW w:w="0" w:type="auto"/>
            <w:vMerge w:val="continue"/>
            <w:tcBorders>
              <w:top w:val="nil"/>
              <w:left w:val="single" w:color="000000" w:sz="8" w:space="0"/>
              <w:bottom w:val="single" w:color="000000" w:sz="8" w:space="0"/>
              <w:right w:val="single" w:color="000000" w:sz="8" w:space="0"/>
            </w:tcBorders>
            <w:noWrap w:val="0"/>
            <w:vAlign w:val="center"/>
          </w:tcPr>
          <w:p w14:paraId="16B3CAEB">
            <w:pPr>
              <w:widowControl/>
              <w:jc w:val="left"/>
              <w:rPr>
                <w:rFonts w:hint="eastAsia" w:ascii="宋体" w:hAnsi="宋体" w:eastAsia="宋体" w:cs="宋体"/>
                <w:color w:val="auto"/>
                <w:kern w:val="0"/>
                <w:sz w:val="20"/>
                <w:szCs w:val="20"/>
                <w:highlight w:val="none"/>
              </w:rPr>
            </w:pPr>
          </w:p>
        </w:tc>
        <w:tc>
          <w:tcPr>
            <w:tcW w:w="1320" w:type="dxa"/>
            <w:tcBorders>
              <w:top w:val="nil"/>
              <w:left w:val="nil"/>
              <w:bottom w:val="single" w:color="000000" w:sz="8" w:space="0"/>
              <w:right w:val="single" w:color="000000" w:sz="8" w:space="0"/>
            </w:tcBorders>
            <w:noWrap w:val="0"/>
            <w:vAlign w:val="center"/>
          </w:tcPr>
          <w:p w14:paraId="0F063E0A">
            <w:pPr>
              <w:widowControl/>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蹲便器</w:t>
            </w:r>
          </w:p>
        </w:tc>
        <w:tc>
          <w:tcPr>
            <w:tcW w:w="1620" w:type="dxa"/>
            <w:tcBorders>
              <w:top w:val="nil"/>
              <w:left w:val="nil"/>
              <w:bottom w:val="single" w:color="000000" w:sz="8" w:space="0"/>
              <w:right w:val="single" w:color="000000" w:sz="8" w:space="0"/>
            </w:tcBorders>
            <w:noWrap w:val="0"/>
            <w:vAlign w:val="center"/>
          </w:tcPr>
          <w:p w14:paraId="00C29C44">
            <w:pPr>
              <w:widowControl/>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　</w:t>
            </w:r>
          </w:p>
        </w:tc>
        <w:tc>
          <w:tcPr>
            <w:tcW w:w="4540" w:type="dxa"/>
            <w:tcBorders>
              <w:top w:val="nil"/>
              <w:left w:val="nil"/>
              <w:bottom w:val="single" w:color="000000" w:sz="8" w:space="0"/>
              <w:right w:val="single" w:color="000000" w:sz="8" w:space="0"/>
            </w:tcBorders>
            <w:noWrap w:val="0"/>
            <w:vAlign w:val="center"/>
          </w:tcPr>
          <w:p w14:paraId="1A798887">
            <w:pPr>
              <w:widowControl/>
              <w:jc w:val="left"/>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《蹲便器用水效率限定值及用水效率等级》（GB30717）</w:t>
            </w:r>
          </w:p>
        </w:tc>
      </w:tr>
      <w:tr w14:paraId="433FBAEB">
        <w:tblPrEx>
          <w:tblCellMar>
            <w:top w:w="0" w:type="dxa"/>
            <w:left w:w="108" w:type="dxa"/>
            <w:bottom w:w="0" w:type="dxa"/>
            <w:right w:w="108" w:type="dxa"/>
          </w:tblCellMar>
        </w:tblPrEx>
        <w:trPr>
          <w:trHeight w:val="495" w:hRule="atLeast"/>
        </w:trPr>
        <w:tc>
          <w:tcPr>
            <w:tcW w:w="0" w:type="auto"/>
            <w:vMerge w:val="continue"/>
            <w:tcBorders>
              <w:top w:val="nil"/>
              <w:left w:val="single" w:color="000000" w:sz="8" w:space="0"/>
              <w:bottom w:val="single" w:color="000000" w:sz="8" w:space="0"/>
              <w:right w:val="single" w:color="000000" w:sz="8" w:space="0"/>
            </w:tcBorders>
            <w:noWrap w:val="0"/>
            <w:vAlign w:val="center"/>
          </w:tcPr>
          <w:p w14:paraId="74FF4648">
            <w:pPr>
              <w:widowControl/>
              <w:jc w:val="left"/>
              <w:rPr>
                <w:rFonts w:hint="eastAsia" w:ascii="宋体" w:hAnsi="宋体" w:eastAsia="宋体" w:cs="宋体"/>
                <w:color w:val="auto"/>
                <w:kern w:val="0"/>
                <w:sz w:val="20"/>
                <w:szCs w:val="20"/>
                <w:highlight w:val="none"/>
              </w:rPr>
            </w:pPr>
          </w:p>
        </w:tc>
        <w:tc>
          <w:tcPr>
            <w:tcW w:w="0" w:type="auto"/>
            <w:vMerge w:val="continue"/>
            <w:tcBorders>
              <w:top w:val="nil"/>
              <w:left w:val="single" w:color="000000" w:sz="8" w:space="0"/>
              <w:bottom w:val="single" w:color="000000" w:sz="8" w:space="0"/>
              <w:right w:val="single" w:color="000000" w:sz="8" w:space="0"/>
            </w:tcBorders>
            <w:noWrap w:val="0"/>
            <w:vAlign w:val="center"/>
          </w:tcPr>
          <w:p w14:paraId="7A172C92">
            <w:pPr>
              <w:widowControl/>
              <w:jc w:val="left"/>
              <w:rPr>
                <w:rFonts w:hint="eastAsia" w:ascii="宋体" w:hAnsi="宋体" w:eastAsia="宋体" w:cs="宋体"/>
                <w:color w:val="auto"/>
                <w:kern w:val="0"/>
                <w:sz w:val="20"/>
                <w:szCs w:val="20"/>
                <w:highlight w:val="none"/>
              </w:rPr>
            </w:pPr>
          </w:p>
        </w:tc>
        <w:tc>
          <w:tcPr>
            <w:tcW w:w="1320" w:type="dxa"/>
            <w:tcBorders>
              <w:top w:val="nil"/>
              <w:left w:val="nil"/>
              <w:bottom w:val="single" w:color="000000" w:sz="8" w:space="0"/>
              <w:right w:val="single" w:color="000000" w:sz="8" w:space="0"/>
            </w:tcBorders>
            <w:noWrap w:val="0"/>
            <w:vAlign w:val="center"/>
          </w:tcPr>
          <w:p w14:paraId="349C6306">
            <w:pPr>
              <w:widowControl/>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小便器</w:t>
            </w:r>
          </w:p>
        </w:tc>
        <w:tc>
          <w:tcPr>
            <w:tcW w:w="1620" w:type="dxa"/>
            <w:tcBorders>
              <w:top w:val="nil"/>
              <w:left w:val="nil"/>
              <w:bottom w:val="single" w:color="000000" w:sz="8" w:space="0"/>
              <w:right w:val="single" w:color="000000" w:sz="8" w:space="0"/>
            </w:tcBorders>
            <w:noWrap w:val="0"/>
            <w:vAlign w:val="center"/>
          </w:tcPr>
          <w:p w14:paraId="28ADE084">
            <w:pPr>
              <w:widowControl/>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　</w:t>
            </w:r>
          </w:p>
        </w:tc>
        <w:tc>
          <w:tcPr>
            <w:tcW w:w="4540" w:type="dxa"/>
            <w:tcBorders>
              <w:top w:val="nil"/>
              <w:left w:val="nil"/>
              <w:bottom w:val="single" w:color="000000" w:sz="8" w:space="0"/>
              <w:right w:val="single" w:color="000000" w:sz="8" w:space="0"/>
            </w:tcBorders>
            <w:noWrap w:val="0"/>
            <w:vAlign w:val="center"/>
          </w:tcPr>
          <w:p w14:paraId="48C9F026">
            <w:pPr>
              <w:widowControl/>
              <w:jc w:val="left"/>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《小便器用水效率限定值及用水效率等级》（GB28377）</w:t>
            </w:r>
          </w:p>
        </w:tc>
      </w:tr>
      <w:tr w14:paraId="58554E51">
        <w:tblPrEx>
          <w:tblCellMar>
            <w:top w:w="0" w:type="dxa"/>
            <w:left w:w="108" w:type="dxa"/>
            <w:bottom w:w="0" w:type="dxa"/>
            <w:right w:w="108" w:type="dxa"/>
          </w:tblCellMar>
        </w:tblPrEx>
        <w:trPr>
          <w:trHeight w:val="495" w:hRule="atLeast"/>
        </w:trPr>
        <w:tc>
          <w:tcPr>
            <w:tcW w:w="660" w:type="dxa"/>
            <w:tcBorders>
              <w:top w:val="nil"/>
              <w:left w:val="single" w:color="000000" w:sz="8" w:space="0"/>
              <w:bottom w:val="single" w:color="000000" w:sz="8" w:space="0"/>
              <w:right w:val="single" w:color="000000" w:sz="8" w:space="0"/>
            </w:tcBorders>
            <w:noWrap w:val="0"/>
            <w:vAlign w:val="center"/>
          </w:tcPr>
          <w:p w14:paraId="0BF86475">
            <w:pPr>
              <w:widowControl/>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16</w:t>
            </w:r>
          </w:p>
        </w:tc>
        <w:tc>
          <w:tcPr>
            <w:tcW w:w="1080" w:type="dxa"/>
            <w:tcBorders>
              <w:top w:val="nil"/>
              <w:left w:val="nil"/>
              <w:bottom w:val="single" w:color="000000" w:sz="8" w:space="0"/>
              <w:right w:val="single" w:color="000000" w:sz="8" w:space="0"/>
            </w:tcBorders>
            <w:noWrap w:val="0"/>
            <w:vAlign w:val="center"/>
          </w:tcPr>
          <w:p w14:paraId="05671C59">
            <w:pPr>
              <w:widowControl/>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★A060806水嘴</w:t>
            </w:r>
          </w:p>
        </w:tc>
        <w:tc>
          <w:tcPr>
            <w:tcW w:w="1320" w:type="dxa"/>
            <w:tcBorders>
              <w:top w:val="nil"/>
              <w:left w:val="nil"/>
              <w:bottom w:val="single" w:color="000000" w:sz="8" w:space="0"/>
              <w:right w:val="single" w:color="000000" w:sz="8" w:space="0"/>
            </w:tcBorders>
            <w:noWrap w:val="0"/>
            <w:vAlign w:val="center"/>
          </w:tcPr>
          <w:p w14:paraId="655AE6EC">
            <w:pPr>
              <w:widowControl/>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　</w:t>
            </w:r>
          </w:p>
        </w:tc>
        <w:tc>
          <w:tcPr>
            <w:tcW w:w="1620" w:type="dxa"/>
            <w:tcBorders>
              <w:top w:val="nil"/>
              <w:left w:val="nil"/>
              <w:bottom w:val="single" w:color="000000" w:sz="8" w:space="0"/>
              <w:right w:val="single" w:color="000000" w:sz="8" w:space="0"/>
            </w:tcBorders>
            <w:noWrap w:val="0"/>
            <w:vAlign w:val="center"/>
          </w:tcPr>
          <w:p w14:paraId="7DC7B936">
            <w:pPr>
              <w:widowControl/>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　</w:t>
            </w:r>
          </w:p>
        </w:tc>
        <w:tc>
          <w:tcPr>
            <w:tcW w:w="4540" w:type="dxa"/>
            <w:tcBorders>
              <w:top w:val="nil"/>
              <w:left w:val="nil"/>
              <w:bottom w:val="single" w:color="000000" w:sz="8" w:space="0"/>
              <w:right w:val="single" w:color="000000" w:sz="8" w:space="0"/>
            </w:tcBorders>
            <w:noWrap w:val="0"/>
            <w:vAlign w:val="center"/>
          </w:tcPr>
          <w:p w14:paraId="2E3D113F">
            <w:pPr>
              <w:widowControl/>
              <w:jc w:val="left"/>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《水嘴用水效率限定值及用水效率等级》（GB25501）</w:t>
            </w:r>
          </w:p>
        </w:tc>
      </w:tr>
      <w:tr w14:paraId="1B71D2D4">
        <w:tblPrEx>
          <w:tblCellMar>
            <w:top w:w="0" w:type="dxa"/>
            <w:left w:w="108" w:type="dxa"/>
            <w:bottom w:w="0" w:type="dxa"/>
            <w:right w:w="108" w:type="dxa"/>
          </w:tblCellMar>
        </w:tblPrEx>
        <w:trPr>
          <w:trHeight w:val="495" w:hRule="atLeast"/>
        </w:trPr>
        <w:tc>
          <w:tcPr>
            <w:tcW w:w="660" w:type="dxa"/>
            <w:tcBorders>
              <w:top w:val="nil"/>
              <w:left w:val="single" w:color="000000" w:sz="8" w:space="0"/>
              <w:bottom w:val="single" w:color="000000" w:sz="8" w:space="0"/>
              <w:right w:val="single" w:color="000000" w:sz="8" w:space="0"/>
            </w:tcBorders>
            <w:noWrap w:val="0"/>
            <w:vAlign w:val="center"/>
          </w:tcPr>
          <w:p w14:paraId="17DFC8C6">
            <w:pPr>
              <w:widowControl/>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17</w:t>
            </w:r>
          </w:p>
        </w:tc>
        <w:tc>
          <w:tcPr>
            <w:tcW w:w="1080" w:type="dxa"/>
            <w:tcBorders>
              <w:top w:val="nil"/>
              <w:left w:val="nil"/>
              <w:bottom w:val="single" w:color="000000" w:sz="8" w:space="0"/>
              <w:right w:val="single" w:color="000000" w:sz="8" w:space="0"/>
            </w:tcBorders>
            <w:noWrap w:val="0"/>
            <w:vAlign w:val="center"/>
          </w:tcPr>
          <w:p w14:paraId="651F4FBB">
            <w:pPr>
              <w:widowControl/>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A060807便器冲洗阀</w:t>
            </w:r>
          </w:p>
        </w:tc>
        <w:tc>
          <w:tcPr>
            <w:tcW w:w="1320" w:type="dxa"/>
            <w:tcBorders>
              <w:top w:val="nil"/>
              <w:left w:val="nil"/>
              <w:bottom w:val="single" w:color="000000" w:sz="8" w:space="0"/>
              <w:right w:val="single" w:color="000000" w:sz="8" w:space="0"/>
            </w:tcBorders>
            <w:noWrap w:val="0"/>
            <w:vAlign w:val="center"/>
          </w:tcPr>
          <w:p w14:paraId="56ECFFE1">
            <w:pPr>
              <w:widowControl/>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　</w:t>
            </w:r>
          </w:p>
        </w:tc>
        <w:tc>
          <w:tcPr>
            <w:tcW w:w="1620" w:type="dxa"/>
            <w:tcBorders>
              <w:top w:val="nil"/>
              <w:left w:val="nil"/>
              <w:bottom w:val="single" w:color="000000" w:sz="8" w:space="0"/>
              <w:right w:val="single" w:color="000000" w:sz="8" w:space="0"/>
            </w:tcBorders>
            <w:noWrap w:val="0"/>
            <w:vAlign w:val="center"/>
          </w:tcPr>
          <w:p w14:paraId="2D78F105">
            <w:pPr>
              <w:widowControl/>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　</w:t>
            </w:r>
          </w:p>
        </w:tc>
        <w:tc>
          <w:tcPr>
            <w:tcW w:w="4540" w:type="dxa"/>
            <w:tcBorders>
              <w:top w:val="nil"/>
              <w:left w:val="nil"/>
              <w:bottom w:val="single" w:color="000000" w:sz="8" w:space="0"/>
              <w:right w:val="single" w:color="000000" w:sz="8" w:space="0"/>
            </w:tcBorders>
            <w:noWrap w:val="0"/>
            <w:vAlign w:val="center"/>
          </w:tcPr>
          <w:p w14:paraId="64D4A81F">
            <w:pPr>
              <w:widowControl/>
              <w:jc w:val="left"/>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《便器冲洗阀用水效率限定值及用水效率等级》（GB28379）</w:t>
            </w:r>
          </w:p>
        </w:tc>
      </w:tr>
      <w:tr w14:paraId="6D7C87A4">
        <w:tblPrEx>
          <w:tblCellMar>
            <w:top w:w="0" w:type="dxa"/>
            <w:left w:w="108" w:type="dxa"/>
            <w:bottom w:w="0" w:type="dxa"/>
            <w:right w:w="108" w:type="dxa"/>
          </w:tblCellMar>
        </w:tblPrEx>
        <w:trPr>
          <w:trHeight w:val="495" w:hRule="atLeast"/>
        </w:trPr>
        <w:tc>
          <w:tcPr>
            <w:tcW w:w="660" w:type="dxa"/>
            <w:tcBorders>
              <w:top w:val="nil"/>
              <w:left w:val="single" w:color="000000" w:sz="8" w:space="0"/>
              <w:bottom w:val="single" w:color="000000" w:sz="8" w:space="0"/>
              <w:right w:val="single" w:color="000000" w:sz="8" w:space="0"/>
            </w:tcBorders>
            <w:noWrap w:val="0"/>
            <w:vAlign w:val="center"/>
          </w:tcPr>
          <w:p w14:paraId="499BBE38">
            <w:pPr>
              <w:widowControl/>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18</w:t>
            </w:r>
          </w:p>
        </w:tc>
        <w:tc>
          <w:tcPr>
            <w:tcW w:w="1080" w:type="dxa"/>
            <w:tcBorders>
              <w:top w:val="nil"/>
              <w:left w:val="nil"/>
              <w:bottom w:val="single" w:color="000000" w:sz="8" w:space="0"/>
              <w:right w:val="single" w:color="000000" w:sz="8" w:space="0"/>
            </w:tcBorders>
            <w:noWrap w:val="0"/>
            <w:vAlign w:val="center"/>
          </w:tcPr>
          <w:p w14:paraId="77CCBBCF">
            <w:pPr>
              <w:widowControl/>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A060810淋浴器</w:t>
            </w:r>
          </w:p>
        </w:tc>
        <w:tc>
          <w:tcPr>
            <w:tcW w:w="1320" w:type="dxa"/>
            <w:tcBorders>
              <w:top w:val="nil"/>
              <w:left w:val="nil"/>
              <w:bottom w:val="single" w:color="000000" w:sz="8" w:space="0"/>
              <w:right w:val="single" w:color="000000" w:sz="8" w:space="0"/>
            </w:tcBorders>
            <w:noWrap w:val="0"/>
            <w:vAlign w:val="center"/>
          </w:tcPr>
          <w:p w14:paraId="43936746">
            <w:pPr>
              <w:widowControl/>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　</w:t>
            </w:r>
          </w:p>
        </w:tc>
        <w:tc>
          <w:tcPr>
            <w:tcW w:w="1620" w:type="dxa"/>
            <w:tcBorders>
              <w:top w:val="nil"/>
              <w:left w:val="nil"/>
              <w:bottom w:val="single" w:color="000000" w:sz="8" w:space="0"/>
              <w:right w:val="single" w:color="000000" w:sz="8" w:space="0"/>
            </w:tcBorders>
            <w:noWrap w:val="0"/>
            <w:vAlign w:val="center"/>
          </w:tcPr>
          <w:p w14:paraId="70E41ACF">
            <w:pPr>
              <w:widowControl/>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　</w:t>
            </w:r>
          </w:p>
        </w:tc>
        <w:tc>
          <w:tcPr>
            <w:tcW w:w="4540" w:type="dxa"/>
            <w:tcBorders>
              <w:top w:val="nil"/>
              <w:left w:val="nil"/>
              <w:bottom w:val="single" w:color="000000" w:sz="8" w:space="0"/>
              <w:right w:val="single" w:color="000000" w:sz="8" w:space="0"/>
            </w:tcBorders>
            <w:noWrap w:val="0"/>
            <w:vAlign w:val="center"/>
          </w:tcPr>
          <w:p w14:paraId="0CE7BF79">
            <w:pPr>
              <w:widowControl/>
              <w:jc w:val="left"/>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《淋浴器用水效率限定值及用水效率等级》（GB28378）</w:t>
            </w:r>
          </w:p>
        </w:tc>
      </w:tr>
    </w:tbl>
    <w:p w14:paraId="5648B9A4">
      <w:pPr>
        <w:pStyle w:val="14"/>
        <w:spacing w:line="360" w:lineRule="auto"/>
        <w:rPr>
          <w:rFonts w:hint="eastAsia" w:ascii="宋体" w:hAnsi="宋体" w:eastAsia="宋体" w:cs="宋体"/>
          <w:color w:val="auto"/>
          <w:spacing w:val="-3"/>
          <w:szCs w:val="21"/>
          <w:highlight w:val="none"/>
        </w:rPr>
      </w:pPr>
    </w:p>
    <w:p w14:paraId="0EA2E0F5">
      <w:pPr>
        <w:pStyle w:val="14"/>
        <w:spacing w:line="360" w:lineRule="auto"/>
        <w:rPr>
          <w:rFonts w:hint="eastAsia" w:ascii="宋体" w:hAnsi="宋体" w:eastAsia="宋体" w:cs="宋体"/>
          <w:color w:val="auto"/>
          <w:szCs w:val="21"/>
          <w:highlight w:val="none"/>
        </w:rPr>
      </w:pPr>
      <w:r>
        <w:rPr>
          <w:rFonts w:hint="eastAsia" w:ascii="宋体" w:hAnsi="宋体" w:eastAsia="宋体" w:cs="宋体"/>
          <w:color w:val="auto"/>
          <w:spacing w:val="-3"/>
          <w:szCs w:val="21"/>
          <w:highlight w:val="none"/>
        </w:rPr>
        <w:t>注：1.节能产品认证应依据相关国家标准的最新版本，依据国家标准中二级能效（水效）</w:t>
      </w:r>
      <w:r>
        <w:rPr>
          <w:rFonts w:hint="eastAsia" w:ascii="宋体" w:hAnsi="宋体" w:eastAsia="宋体" w:cs="宋体"/>
          <w:color w:val="auto"/>
          <w:szCs w:val="21"/>
          <w:highlight w:val="none"/>
        </w:rPr>
        <w:t>指标。</w:t>
      </w:r>
    </w:p>
    <w:p w14:paraId="538C0282">
      <w:pPr>
        <w:pStyle w:val="14"/>
        <w:spacing w:line="360" w:lineRule="auto"/>
        <w:rPr>
          <w:rFonts w:hint="eastAsia" w:ascii="宋体" w:hAnsi="宋体" w:eastAsia="宋体" w:cs="宋体"/>
          <w:b/>
          <w:bCs/>
          <w:color w:val="auto"/>
          <w:szCs w:val="21"/>
          <w:highlight w:val="none"/>
        </w:rPr>
      </w:pPr>
      <w:r>
        <w:rPr>
          <w:rFonts w:hint="eastAsia" w:ascii="宋体" w:hAnsi="宋体" w:eastAsia="宋体" w:cs="宋体"/>
          <w:color w:val="auto"/>
          <w:szCs w:val="21"/>
          <w:highlight w:val="none"/>
        </w:rPr>
        <w:t>2</w:t>
      </w:r>
      <w:r>
        <w:rPr>
          <w:rFonts w:hint="eastAsia" w:ascii="宋体" w:hAnsi="宋体" w:eastAsia="宋体" w:cs="宋体"/>
          <w:b/>
          <w:bCs/>
          <w:color w:val="auto"/>
          <w:szCs w:val="21"/>
          <w:highlight w:val="none"/>
        </w:rPr>
        <w:t>.以“★”标注的为政府强制采购产品。</w:t>
      </w:r>
    </w:p>
    <w:p w14:paraId="6BB5ABAA">
      <w:pPr>
        <w:pStyle w:val="18"/>
        <w:jc w:val="left"/>
        <w:rPr>
          <w:rFonts w:hint="eastAsia" w:ascii="宋体" w:hAnsi="宋体" w:eastAsia="宋体" w:cs="宋体"/>
          <w:color w:val="auto"/>
          <w:sz w:val="32"/>
          <w:szCs w:val="32"/>
          <w:highlight w:val="none"/>
        </w:rPr>
      </w:pPr>
      <w:r>
        <w:rPr>
          <w:rFonts w:hint="eastAsia" w:ascii="宋体" w:hAnsi="宋体" w:eastAsia="宋体" w:cs="宋体"/>
          <w:color w:val="auto"/>
          <w:highlight w:val="none"/>
        </w:rPr>
        <w:br w:type="page"/>
      </w:r>
      <w:r>
        <w:rPr>
          <w:rFonts w:hint="eastAsia" w:ascii="宋体" w:hAnsi="宋体" w:eastAsia="宋体" w:cs="宋体"/>
          <w:color w:val="auto"/>
          <w:sz w:val="32"/>
          <w:szCs w:val="32"/>
          <w:highlight w:val="none"/>
        </w:rPr>
        <w:t>附件</w:t>
      </w:r>
      <w:r>
        <w:rPr>
          <w:rFonts w:hint="eastAsia" w:hAnsi="宋体" w:cs="宋体"/>
          <w:color w:val="auto"/>
          <w:sz w:val="32"/>
          <w:szCs w:val="32"/>
          <w:highlight w:val="none"/>
          <w:lang w:val="en-US" w:eastAsia="zh-CN"/>
        </w:rPr>
        <w:t>5</w:t>
      </w:r>
      <w:r>
        <w:rPr>
          <w:rFonts w:hint="eastAsia" w:ascii="宋体" w:hAnsi="宋体" w:eastAsia="宋体" w:cs="宋体"/>
          <w:color w:val="auto"/>
          <w:sz w:val="32"/>
          <w:szCs w:val="32"/>
          <w:highlight w:val="none"/>
        </w:rPr>
        <w:t>：</w:t>
      </w:r>
    </w:p>
    <w:p w14:paraId="04B23328">
      <w:pPr>
        <w:spacing w:line="528" w:lineRule="exact"/>
        <w:jc w:val="center"/>
        <w:rPr>
          <w:rFonts w:hint="eastAsia" w:ascii="宋体" w:hAnsi="宋体" w:eastAsia="宋体" w:cs="宋体"/>
          <w:color w:val="auto"/>
          <w:sz w:val="40"/>
          <w:szCs w:val="40"/>
          <w:highlight w:val="none"/>
        </w:rPr>
      </w:pPr>
      <w:r>
        <w:rPr>
          <w:rFonts w:hint="eastAsia" w:ascii="宋体" w:hAnsi="宋体" w:eastAsia="宋体" w:cs="宋体"/>
          <w:color w:val="auto"/>
          <w:sz w:val="40"/>
          <w:szCs w:val="40"/>
          <w:highlight w:val="none"/>
        </w:rPr>
        <w:t>中小微企业划型标准</w:t>
      </w:r>
    </w:p>
    <w:tbl>
      <w:tblPr>
        <w:tblStyle w:val="35"/>
        <w:tblW w:w="9078" w:type="dxa"/>
        <w:tblInd w:w="250" w:type="dxa"/>
        <w:tblLayout w:type="fixed"/>
        <w:tblCellMar>
          <w:top w:w="0" w:type="dxa"/>
          <w:left w:w="108" w:type="dxa"/>
          <w:bottom w:w="0" w:type="dxa"/>
          <w:right w:w="108" w:type="dxa"/>
        </w:tblCellMar>
      </w:tblPr>
      <w:tblGrid>
        <w:gridCol w:w="1701"/>
        <w:gridCol w:w="1383"/>
        <w:gridCol w:w="1260"/>
        <w:gridCol w:w="1697"/>
        <w:gridCol w:w="1631"/>
        <w:gridCol w:w="1406"/>
      </w:tblGrid>
      <w:tr w14:paraId="04C4AB8E">
        <w:tblPrEx>
          <w:tblCellMar>
            <w:top w:w="0" w:type="dxa"/>
            <w:left w:w="108" w:type="dxa"/>
            <w:bottom w:w="0" w:type="dxa"/>
            <w:right w:w="108" w:type="dxa"/>
          </w:tblCellMar>
        </w:tblPrEx>
        <w:trPr>
          <w:trHeight w:val="285" w:hRule="atLeast"/>
        </w:trPr>
        <w:tc>
          <w:tcPr>
            <w:tcW w:w="1701" w:type="dxa"/>
            <w:tcBorders>
              <w:top w:val="single" w:color="auto" w:sz="4" w:space="0"/>
              <w:left w:val="single" w:color="auto" w:sz="4" w:space="0"/>
              <w:bottom w:val="single" w:color="auto" w:sz="4" w:space="0"/>
              <w:right w:val="single" w:color="auto" w:sz="4" w:space="0"/>
            </w:tcBorders>
            <w:noWrap w:val="0"/>
            <w:vAlign w:val="center"/>
          </w:tcPr>
          <w:p w14:paraId="71A06016">
            <w:pPr>
              <w:widowControl/>
              <w:jc w:val="center"/>
              <w:rPr>
                <w:rFonts w:hint="eastAsia" w:ascii="宋体" w:hAnsi="宋体" w:eastAsia="宋体" w:cs="宋体"/>
                <w:b/>
                <w:color w:val="auto"/>
                <w:kern w:val="0"/>
                <w:sz w:val="24"/>
                <w:highlight w:val="none"/>
              </w:rPr>
            </w:pPr>
            <w:r>
              <w:rPr>
                <w:rFonts w:hint="eastAsia" w:ascii="宋体" w:hAnsi="宋体" w:eastAsia="宋体" w:cs="宋体"/>
                <w:b/>
                <w:color w:val="auto"/>
                <w:kern w:val="0"/>
                <w:sz w:val="24"/>
                <w:highlight w:val="none"/>
              </w:rPr>
              <w:t>行业名称</w:t>
            </w:r>
          </w:p>
        </w:tc>
        <w:tc>
          <w:tcPr>
            <w:tcW w:w="1383" w:type="dxa"/>
            <w:tcBorders>
              <w:top w:val="single" w:color="auto" w:sz="4" w:space="0"/>
              <w:left w:val="nil"/>
              <w:bottom w:val="single" w:color="auto" w:sz="4" w:space="0"/>
              <w:right w:val="single" w:color="auto" w:sz="4" w:space="0"/>
            </w:tcBorders>
            <w:noWrap w:val="0"/>
            <w:vAlign w:val="center"/>
          </w:tcPr>
          <w:p w14:paraId="19C538E6">
            <w:pPr>
              <w:widowControl/>
              <w:jc w:val="center"/>
              <w:rPr>
                <w:rFonts w:hint="eastAsia" w:ascii="宋体" w:hAnsi="宋体" w:eastAsia="宋体" w:cs="宋体"/>
                <w:b/>
                <w:color w:val="auto"/>
                <w:kern w:val="0"/>
                <w:sz w:val="24"/>
                <w:highlight w:val="none"/>
              </w:rPr>
            </w:pPr>
            <w:r>
              <w:rPr>
                <w:rFonts w:hint="eastAsia" w:ascii="宋体" w:hAnsi="宋体" w:eastAsia="宋体" w:cs="宋体"/>
                <w:b/>
                <w:color w:val="auto"/>
                <w:kern w:val="0"/>
                <w:sz w:val="24"/>
                <w:highlight w:val="none"/>
              </w:rPr>
              <w:t>指标名称</w:t>
            </w:r>
          </w:p>
        </w:tc>
        <w:tc>
          <w:tcPr>
            <w:tcW w:w="1260" w:type="dxa"/>
            <w:tcBorders>
              <w:top w:val="single" w:color="auto" w:sz="4" w:space="0"/>
              <w:left w:val="nil"/>
              <w:bottom w:val="single" w:color="auto" w:sz="4" w:space="0"/>
              <w:right w:val="single" w:color="auto" w:sz="4" w:space="0"/>
            </w:tcBorders>
            <w:noWrap w:val="0"/>
            <w:vAlign w:val="center"/>
          </w:tcPr>
          <w:p w14:paraId="6EBE3790">
            <w:pPr>
              <w:widowControl/>
              <w:jc w:val="center"/>
              <w:rPr>
                <w:rFonts w:hint="eastAsia" w:ascii="宋体" w:hAnsi="宋体" w:eastAsia="宋体" w:cs="宋体"/>
                <w:b/>
                <w:color w:val="auto"/>
                <w:kern w:val="0"/>
                <w:sz w:val="24"/>
                <w:highlight w:val="none"/>
              </w:rPr>
            </w:pPr>
            <w:r>
              <w:rPr>
                <w:rFonts w:hint="eastAsia" w:ascii="宋体" w:hAnsi="宋体" w:eastAsia="宋体" w:cs="宋体"/>
                <w:b/>
                <w:color w:val="auto"/>
                <w:kern w:val="0"/>
                <w:sz w:val="24"/>
                <w:highlight w:val="none"/>
              </w:rPr>
              <w:t>计量单位</w:t>
            </w:r>
          </w:p>
        </w:tc>
        <w:tc>
          <w:tcPr>
            <w:tcW w:w="1697" w:type="dxa"/>
            <w:tcBorders>
              <w:top w:val="single" w:color="auto" w:sz="4" w:space="0"/>
              <w:left w:val="nil"/>
              <w:bottom w:val="single" w:color="auto" w:sz="4" w:space="0"/>
              <w:right w:val="single" w:color="auto" w:sz="4" w:space="0"/>
            </w:tcBorders>
            <w:noWrap w:val="0"/>
            <w:vAlign w:val="center"/>
          </w:tcPr>
          <w:p w14:paraId="1F192B5D">
            <w:pPr>
              <w:widowControl/>
              <w:jc w:val="center"/>
              <w:rPr>
                <w:rFonts w:hint="eastAsia" w:ascii="宋体" w:hAnsi="宋体" w:eastAsia="宋体" w:cs="宋体"/>
                <w:b/>
                <w:color w:val="auto"/>
                <w:kern w:val="0"/>
                <w:sz w:val="24"/>
                <w:highlight w:val="none"/>
              </w:rPr>
            </w:pPr>
            <w:r>
              <w:rPr>
                <w:rFonts w:hint="eastAsia" w:ascii="宋体" w:hAnsi="宋体" w:eastAsia="宋体" w:cs="宋体"/>
                <w:b/>
                <w:color w:val="auto"/>
                <w:kern w:val="0"/>
                <w:sz w:val="24"/>
                <w:highlight w:val="none"/>
              </w:rPr>
              <w:t>中型</w:t>
            </w:r>
          </w:p>
        </w:tc>
        <w:tc>
          <w:tcPr>
            <w:tcW w:w="1631" w:type="dxa"/>
            <w:tcBorders>
              <w:top w:val="single" w:color="auto" w:sz="4" w:space="0"/>
              <w:left w:val="nil"/>
              <w:bottom w:val="single" w:color="auto" w:sz="4" w:space="0"/>
              <w:right w:val="single" w:color="auto" w:sz="4" w:space="0"/>
            </w:tcBorders>
            <w:noWrap w:val="0"/>
            <w:vAlign w:val="center"/>
          </w:tcPr>
          <w:p w14:paraId="7C2F3FA6">
            <w:pPr>
              <w:widowControl/>
              <w:jc w:val="center"/>
              <w:rPr>
                <w:rFonts w:hint="eastAsia" w:ascii="宋体" w:hAnsi="宋体" w:eastAsia="宋体" w:cs="宋体"/>
                <w:b/>
                <w:color w:val="auto"/>
                <w:kern w:val="0"/>
                <w:sz w:val="24"/>
                <w:highlight w:val="none"/>
              </w:rPr>
            </w:pPr>
            <w:r>
              <w:rPr>
                <w:rFonts w:hint="eastAsia" w:ascii="宋体" w:hAnsi="宋体" w:eastAsia="宋体" w:cs="宋体"/>
                <w:b/>
                <w:color w:val="auto"/>
                <w:kern w:val="0"/>
                <w:sz w:val="24"/>
                <w:highlight w:val="none"/>
              </w:rPr>
              <w:t>小型</w:t>
            </w:r>
          </w:p>
        </w:tc>
        <w:tc>
          <w:tcPr>
            <w:tcW w:w="1406" w:type="dxa"/>
            <w:tcBorders>
              <w:top w:val="single" w:color="auto" w:sz="4" w:space="0"/>
              <w:left w:val="nil"/>
              <w:bottom w:val="single" w:color="auto" w:sz="4" w:space="0"/>
              <w:right w:val="single" w:color="auto" w:sz="4" w:space="0"/>
            </w:tcBorders>
            <w:noWrap w:val="0"/>
            <w:vAlign w:val="center"/>
          </w:tcPr>
          <w:p w14:paraId="23FA3CC7">
            <w:pPr>
              <w:widowControl/>
              <w:jc w:val="center"/>
              <w:rPr>
                <w:rFonts w:hint="eastAsia" w:ascii="宋体" w:hAnsi="宋体" w:eastAsia="宋体" w:cs="宋体"/>
                <w:b/>
                <w:color w:val="auto"/>
                <w:kern w:val="0"/>
                <w:sz w:val="24"/>
                <w:highlight w:val="none"/>
              </w:rPr>
            </w:pPr>
            <w:r>
              <w:rPr>
                <w:rFonts w:hint="eastAsia" w:ascii="宋体" w:hAnsi="宋体" w:eastAsia="宋体" w:cs="宋体"/>
                <w:b/>
                <w:color w:val="auto"/>
                <w:kern w:val="0"/>
                <w:sz w:val="24"/>
                <w:highlight w:val="none"/>
              </w:rPr>
              <w:t>微型</w:t>
            </w:r>
          </w:p>
        </w:tc>
      </w:tr>
      <w:tr w14:paraId="297D77A1">
        <w:tblPrEx>
          <w:tblCellMar>
            <w:top w:w="0" w:type="dxa"/>
            <w:left w:w="108" w:type="dxa"/>
            <w:bottom w:w="0" w:type="dxa"/>
            <w:right w:w="108" w:type="dxa"/>
          </w:tblCellMar>
        </w:tblPrEx>
        <w:trPr>
          <w:trHeight w:val="225" w:hRule="atLeast"/>
        </w:trPr>
        <w:tc>
          <w:tcPr>
            <w:tcW w:w="1701" w:type="dxa"/>
            <w:tcBorders>
              <w:top w:val="nil"/>
              <w:left w:val="single" w:color="auto" w:sz="4" w:space="0"/>
              <w:bottom w:val="single" w:color="auto" w:sz="4" w:space="0"/>
              <w:right w:val="single" w:color="auto" w:sz="4" w:space="0"/>
            </w:tcBorders>
            <w:noWrap w:val="0"/>
            <w:vAlign w:val="bottom"/>
          </w:tcPr>
          <w:p w14:paraId="77FA9EAA">
            <w:pPr>
              <w:widowControl/>
              <w:jc w:val="center"/>
              <w:rPr>
                <w:rFonts w:hint="eastAsia" w:ascii="宋体" w:hAnsi="宋体" w:eastAsia="宋体" w:cs="宋体"/>
                <w:b/>
                <w:bCs/>
                <w:color w:val="auto"/>
                <w:kern w:val="0"/>
                <w:sz w:val="18"/>
                <w:szCs w:val="18"/>
                <w:highlight w:val="none"/>
              </w:rPr>
            </w:pPr>
            <w:r>
              <w:rPr>
                <w:rFonts w:hint="eastAsia" w:ascii="宋体" w:hAnsi="宋体" w:eastAsia="宋体" w:cs="宋体"/>
                <w:b/>
                <w:bCs/>
                <w:color w:val="auto"/>
                <w:kern w:val="0"/>
                <w:sz w:val="18"/>
                <w:szCs w:val="18"/>
                <w:highlight w:val="none"/>
              </w:rPr>
              <w:t>农、林、牧、渔</w:t>
            </w:r>
          </w:p>
        </w:tc>
        <w:tc>
          <w:tcPr>
            <w:tcW w:w="1383" w:type="dxa"/>
            <w:tcBorders>
              <w:top w:val="nil"/>
              <w:left w:val="nil"/>
              <w:bottom w:val="single" w:color="auto" w:sz="4" w:space="0"/>
              <w:right w:val="single" w:color="auto" w:sz="4" w:space="0"/>
            </w:tcBorders>
            <w:noWrap w:val="0"/>
            <w:vAlign w:val="center"/>
          </w:tcPr>
          <w:p w14:paraId="19DAB06F">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营业收入（Y）</w:t>
            </w:r>
          </w:p>
        </w:tc>
        <w:tc>
          <w:tcPr>
            <w:tcW w:w="1260" w:type="dxa"/>
            <w:tcBorders>
              <w:top w:val="nil"/>
              <w:left w:val="nil"/>
              <w:bottom w:val="single" w:color="auto" w:sz="4" w:space="0"/>
              <w:right w:val="single" w:color="auto" w:sz="4" w:space="0"/>
            </w:tcBorders>
            <w:noWrap w:val="0"/>
            <w:vAlign w:val="center"/>
          </w:tcPr>
          <w:p w14:paraId="5428F025">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万元</w:t>
            </w:r>
          </w:p>
        </w:tc>
        <w:tc>
          <w:tcPr>
            <w:tcW w:w="1697" w:type="dxa"/>
            <w:tcBorders>
              <w:top w:val="nil"/>
              <w:left w:val="nil"/>
              <w:bottom w:val="single" w:color="auto" w:sz="4" w:space="0"/>
              <w:right w:val="single" w:color="auto" w:sz="4" w:space="0"/>
            </w:tcBorders>
            <w:noWrap w:val="0"/>
            <w:vAlign w:val="center"/>
          </w:tcPr>
          <w:p w14:paraId="34C7429D">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500≤Y＜20000</w:t>
            </w:r>
          </w:p>
        </w:tc>
        <w:tc>
          <w:tcPr>
            <w:tcW w:w="1631" w:type="dxa"/>
            <w:tcBorders>
              <w:top w:val="nil"/>
              <w:left w:val="nil"/>
              <w:bottom w:val="single" w:color="auto" w:sz="4" w:space="0"/>
              <w:right w:val="single" w:color="auto" w:sz="4" w:space="0"/>
            </w:tcBorders>
            <w:noWrap w:val="0"/>
            <w:vAlign w:val="center"/>
          </w:tcPr>
          <w:p w14:paraId="5C87F0E0">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50≤Y＜500</w:t>
            </w:r>
          </w:p>
        </w:tc>
        <w:tc>
          <w:tcPr>
            <w:tcW w:w="1406" w:type="dxa"/>
            <w:tcBorders>
              <w:top w:val="nil"/>
              <w:left w:val="nil"/>
              <w:bottom w:val="single" w:color="auto" w:sz="4" w:space="0"/>
              <w:right w:val="single" w:color="auto" w:sz="4" w:space="0"/>
            </w:tcBorders>
            <w:noWrap w:val="0"/>
            <w:vAlign w:val="center"/>
          </w:tcPr>
          <w:p w14:paraId="5C03D14F">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Y＜50</w:t>
            </w:r>
          </w:p>
        </w:tc>
      </w:tr>
      <w:tr w14:paraId="6D78F959">
        <w:tblPrEx>
          <w:tblCellMar>
            <w:top w:w="0" w:type="dxa"/>
            <w:left w:w="108" w:type="dxa"/>
            <w:bottom w:w="0" w:type="dxa"/>
            <w:right w:w="108" w:type="dxa"/>
          </w:tblCellMar>
        </w:tblPrEx>
        <w:trPr>
          <w:trHeight w:val="225" w:hRule="atLeast"/>
        </w:trPr>
        <w:tc>
          <w:tcPr>
            <w:tcW w:w="1701" w:type="dxa"/>
            <w:vMerge w:val="restart"/>
            <w:tcBorders>
              <w:top w:val="nil"/>
              <w:left w:val="single" w:color="auto" w:sz="4" w:space="0"/>
              <w:bottom w:val="single" w:color="auto" w:sz="4" w:space="0"/>
              <w:right w:val="single" w:color="auto" w:sz="4" w:space="0"/>
            </w:tcBorders>
            <w:noWrap w:val="0"/>
            <w:vAlign w:val="bottom"/>
          </w:tcPr>
          <w:p w14:paraId="5925A075">
            <w:pPr>
              <w:widowControl/>
              <w:jc w:val="center"/>
              <w:rPr>
                <w:rFonts w:hint="eastAsia" w:ascii="宋体" w:hAnsi="宋体" w:eastAsia="宋体" w:cs="宋体"/>
                <w:b/>
                <w:bCs/>
                <w:color w:val="auto"/>
                <w:kern w:val="0"/>
                <w:sz w:val="18"/>
                <w:szCs w:val="18"/>
                <w:highlight w:val="none"/>
              </w:rPr>
            </w:pPr>
            <w:r>
              <w:rPr>
                <w:rFonts w:hint="eastAsia" w:ascii="宋体" w:hAnsi="宋体" w:eastAsia="宋体" w:cs="宋体"/>
                <w:b/>
                <w:bCs/>
                <w:color w:val="auto"/>
                <w:kern w:val="0"/>
                <w:sz w:val="18"/>
                <w:szCs w:val="18"/>
                <w:highlight w:val="none"/>
              </w:rPr>
              <w:t>工业</w:t>
            </w:r>
          </w:p>
        </w:tc>
        <w:tc>
          <w:tcPr>
            <w:tcW w:w="1383" w:type="dxa"/>
            <w:tcBorders>
              <w:top w:val="nil"/>
              <w:left w:val="nil"/>
              <w:bottom w:val="single" w:color="auto" w:sz="4" w:space="0"/>
              <w:right w:val="single" w:color="auto" w:sz="4" w:space="0"/>
            </w:tcBorders>
            <w:noWrap w:val="0"/>
            <w:vAlign w:val="center"/>
          </w:tcPr>
          <w:p w14:paraId="60491632">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从业人员（X）</w:t>
            </w:r>
          </w:p>
        </w:tc>
        <w:tc>
          <w:tcPr>
            <w:tcW w:w="1260" w:type="dxa"/>
            <w:tcBorders>
              <w:top w:val="nil"/>
              <w:left w:val="nil"/>
              <w:bottom w:val="single" w:color="auto" w:sz="4" w:space="0"/>
              <w:right w:val="single" w:color="auto" w:sz="4" w:space="0"/>
            </w:tcBorders>
            <w:noWrap w:val="0"/>
            <w:vAlign w:val="center"/>
          </w:tcPr>
          <w:p w14:paraId="724891F2">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人</w:t>
            </w:r>
          </w:p>
        </w:tc>
        <w:tc>
          <w:tcPr>
            <w:tcW w:w="1697" w:type="dxa"/>
            <w:tcBorders>
              <w:top w:val="nil"/>
              <w:left w:val="nil"/>
              <w:bottom w:val="single" w:color="auto" w:sz="4" w:space="0"/>
              <w:right w:val="single" w:color="auto" w:sz="4" w:space="0"/>
            </w:tcBorders>
            <w:noWrap w:val="0"/>
            <w:vAlign w:val="center"/>
          </w:tcPr>
          <w:p w14:paraId="2652F68B">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300≤X＜1000</w:t>
            </w:r>
          </w:p>
        </w:tc>
        <w:tc>
          <w:tcPr>
            <w:tcW w:w="1631" w:type="dxa"/>
            <w:tcBorders>
              <w:top w:val="nil"/>
              <w:left w:val="nil"/>
              <w:bottom w:val="single" w:color="auto" w:sz="4" w:space="0"/>
              <w:right w:val="single" w:color="auto" w:sz="4" w:space="0"/>
            </w:tcBorders>
            <w:noWrap w:val="0"/>
            <w:vAlign w:val="center"/>
          </w:tcPr>
          <w:p w14:paraId="522E37F6">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20≤X＜300</w:t>
            </w:r>
          </w:p>
        </w:tc>
        <w:tc>
          <w:tcPr>
            <w:tcW w:w="1406" w:type="dxa"/>
            <w:tcBorders>
              <w:top w:val="nil"/>
              <w:left w:val="nil"/>
              <w:bottom w:val="single" w:color="auto" w:sz="4" w:space="0"/>
              <w:right w:val="single" w:color="auto" w:sz="4" w:space="0"/>
            </w:tcBorders>
            <w:noWrap w:val="0"/>
            <w:vAlign w:val="center"/>
          </w:tcPr>
          <w:p w14:paraId="76601268">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X＜20</w:t>
            </w:r>
          </w:p>
        </w:tc>
      </w:tr>
      <w:tr w14:paraId="14C2891B">
        <w:tblPrEx>
          <w:tblCellMar>
            <w:top w:w="0" w:type="dxa"/>
            <w:left w:w="108" w:type="dxa"/>
            <w:bottom w:w="0" w:type="dxa"/>
            <w:right w:w="108" w:type="dxa"/>
          </w:tblCellMar>
        </w:tblPrEx>
        <w:trPr>
          <w:trHeight w:val="225" w:hRule="atLeast"/>
        </w:trPr>
        <w:tc>
          <w:tcPr>
            <w:tcW w:w="1701" w:type="dxa"/>
            <w:vMerge w:val="continue"/>
            <w:tcBorders>
              <w:top w:val="nil"/>
              <w:left w:val="single" w:color="auto" w:sz="4" w:space="0"/>
              <w:bottom w:val="single" w:color="auto" w:sz="4" w:space="0"/>
              <w:right w:val="single" w:color="auto" w:sz="4" w:space="0"/>
            </w:tcBorders>
            <w:noWrap w:val="0"/>
            <w:vAlign w:val="center"/>
          </w:tcPr>
          <w:p w14:paraId="36C26427">
            <w:pPr>
              <w:widowControl/>
              <w:jc w:val="left"/>
              <w:rPr>
                <w:rFonts w:hint="eastAsia" w:ascii="宋体" w:hAnsi="宋体" w:eastAsia="宋体" w:cs="宋体"/>
                <w:b/>
                <w:bCs/>
                <w:color w:val="auto"/>
                <w:kern w:val="0"/>
                <w:sz w:val="18"/>
                <w:szCs w:val="18"/>
                <w:highlight w:val="none"/>
              </w:rPr>
            </w:pPr>
          </w:p>
        </w:tc>
        <w:tc>
          <w:tcPr>
            <w:tcW w:w="1383" w:type="dxa"/>
            <w:tcBorders>
              <w:top w:val="nil"/>
              <w:left w:val="nil"/>
              <w:bottom w:val="single" w:color="auto" w:sz="4" w:space="0"/>
              <w:right w:val="single" w:color="auto" w:sz="4" w:space="0"/>
            </w:tcBorders>
            <w:noWrap w:val="0"/>
            <w:vAlign w:val="center"/>
          </w:tcPr>
          <w:p w14:paraId="1AFD8551">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营业收入（Y）</w:t>
            </w:r>
          </w:p>
        </w:tc>
        <w:tc>
          <w:tcPr>
            <w:tcW w:w="1260" w:type="dxa"/>
            <w:tcBorders>
              <w:top w:val="nil"/>
              <w:left w:val="nil"/>
              <w:bottom w:val="single" w:color="auto" w:sz="4" w:space="0"/>
              <w:right w:val="single" w:color="auto" w:sz="4" w:space="0"/>
            </w:tcBorders>
            <w:noWrap w:val="0"/>
            <w:vAlign w:val="center"/>
          </w:tcPr>
          <w:p w14:paraId="45799342">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万元</w:t>
            </w:r>
          </w:p>
        </w:tc>
        <w:tc>
          <w:tcPr>
            <w:tcW w:w="1697" w:type="dxa"/>
            <w:tcBorders>
              <w:top w:val="nil"/>
              <w:left w:val="nil"/>
              <w:bottom w:val="single" w:color="auto" w:sz="4" w:space="0"/>
              <w:right w:val="single" w:color="auto" w:sz="4" w:space="0"/>
            </w:tcBorders>
            <w:noWrap w:val="0"/>
            <w:vAlign w:val="center"/>
          </w:tcPr>
          <w:p w14:paraId="35AFF84D">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2000≤Y＜40000</w:t>
            </w:r>
          </w:p>
        </w:tc>
        <w:tc>
          <w:tcPr>
            <w:tcW w:w="1631" w:type="dxa"/>
            <w:tcBorders>
              <w:top w:val="nil"/>
              <w:left w:val="nil"/>
              <w:bottom w:val="single" w:color="auto" w:sz="4" w:space="0"/>
              <w:right w:val="single" w:color="auto" w:sz="4" w:space="0"/>
            </w:tcBorders>
            <w:noWrap w:val="0"/>
            <w:vAlign w:val="center"/>
          </w:tcPr>
          <w:p w14:paraId="4C0AD972">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300≤Y＜2000</w:t>
            </w:r>
          </w:p>
        </w:tc>
        <w:tc>
          <w:tcPr>
            <w:tcW w:w="1406" w:type="dxa"/>
            <w:tcBorders>
              <w:top w:val="nil"/>
              <w:left w:val="nil"/>
              <w:bottom w:val="single" w:color="auto" w:sz="4" w:space="0"/>
              <w:right w:val="single" w:color="auto" w:sz="4" w:space="0"/>
            </w:tcBorders>
            <w:noWrap w:val="0"/>
            <w:vAlign w:val="center"/>
          </w:tcPr>
          <w:p w14:paraId="31993B28">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Y＜300</w:t>
            </w:r>
          </w:p>
        </w:tc>
      </w:tr>
      <w:tr w14:paraId="17DB4F47">
        <w:tblPrEx>
          <w:tblCellMar>
            <w:top w:w="0" w:type="dxa"/>
            <w:left w:w="108" w:type="dxa"/>
            <w:bottom w:w="0" w:type="dxa"/>
            <w:right w:w="108" w:type="dxa"/>
          </w:tblCellMar>
        </w:tblPrEx>
        <w:trPr>
          <w:trHeight w:val="225" w:hRule="atLeast"/>
        </w:trPr>
        <w:tc>
          <w:tcPr>
            <w:tcW w:w="1701" w:type="dxa"/>
            <w:vMerge w:val="restart"/>
            <w:tcBorders>
              <w:top w:val="nil"/>
              <w:left w:val="single" w:color="auto" w:sz="4" w:space="0"/>
              <w:bottom w:val="single" w:color="auto" w:sz="4" w:space="0"/>
              <w:right w:val="single" w:color="auto" w:sz="4" w:space="0"/>
            </w:tcBorders>
            <w:noWrap w:val="0"/>
            <w:vAlign w:val="bottom"/>
          </w:tcPr>
          <w:p w14:paraId="05A4E017">
            <w:pPr>
              <w:widowControl/>
              <w:jc w:val="center"/>
              <w:rPr>
                <w:rFonts w:hint="eastAsia" w:ascii="宋体" w:hAnsi="宋体" w:eastAsia="宋体" w:cs="宋体"/>
                <w:b/>
                <w:bCs/>
                <w:color w:val="auto"/>
                <w:kern w:val="0"/>
                <w:sz w:val="18"/>
                <w:szCs w:val="18"/>
                <w:highlight w:val="none"/>
              </w:rPr>
            </w:pPr>
            <w:r>
              <w:rPr>
                <w:rFonts w:hint="eastAsia" w:ascii="宋体" w:hAnsi="宋体" w:eastAsia="宋体" w:cs="宋体"/>
                <w:b/>
                <w:bCs/>
                <w:color w:val="auto"/>
                <w:kern w:val="0"/>
                <w:sz w:val="18"/>
                <w:szCs w:val="18"/>
                <w:highlight w:val="none"/>
              </w:rPr>
              <w:t>建筑业</w:t>
            </w:r>
          </w:p>
        </w:tc>
        <w:tc>
          <w:tcPr>
            <w:tcW w:w="1383" w:type="dxa"/>
            <w:tcBorders>
              <w:top w:val="nil"/>
              <w:left w:val="nil"/>
              <w:bottom w:val="single" w:color="auto" w:sz="4" w:space="0"/>
              <w:right w:val="single" w:color="auto" w:sz="4" w:space="0"/>
            </w:tcBorders>
            <w:noWrap w:val="0"/>
            <w:vAlign w:val="center"/>
          </w:tcPr>
          <w:p w14:paraId="5470D7FE">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营业收入（Y）</w:t>
            </w:r>
          </w:p>
        </w:tc>
        <w:tc>
          <w:tcPr>
            <w:tcW w:w="1260" w:type="dxa"/>
            <w:tcBorders>
              <w:top w:val="nil"/>
              <w:left w:val="nil"/>
              <w:bottom w:val="single" w:color="auto" w:sz="4" w:space="0"/>
              <w:right w:val="single" w:color="auto" w:sz="4" w:space="0"/>
            </w:tcBorders>
            <w:noWrap w:val="0"/>
            <w:vAlign w:val="center"/>
          </w:tcPr>
          <w:p w14:paraId="374D84A2">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万元</w:t>
            </w:r>
          </w:p>
        </w:tc>
        <w:tc>
          <w:tcPr>
            <w:tcW w:w="1697" w:type="dxa"/>
            <w:tcBorders>
              <w:top w:val="nil"/>
              <w:left w:val="nil"/>
              <w:bottom w:val="single" w:color="auto" w:sz="4" w:space="0"/>
              <w:right w:val="single" w:color="auto" w:sz="4" w:space="0"/>
            </w:tcBorders>
            <w:noWrap w:val="0"/>
            <w:vAlign w:val="center"/>
          </w:tcPr>
          <w:p w14:paraId="56B42ADC">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6000≤Y＜80000</w:t>
            </w:r>
          </w:p>
        </w:tc>
        <w:tc>
          <w:tcPr>
            <w:tcW w:w="1631" w:type="dxa"/>
            <w:tcBorders>
              <w:top w:val="nil"/>
              <w:left w:val="nil"/>
              <w:bottom w:val="single" w:color="auto" w:sz="4" w:space="0"/>
              <w:right w:val="single" w:color="auto" w:sz="4" w:space="0"/>
            </w:tcBorders>
            <w:noWrap w:val="0"/>
            <w:vAlign w:val="center"/>
          </w:tcPr>
          <w:p w14:paraId="6AEE87CB">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300≤Y＜6000</w:t>
            </w:r>
          </w:p>
        </w:tc>
        <w:tc>
          <w:tcPr>
            <w:tcW w:w="1406" w:type="dxa"/>
            <w:tcBorders>
              <w:top w:val="nil"/>
              <w:left w:val="nil"/>
              <w:bottom w:val="single" w:color="auto" w:sz="4" w:space="0"/>
              <w:right w:val="single" w:color="auto" w:sz="4" w:space="0"/>
            </w:tcBorders>
            <w:noWrap w:val="0"/>
            <w:vAlign w:val="center"/>
          </w:tcPr>
          <w:p w14:paraId="2D59DDE4">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Y＜300</w:t>
            </w:r>
          </w:p>
        </w:tc>
      </w:tr>
      <w:tr w14:paraId="4B8B4DF7">
        <w:tblPrEx>
          <w:tblCellMar>
            <w:top w:w="0" w:type="dxa"/>
            <w:left w:w="108" w:type="dxa"/>
            <w:bottom w:w="0" w:type="dxa"/>
            <w:right w:w="108" w:type="dxa"/>
          </w:tblCellMar>
        </w:tblPrEx>
        <w:trPr>
          <w:trHeight w:val="225" w:hRule="atLeast"/>
        </w:trPr>
        <w:tc>
          <w:tcPr>
            <w:tcW w:w="1701" w:type="dxa"/>
            <w:vMerge w:val="continue"/>
            <w:tcBorders>
              <w:top w:val="nil"/>
              <w:left w:val="single" w:color="auto" w:sz="4" w:space="0"/>
              <w:bottom w:val="single" w:color="auto" w:sz="4" w:space="0"/>
              <w:right w:val="single" w:color="auto" w:sz="4" w:space="0"/>
            </w:tcBorders>
            <w:noWrap w:val="0"/>
            <w:vAlign w:val="center"/>
          </w:tcPr>
          <w:p w14:paraId="2AB01B14">
            <w:pPr>
              <w:widowControl/>
              <w:jc w:val="left"/>
              <w:rPr>
                <w:rFonts w:hint="eastAsia" w:ascii="宋体" w:hAnsi="宋体" w:eastAsia="宋体" w:cs="宋体"/>
                <w:b/>
                <w:bCs/>
                <w:color w:val="auto"/>
                <w:kern w:val="0"/>
                <w:sz w:val="18"/>
                <w:szCs w:val="18"/>
                <w:highlight w:val="none"/>
              </w:rPr>
            </w:pPr>
          </w:p>
        </w:tc>
        <w:tc>
          <w:tcPr>
            <w:tcW w:w="1383" w:type="dxa"/>
            <w:tcBorders>
              <w:top w:val="nil"/>
              <w:left w:val="nil"/>
              <w:bottom w:val="single" w:color="auto" w:sz="4" w:space="0"/>
              <w:right w:val="single" w:color="auto" w:sz="4" w:space="0"/>
            </w:tcBorders>
            <w:noWrap w:val="0"/>
            <w:vAlign w:val="center"/>
          </w:tcPr>
          <w:p w14:paraId="4522BAE8">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资产总额（Z）</w:t>
            </w:r>
          </w:p>
        </w:tc>
        <w:tc>
          <w:tcPr>
            <w:tcW w:w="1260" w:type="dxa"/>
            <w:tcBorders>
              <w:top w:val="nil"/>
              <w:left w:val="nil"/>
              <w:bottom w:val="single" w:color="auto" w:sz="4" w:space="0"/>
              <w:right w:val="single" w:color="auto" w:sz="4" w:space="0"/>
            </w:tcBorders>
            <w:noWrap w:val="0"/>
            <w:vAlign w:val="center"/>
          </w:tcPr>
          <w:p w14:paraId="1EBFC0B3">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万元</w:t>
            </w:r>
          </w:p>
        </w:tc>
        <w:tc>
          <w:tcPr>
            <w:tcW w:w="1697" w:type="dxa"/>
            <w:tcBorders>
              <w:top w:val="nil"/>
              <w:left w:val="nil"/>
              <w:bottom w:val="single" w:color="auto" w:sz="4" w:space="0"/>
              <w:right w:val="single" w:color="auto" w:sz="4" w:space="0"/>
            </w:tcBorders>
            <w:noWrap w:val="0"/>
            <w:vAlign w:val="center"/>
          </w:tcPr>
          <w:p w14:paraId="3321C9CC">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5000≤Z＜80000</w:t>
            </w:r>
          </w:p>
        </w:tc>
        <w:tc>
          <w:tcPr>
            <w:tcW w:w="1631" w:type="dxa"/>
            <w:tcBorders>
              <w:top w:val="nil"/>
              <w:left w:val="nil"/>
              <w:bottom w:val="single" w:color="auto" w:sz="4" w:space="0"/>
              <w:right w:val="single" w:color="auto" w:sz="4" w:space="0"/>
            </w:tcBorders>
            <w:noWrap w:val="0"/>
            <w:vAlign w:val="center"/>
          </w:tcPr>
          <w:p w14:paraId="151BFE39">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300≤Z＜5000</w:t>
            </w:r>
          </w:p>
        </w:tc>
        <w:tc>
          <w:tcPr>
            <w:tcW w:w="1406" w:type="dxa"/>
            <w:tcBorders>
              <w:top w:val="nil"/>
              <w:left w:val="nil"/>
              <w:bottom w:val="single" w:color="auto" w:sz="4" w:space="0"/>
              <w:right w:val="single" w:color="auto" w:sz="4" w:space="0"/>
            </w:tcBorders>
            <w:noWrap w:val="0"/>
            <w:vAlign w:val="center"/>
          </w:tcPr>
          <w:p w14:paraId="1B403D6E">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Z＜300</w:t>
            </w:r>
          </w:p>
        </w:tc>
      </w:tr>
      <w:tr w14:paraId="6C42F3C0">
        <w:tblPrEx>
          <w:tblCellMar>
            <w:top w:w="0" w:type="dxa"/>
            <w:left w:w="108" w:type="dxa"/>
            <w:bottom w:w="0" w:type="dxa"/>
            <w:right w:w="108" w:type="dxa"/>
          </w:tblCellMar>
        </w:tblPrEx>
        <w:trPr>
          <w:trHeight w:val="225" w:hRule="atLeast"/>
        </w:trPr>
        <w:tc>
          <w:tcPr>
            <w:tcW w:w="1701" w:type="dxa"/>
            <w:vMerge w:val="restart"/>
            <w:tcBorders>
              <w:top w:val="nil"/>
              <w:left w:val="single" w:color="auto" w:sz="4" w:space="0"/>
              <w:bottom w:val="single" w:color="auto" w:sz="4" w:space="0"/>
              <w:right w:val="single" w:color="auto" w:sz="4" w:space="0"/>
            </w:tcBorders>
            <w:noWrap w:val="0"/>
            <w:vAlign w:val="bottom"/>
          </w:tcPr>
          <w:p w14:paraId="086197D9">
            <w:pPr>
              <w:widowControl/>
              <w:jc w:val="center"/>
              <w:rPr>
                <w:rFonts w:hint="eastAsia" w:ascii="宋体" w:hAnsi="宋体" w:eastAsia="宋体" w:cs="宋体"/>
                <w:b/>
                <w:bCs/>
                <w:color w:val="auto"/>
                <w:kern w:val="0"/>
                <w:sz w:val="18"/>
                <w:szCs w:val="18"/>
                <w:highlight w:val="none"/>
              </w:rPr>
            </w:pPr>
            <w:r>
              <w:rPr>
                <w:rFonts w:hint="eastAsia" w:ascii="宋体" w:hAnsi="宋体" w:eastAsia="宋体" w:cs="宋体"/>
                <w:b/>
                <w:bCs/>
                <w:color w:val="auto"/>
                <w:kern w:val="0"/>
                <w:sz w:val="18"/>
                <w:szCs w:val="18"/>
                <w:highlight w:val="none"/>
              </w:rPr>
              <w:t>批发业</w:t>
            </w:r>
          </w:p>
        </w:tc>
        <w:tc>
          <w:tcPr>
            <w:tcW w:w="1383" w:type="dxa"/>
            <w:tcBorders>
              <w:top w:val="nil"/>
              <w:left w:val="nil"/>
              <w:bottom w:val="single" w:color="auto" w:sz="4" w:space="0"/>
              <w:right w:val="single" w:color="auto" w:sz="4" w:space="0"/>
            </w:tcBorders>
            <w:noWrap w:val="0"/>
            <w:vAlign w:val="center"/>
          </w:tcPr>
          <w:p w14:paraId="4F34021A">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从业人员（X）</w:t>
            </w:r>
          </w:p>
        </w:tc>
        <w:tc>
          <w:tcPr>
            <w:tcW w:w="1260" w:type="dxa"/>
            <w:tcBorders>
              <w:top w:val="nil"/>
              <w:left w:val="nil"/>
              <w:bottom w:val="single" w:color="auto" w:sz="4" w:space="0"/>
              <w:right w:val="single" w:color="auto" w:sz="4" w:space="0"/>
            </w:tcBorders>
            <w:noWrap w:val="0"/>
            <w:vAlign w:val="center"/>
          </w:tcPr>
          <w:p w14:paraId="5F942855">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人</w:t>
            </w:r>
          </w:p>
        </w:tc>
        <w:tc>
          <w:tcPr>
            <w:tcW w:w="1697" w:type="dxa"/>
            <w:tcBorders>
              <w:top w:val="nil"/>
              <w:left w:val="nil"/>
              <w:bottom w:val="single" w:color="auto" w:sz="4" w:space="0"/>
              <w:right w:val="single" w:color="auto" w:sz="4" w:space="0"/>
            </w:tcBorders>
            <w:noWrap w:val="0"/>
            <w:vAlign w:val="center"/>
          </w:tcPr>
          <w:p w14:paraId="56EEB290">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20≤X＜200</w:t>
            </w:r>
          </w:p>
        </w:tc>
        <w:tc>
          <w:tcPr>
            <w:tcW w:w="1631" w:type="dxa"/>
            <w:tcBorders>
              <w:top w:val="nil"/>
              <w:left w:val="nil"/>
              <w:bottom w:val="single" w:color="auto" w:sz="4" w:space="0"/>
              <w:right w:val="single" w:color="auto" w:sz="4" w:space="0"/>
            </w:tcBorders>
            <w:noWrap w:val="0"/>
            <w:vAlign w:val="center"/>
          </w:tcPr>
          <w:p w14:paraId="3F7F219F">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5≤X＜20</w:t>
            </w:r>
          </w:p>
        </w:tc>
        <w:tc>
          <w:tcPr>
            <w:tcW w:w="1406" w:type="dxa"/>
            <w:tcBorders>
              <w:top w:val="nil"/>
              <w:left w:val="nil"/>
              <w:bottom w:val="single" w:color="auto" w:sz="4" w:space="0"/>
              <w:right w:val="single" w:color="auto" w:sz="4" w:space="0"/>
            </w:tcBorders>
            <w:noWrap w:val="0"/>
            <w:vAlign w:val="center"/>
          </w:tcPr>
          <w:p w14:paraId="690BF4FD">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X＜5</w:t>
            </w:r>
          </w:p>
        </w:tc>
      </w:tr>
      <w:tr w14:paraId="2E368F68">
        <w:tblPrEx>
          <w:tblCellMar>
            <w:top w:w="0" w:type="dxa"/>
            <w:left w:w="108" w:type="dxa"/>
            <w:bottom w:w="0" w:type="dxa"/>
            <w:right w:w="108" w:type="dxa"/>
          </w:tblCellMar>
        </w:tblPrEx>
        <w:trPr>
          <w:trHeight w:val="225" w:hRule="atLeast"/>
        </w:trPr>
        <w:tc>
          <w:tcPr>
            <w:tcW w:w="1701" w:type="dxa"/>
            <w:vMerge w:val="continue"/>
            <w:tcBorders>
              <w:top w:val="nil"/>
              <w:left w:val="single" w:color="auto" w:sz="4" w:space="0"/>
              <w:bottom w:val="single" w:color="auto" w:sz="4" w:space="0"/>
              <w:right w:val="single" w:color="auto" w:sz="4" w:space="0"/>
            </w:tcBorders>
            <w:noWrap w:val="0"/>
            <w:vAlign w:val="center"/>
          </w:tcPr>
          <w:p w14:paraId="08A91009">
            <w:pPr>
              <w:widowControl/>
              <w:jc w:val="left"/>
              <w:rPr>
                <w:rFonts w:hint="eastAsia" w:ascii="宋体" w:hAnsi="宋体" w:eastAsia="宋体" w:cs="宋体"/>
                <w:b/>
                <w:bCs/>
                <w:color w:val="auto"/>
                <w:kern w:val="0"/>
                <w:sz w:val="18"/>
                <w:szCs w:val="18"/>
                <w:highlight w:val="none"/>
              </w:rPr>
            </w:pPr>
          </w:p>
        </w:tc>
        <w:tc>
          <w:tcPr>
            <w:tcW w:w="1383" w:type="dxa"/>
            <w:tcBorders>
              <w:top w:val="nil"/>
              <w:left w:val="nil"/>
              <w:bottom w:val="single" w:color="auto" w:sz="4" w:space="0"/>
              <w:right w:val="single" w:color="auto" w:sz="4" w:space="0"/>
            </w:tcBorders>
            <w:noWrap w:val="0"/>
            <w:vAlign w:val="center"/>
          </w:tcPr>
          <w:p w14:paraId="48D458AB">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营业收入（Y）</w:t>
            </w:r>
          </w:p>
        </w:tc>
        <w:tc>
          <w:tcPr>
            <w:tcW w:w="1260" w:type="dxa"/>
            <w:tcBorders>
              <w:top w:val="nil"/>
              <w:left w:val="nil"/>
              <w:bottom w:val="single" w:color="auto" w:sz="4" w:space="0"/>
              <w:right w:val="single" w:color="auto" w:sz="4" w:space="0"/>
            </w:tcBorders>
            <w:noWrap w:val="0"/>
            <w:vAlign w:val="center"/>
          </w:tcPr>
          <w:p w14:paraId="644C43FE">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万元</w:t>
            </w:r>
          </w:p>
        </w:tc>
        <w:tc>
          <w:tcPr>
            <w:tcW w:w="1697" w:type="dxa"/>
            <w:tcBorders>
              <w:top w:val="nil"/>
              <w:left w:val="nil"/>
              <w:bottom w:val="single" w:color="auto" w:sz="4" w:space="0"/>
              <w:right w:val="single" w:color="auto" w:sz="4" w:space="0"/>
            </w:tcBorders>
            <w:noWrap w:val="0"/>
            <w:vAlign w:val="center"/>
          </w:tcPr>
          <w:p w14:paraId="17E03944">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5000≤Y＜40000</w:t>
            </w:r>
          </w:p>
        </w:tc>
        <w:tc>
          <w:tcPr>
            <w:tcW w:w="1631" w:type="dxa"/>
            <w:tcBorders>
              <w:top w:val="nil"/>
              <w:left w:val="nil"/>
              <w:bottom w:val="single" w:color="auto" w:sz="4" w:space="0"/>
              <w:right w:val="single" w:color="auto" w:sz="4" w:space="0"/>
            </w:tcBorders>
            <w:noWrap w:val="0"/>
            <w:vAlign w:val="center"/>
          </w:tcPr>
          <w:p w14:paraId="6E8025A1">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1000≤Y＜5000</w:t>
            </w:r>
          </w:p>
        </w:tc>
        <w:tc>
          <w:tcPr>
            <w:tcW w:w="1406" w:type="dxa"/>
            <w:tcBorders>
              <w:top w:val="nil"/>
              <w:left w:val="nil"/>
              <w:bottom w:val="single" w:color="auto" w:sz="4" w:space="0"/>
              <w:right w:val="single" w:color="auto" w:sz="4" w:space="0"/>
            </w:tcBorders>
            <w:noWrap w:val="0"/>
            <w:vAlign w:val="center"/>
          </w:tcPr>
          <w:p w14:paraId="1C1F146E">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Y＜1000</w:t>
            </w:r>
          </w:p>
        </w:tc>
      </w:tr>
      <w:tr w14:paraId="6CE4FD4F">
        <w:tblPrEx>
          <w:tblCellMar>
            <w:top w:w="0" w:type="dxa"/>
            <w:left w:w="108" w:type="dxa"/>
            <w:bottom w:w="0" w:type="dxa"/>
            <w:right w:w="108" w:type="dxa"/>
          </w:tblCellMar>
        </w:tblPrEx>
        <w:trPr>
          <w:trHeight w:val="225" w:hRule="atLeast"/>
        </w:trPr>
        <w:tc>
          <w:tcPr>
            <w:tcW w:w="1701" w:type="dxa"/>
            <w:vMerge w:val="restart"/>
            <w:tcBorders>
              <w:top w:val="nil"/>
              <w:left w:val="single" w:color="auto" w:sz="4" w:space="0"/>
              <w:bottom w:val="single" w:color="auto" w:sz="4" w:space="0"/>
              <w:right w:val="single" w:color="auto" w:sz="4" w:space="0"/>
            </w:tcBorders>
            <w:noWrap w:val="0"/>
            <w:vAlign w:val="bottom"/>
          </w:tcPr>
          <w:p w14:paraId="01D5497F">
            <w:pPr>
              <w:widowControl/>
              <w:jc w:val="center"/>
              <w:rPr>
                <w:rFonts w:hint="eastAsia" w:ascii="宋体" w:hAnsi="宋体" w:eastAsia="宋体" w:cs="宋体"/>
                <w:b/>
                <w:bCs/>
                <w:color w:val="auto"/>
                <w:kern w:val="0"/>
                <w:sz w:val="18"/>
                <w:szCs w:val="18"/>
                <w:highlight w:val="none"/>
              </w:rPr>
            </w:pPr>
            <w:r>
              <w:rPr>
                <w:rFonts w:hint="eastAsia" w:ascii="宋体" w:hAnsi="宋体" w:eastAsia="宋体" w:cs="宋体"/>
                <w:b/>
                <w:bCs/>
                <w:color w:val="auto"/>
                <w:kern w:val="0"/>
                <w:sz w:val="18"/>
                <w:szCs w:val="18"/>
                <w:highlight w:val="none"/>
              </w:rPr>
              <w:t>零售业</w:t>
            </w:r>
          </w:p>
        </w:tc>
        <w:tc>
          <w:tcPr>
            <w:tcW w:w="1383" w:type="dxa"/>
            <w:tcBorders>
              <w:top w:val="nil"/>
              <w:left w:val="nil"/>
              <w:bottom w:val="single" w:color="auto" w:sz="4" w:space="0"/>
              <w:right w:val="single" w:color="auto" w:sz="4" w:space="0"/>
            </w:tcBorders>
            <w:noWrap w:val="0"/>
            <w:vAlign w:val="center"/>
          </w:tcPr>
          <w:p w14:paraId="22787F64">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从业人员（X）</w:t>
            </w:r>
          </w:p>
        </w:tc>
        <w:tc>
          <w:tcPr>
            <w:tcW w:w="1260" w:type="dxa"/>
            <w:tcBorders>
              <w:top w:val="nil"/>
              <w:left w:val="nil"/>
              <w:bottom w:val="single" w:color="auto" w:sz="4" w:space="0"/>
              <w:right w:val="single" w:color="auto" w:sz="4" w:space="0"/>
            </w:tcBorders>
            <w:noWrap w:val="0"/>
            <w:vAlign w:val="center"/>
          </w:tcPr>
          <w:p w14:paraId="3181F845">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人</w:t>
            </w:r>
          </w:p>
        </w:tc>
        <w:tc>
          <w:tcPr>
            <w:tcW w:w="1697" w:type="dxa"/>
            <w:tcBorders>
              <w:top w:val="nil"/>
              <w:left w:val="nil"/>
              <w:bottom w:val="single" w:color="auto" w:sz="4" w:space="0"/>
              <w:right w:val="single" w:color="auto" w:sz="4" w:space="0"/>
            </w:tcBorders>
            <w:noWrap w:val="0"/>
            <w:vAlign w:val="center"/>
          </w:tcPr>
          <w:p w14:paraId="26127993">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50≤X＜300</w:t>
            </w:r>
          </w:p>
        </w:tc>
        <w:tc>
          <w:tcPr>
            <w:tcW w:w="1631" w:type="dxa"/>
            <w:tcBorders>
              <w:top w:val="nil"/>
              <w:left w:val="nil"/>
              <w:bottom w:val="single" w:color="auto" w:sz="4" w:space="0"/>
              <w:right w:val="single" w:color="auto" w:sz="4" w:space="0"/>
            </w:tcBorders>
            <w:noWrap w:val="0"/>
            <w:vAlign w:val="center"/>
          </w:tcPr>
          <w:p w14:paraId="3F55638A">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10≤X＜50</w:t>
            </w:r>
          </w:p>
        </w:tc>
        <w:tc>
          <w:tcPr>
            <w:tcW w:w="1406" w:type="dxa"/>
            <w:tcBorders>
              <w:top w:val="nil"/>
              <w:left w:val="nil"/>
              <w:bottom w:val="single" w:color="auto" w:sz="4" w:space="0"/>
              <w:right w:val="single" w:color="auto" w:sz="4" w:space="0"/>
            </w:tcBorders>
            <w:noWrap w:val="0"/>
            <w:vAlign w:val="center"/>
          </w:tcPr>
          <w:p w14:paraId="0EE84EB5">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X＜10</w:t>
            </w:r>
          </w:p>
        </w:tc>
      </w:tr>
      <w:tr w14:paraId="2602E8C0">
        <w:tblPrEx>
          <w:tblCellMar>
            <w:top w:w="0" w:type="dxa"/>
            <w:left w:w="108" w:type="dxa"/>
            <w:bottom w:w="0" w:type="dxa"/>
            <w:right w:w="108" w:type="dxa"/>
          </w:tblCellMar>
        </w:tblPrEx>
        <w:trPr>
          <w:trHeight w:val="225" w:hRule="atLeast"/>
        </w:trPr>
        <w:tc>
          <w:tcPr>
            <w:tcW w:w="1701" w:type="dxa"/>
            <w:vMerge w:val="continue"/>
            <w:tcBorders>
              <w:top w:val="nil"/>
              <w:left w:val="single" w:color="auto" w:sz="4" w:space="0"/>
              <w:bottom w:val="single" w:color="auto" w:sz="4" w:space="0"/>
              <w:right w:val="single" w:color="auto" w:sz="4" w:space="0"/>
            </w:tcBorders>
            <w:noWrap w:val="0"/>
            <w:vAlign w:val="center"/>
          </w:tcPr>
          <w:p w14:paraId="02E96E49">
            <w:pPr>
              <w:widowControl/>
              <w:jc w:val="left"/>
              <w:rPr>
                <w:rFonts w:hint="eastAsia" w:ascii="宋体" w:hAnsi="宋体" w:eastAsia="宋体" w:cs="宋体"/>
                <w:b/>
                <w:bCs/>
                <w:color w:val="auto"/>
                <w:kern w:val="0"/>
                <w:sz w:val="18"/>
                <w:szCs w:val="18"/>
                <w:highlight w:val="none"/>
              </w:rPr>
            </w:pPr>
          </w:p>
        </w:tc>
        <w:tc>
          <w:tcPr>
            <w:tcW w:w="1383" w:type="dxa"/>
            <w:tcBorders>
              <w:top w:val="nil"/>
              <w:left w:val="nil"/>
              <w:bottom w:val="single" w:color="auto" w:sz="4" w:space="0"/>
              <w:right w:val="single" w:color="auto" w:sz="4" w:space="0"/>
            </w:tcBorders>
            <w:noWrap w:val="0"/>
            <w:vAlign w:val="center"/>
          </w:tcPr>
          <w:p w14:paraId="23784396">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营业收入（Y）</w:t>
            </w:r>
          </w:p>
        </w:tc>
        <w:tc>
          <w:tcPr>
            <w:tcW w:w="1260" w:type="dxa"/>
            <w:tcBorders>
              <w:top w:val="nil"/>
              <w:left w:val="nil"/>
              <w:bottom w:val="single" w:color="auto" w:sz="4" w:space="0"/>
              <w:right w:val="single" w:color="auto" w:sz="4" w:space="0"/>
            </w:tcBorders>
            <w:noWrap w:val="0"/>
            <w:vAlign w:val="center"/>
          </w:tcPr>
          <w:p w14:paraId="3D7B8716">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万元</w:t>
            </w:r>
          </w:p>
        </w:tc>
        <w:tc>
          <w:tcPr>
            <w:tcW w:w="1697" w:type="dxa"/>
            <w:tcBorders>
              <w:top w:val="nil"/>
              <w:left w:val="nil"/>
              <w:bottom w:val="single" w:color="auto" w:sz="4" w:space="0"/>
              <w:right w:val="single" w:color="auto" w:sz="4" w:space="0"/>
            </w:tcBorders>
            <w:noWrap w:val="0"/>
            <w:vAlign w:val="center"/>
          </w:tcPr>
          <w:p w14:paraId="7472AD26">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500≤Y＜20000</w:t>
            </w:r>
          </w:p>
        </w:tc>
        <w:tc>
          <w:tcPr>
            <w:tcW w:w="1631" w:type="dxa"/>
            <w:tcBorders>
              <w:top w:val="nil"/>
              <w:left w:val="nil"/>
              <w:bottom w:val="single" w:color="auto" w:sz="4" w:space="0"/>
              <w:right w:val="single" w:color="auto" w:sz="4" w:space="0"/>
            </w:tcBorders>
            <w:noWrap w:val="0"/>
            <w:vAlign w:val="center"/>
          </w:tcPr>
          <w:p w14:paraId="644AF1D4">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100≤Y＜500</w:t>
            </w:r>
          </w:p>
        </w:tc>
        <w:tc>
          <w:tcPr>
            <w:tcW w:w="1406" w:type="dxa"/>
            <w:tcBorders>
              <w:top w:val="nil"/>
              <w:left w:val="nil"/>
              <w:bottom w:val="single" w:color="auto" w:sz="4" w:space="0"/>
              <w:right w:val="single" w:color="auto" w:sz="4" w:space="0"/>
            </w:tcBorders>
            <w:noWrap w:val="0"/>
            <w:vAlign w:val="center"/>
          </w:tcPr>
          <w:p w14:paraId="5FF86E66">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Y＜100</w:t>
            </w:r>
          </w:p>
        </w:tc>
      </w:tr>
      <w:tr w14:paraId="247E3E03">
        <w:tblPrEx>
          <w:tblCellMar>
            <w:top w:w="0" w:type="dxa"/>
            <w:left w:w="108" w:type="dxa"/>
            <w:bottom w:w="0" w:type="dxa"/>
            <w:right w:w="108" w:type="dxa"/>
          </w:tblCellMar>
        </w:tblPrEx>
        <w:trPr>
          <w:trHeight w:val="225" w:hRule="atLeast"/>
        </w:trPr>
        <w:tc>
          <w:tcPr>
            <w:tcW w:w="1701" w:type="dxa"/>
            <w:vMerge w:val="restart"/>
            <w:tcBorders>
              <w:top w:val="nil"/>
              <w:left w:val="single" w:color="auto" w:sz="4" w:space="0"/>
              <w:bottom w:val="single" w:color="auto" w:sz="4" w:space="0"/>
              <w:right w:val="single" w:color="auto" w:sz="4" w:space="0"/>
            </w:tcBorders>
            <w:noWrap w:val="0"/>
            <w:vAlign w:val="bottom"/>
          </w:tcPr>
          <w:p w14:paraId="12D8A6B4">
            <w:pPr>
              <w:widowControl/>
              <w:jc w:val="center"/>
              <w:rPr>
                <w:rFonts w:hint="eastAsia" w:ascii="宋体" w:hAnsi="宋体" w:eastAsia="宋体" w:cs="宋体"/>
                <w:b/>
                <w:bCs/>
                <w:color w:val="auto"/>
                <w:kern w:val="0"/>
                <w:sz w:val="18"/>
                <w:szCs w:val="18"/>
                <w:highlight w:val="none"/>
              </w:rPr>
            </w:pPr>
            <w:r>
              <w:rPr>
                <w:rFonts w:hint="eastAsia" w:ascii="宋体" w:hAnsi="宋体" w:eastAsia="宋体" w:cs="宋体"/>
                <w:b/>
                <w:bCs/>
                <w:color w:val="auto"/>
                <w:kern w:val="0"/>
                <w:sz w:val="18"/>
                <w:szCs w:val="18"/>
                <w:highlight w:val="none"/>
              </w:rPr>
              <w:t>交通运输业</w:t>
            </w:r>
          </w:p>
        </w:tc>
        <w:tc>
          <w:tcPr>
            <w:tcW w:w="1383" w:type="dxa"/>
            <w:tcBorders>
              <w:top w:val="nil"/>
              <w:left w:val="nil"/>
              <w:bottom w:val="single" w:color="auto" w:sz="4" w:space="0"/>
              <w:right w:val="single" w:color="auto" w:sz="4" w:space="0"/>
            </w:tcBorders>
            <w:noWrap w:val="0"/>
            <w:vAlign w:val="center"/>
          </w:tcPr>
          <w:p w14:paraId="43C68954">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从业人员（X）</w:t>
            </w:r>
          </w:p>
        </w:tc>
        <w:tc>
          <w:tcPr>
            <w:tcW w:w="1260" w:type="dxa"/>
            <w:tcBorders>
              <w:top w:val="nil"/>
              <w:left w:val="nil"/>
              <w:bottom w:val="single" w:color="auto" w:sz="4" w:space="0"/>
              <w:right w:val="single" w:color="auto" w:sz="4" w:space="0"/>
            </w:tcBorders>
            <w:noWrap w:val="0"/>
            <w:vAlign w:val="center"/>
          </w:tcPr>
          <w:p w14:paraId="68B0720F">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人</w:t>
            </w:r>
          </w:p>
        </w:tc>
        <w:tc>
          <w:tcPr>
            <w:tcW w:w="1697" w:type="dxa"/>
            <w:tcBorders>
              <w:top w:val="nil"/>
              <w:left w:val="nil"/>
              <w:bottom w:val="single" w:color="auto" w:sz="4" w:space="0"/>
              <w:right w:val="single" w:color="auto" w:sz="4" w:space="0"/>
            </w:tcBorders>
            <w:noWrap w:val="0"/>
            <w:vAlign w:val="center"/>
          </w:tcPr>
          <w:p w14:paraId="4FB60A91">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300≤X＜1000</w:t>
            </w:r>
          </w:p>
        </w:tc>
        <w:tc>
          <w:tcPr>
            <w:tcW w:w="1631" w:type="dxa"/>
            <w:tcBorders>
              <w:top w:val="nil"/>
              <w:left w:val="nil"/>
              <w:bottom w:val="single" w:color="auto" w:sz="4" w:space="0"/>
              <w:right w:val="single" w:color="auto" w:sz="4" w:space="0"/>
            </w:tcBorders>
            <w:noWrap w:val="0"/>
            <w:vAlign w:val="center"/>
          </w:tcPr>
          <w:p w14:paraId="3DE7F2E8">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20≤X＜300</w:t>
            </w:r>
          </w:p>
        </w:tc>
        <w:tc>
          <w:tcPr>
            <w:tcW w:w="1406" w:type="dxa"/>
            <w:tcBorders>
              <w:top w:val="nil"/>
              <w:left w:val="nil"/>
              <w:bottom w:val="single" w:color="auto" w:sz="4" w:space="0"/>
              <w:right w:val="single" w:color="auto" w:sz="4" w:space="0"/>
            </w:tcBorders>
            <w:noWrap w:val="0"/>
            <w:vAlign w:val="center"/>
          </w:tcPr>
          <w:p w14:paraId="4E689080">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X＜20</w:t>
            </w:r>
          </w:p>
        </w:tc>
      </w:tr>
      <w:tr w14:paraId="4E32D6C3">
        <w:tblPrEx>
          <w:tblCellMar>
            <w:top w:w="0" w:type="dxa"/>
            <w:left w:w="108" w:type="dxa"/>
            <w:bottom w:w="0" w:type="dxa"/>
            <w:right w:w="108" w:type="dxa"/>
          </w:tblCellMar>
        </w:tblPrEx>
        <w:trPr>
          <w:trHeight w:val="225" w:hRule="atLeast"/>
        </w:trPr>
        <w:tc>
          <w:tcPr>
            <w:tcW w:w="1701" w:type="dxa"/>
            <w:vMerge w:val="continue"/>
            <w:tcBorders>
              <w:top w:val="nil"/>
              <w:left w:val="single" w:color="auto" w:sz="4" w:space="0"/>
              <w:bottom w:val="single" w:color="auto" w:sz="4" w:space="0"/>
              <w:right w:val="single" w:color="auto" w:sz="4" w:space="0"/>
            </w:tcBorders>
            <w:noWrap w:val="0"/>
            <w:vAlign w:val="center"/>
          </w:tcPr>
          <w:p w14:paraId="537C1CFE">
            <w:pPr>
              <w:widowControl/>
              <w:jc w:val="left"/>
              <w:rPr>
                <w:rFonts w:hint="eastAsia" w:ascii="宋体" w:hAnsi="宋体" w:eastAsia="宋体" w:cs="宋体"/>
                <w:b/>
                <w:bCs/>
                <w:color w:val="auto"/>
                <w:kern w:val="0"/>
                <w:sz w:val="18"/>
                <w:szCs w:val="18"/>
                <w:highlight w:val="none"/>
              </w:rPr>
            </w:pPr>
          </w:p>
        </w:tc>
        <w:tc>
          <w:tcPr>
            <w:tcW w:w="1383" w:type="dxa"/>
            <w:tcBorders>
              <w:top w:val="nil"/>
              <w:left w:val="nil"/>
              <w:bottom w:val="single" w:color="auto" w:sz="4" w:space="0"/>
              <w:right w:val="single" w:color="auto" w:sz="4" w:space="0"/>
            </w:tcBorders>
            <w:noWrap w:val="0"/>
            <w:vAlign w:val="center"/>
          </w:tcPr>
          <w:p w14:paraId="2419A7F9">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营业收入（Y）</w:t>
            </w:r>
          </w:p>
        </w:tc>
        <w:tc>
          <w:tcPr>
            <w:tcW w:w="1260" w:type="dxa"/>
            <w:tcBorders>
              <w:top w:val="nil"/>
              <w:left w:val="nil"/>
              <w:bottom w:val="single" w:color="auto" w:sz="4" w:space="0"/>
              <w:right w:val="single" w:color="auto" w:sz="4" w:space="0"/>
            </w:tcBorders>
            <w:noWrap w:val="0"/>
            <w:vAlign w:val="center"/>
          </w:tcPr>
          <w:p w14:paraId="7C0CBC3E">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万元</w:t>
            </w:r>
          </w:p>
        </w:tc>
        <w:tc>
          <w:tcPr>
            <w:tcW w:w="1697" w:type="dxa"/>
            <w:tcBorders>
              <w:top w:val="nil"/>
              <w:left w:val="nil"/>
              <w:bottom w:val="single" w:color="auto" w:sz="4" w:space="0"/>
              <w:right w:val="single" w:color="auto" w:sz="4" w:space="0"/>
            </w:tcBorders>
            <w:noWrap w:val="0"/>
            <w:vAlign w:val="center"/>
          </w:tcPr>
          <w:p w14:paraId="6EA4A5C9">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3000≤Y＜30000</w:t>
            </w:r>
          </w:p>
        </w:tc>
        <w:tc>
          <w:tcPr>
            <w:tcW w:w="1631" w:type="dxa"/>
            <w:tcBorders>
              <w:top w:val="nil"/>
              <w:left w:val="nil"/>
              <w:bottom w:val="single" w:color="auto" w:sz="4" w:space="0"/>
              <w:right w:val="single" w:color="auto" w:sz="4" w:space="0"/>
            </w:tcBorders>
            <w:noWrap w:val="0"/>
            <w:vAlign w:val="center"/>
          </w:tcPr>
          <w:p w14:paraId="6CB6EFB1">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200≤Y＜3000</w:t>
            </w:r>
          </w:p>
        </w:tc>
        <w:tc>
          <w:tcPr>
            <w:tcW w:w="1406" w:type="dxa"/>
            <w:tcBorders>
              <w:top w:val="nil"/>
              <w:left w:val="nil"/>
              <w:bottom w:val="single" w:color="auto" w:sz="4" w:space="0"/>
              <w:right w:val="single" w:color="auto" w:sz="4" w:space="0"/>
            </w:tcBorders>
            <w:noWrap w:val="0"/>
            <w:vAlign w:val="center"/>
          </w:tcPr>
          <w:p w14:paraId="62CA4E36">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Y＜200</w:t>
            </w:r>
          </w:p>
        </w:tc>
      </w:tr>
      <w:tr w14:paraId="1B9D977B">
        <w:tblPrEx>
          <w:tblCellMar>
            <w:top w:w="0" w:type="dxa"/>
            <w:left w:w="108" w:type="dxa"/>
            <w:bottom w:w="0" w:type="dxa"/>
            <w:right w:w="108" w:type="dxa"/>
          </w:tblCellMar>
        </w:tblPrEx>
        <w:trPr>
          <w:trHeight w:val="225" w:hRule="atLeast"/>
        </w:trPr>
        <w:tc>
          <w:tcPr>
            <w:tcW w:w="1701" w:type="dxa"/>
            <w:vMerge w:val="restart"/>
            <w:tcBorders>
              <w:top w:val="nil"/>
              <w:left w:val="single" w:color="auto" w:sz="4" w:space="0"/>
              <w:bottom w:val="single" w:color="auto" w:sz="4" w:space="0"/>
              <w:right w:val="single" w:color="auto" w:sz="4" w:space="0"/>
            </w:tcBorders>
            <w:noWrap w:val="0"/>
            <w:vAlign w:val="bottom"/>
          </w:tcPr>
          <w:p w14:paraId="6F4B3BB8">
            <w:pPr>
              <w:widowControl/>
              <w:jc w:val="center"/>
              <w:rPr>
                <w:rFonts w:hint="eastAsia" w:ascii="宋体" w:hAnsi="宋体" w:eastAsia="宋体" w:cs="宋体"/>
                <w:b/>
                <w:bCs/>
                <w:color w:val="auto"/>
                <w:kern w:val="0"/>
                <w:sz w:val="18"/>
                <w:szCs w:val="18"/>
                <w:highlight w:val="none"/>
              </w:rPr>
            </w:pPr>
            <w:r>
              <w:rPr>
                <w:rFonts w:hint="eastAsia" w:ascii="宋体" w:hAnsi="宋体" w:eastAsia="宋体" w:cs="宋体"/>
                <w:b/>
                <w:bCs/>
                <w:color w:val="auto"/>
                <w:kern w:val="0"/>
                <w:sz w:val="18"/>
                <w:szCs w:val="18"/>
                <w:highlight w:val="none"/>
              </w:rPr>
              <w:t>仓储业</w:t>
            </w:r>
          </w:p>
        </w:tc>
        <w:tc>
          <w:tcPr>
            <w:tcW w:w="1383" w:type="dxa"/>
            <w:tcBorders>
              <w:top w:val="nil"/>
              <w:left w:val="nil"/>
              <w:bottom w:val="single" w:color="auto" w:sz="4" w:space="0"/>
              <w:right w:val="single" w:color="auto" w:sz="4" w:space="0"/>
            </w:tcBorders>
            <w:noWrap w:val="0"/>
            <w:vAlign w:val="center"/>
          </w:tcPr>
          <w:p w14:paraId="04AC0176">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从业人员（X）</w:t>
            </w:r>
          </w:p>
        </w:tc>
        <w:tc>
          <w:tcPr>
            <w:tcW w:w="1260" w:type="dxa"/>
            <w:tcBorders>
              <w:top w:val="nil"/>
              <w:left w:val="nil"/>
              <w:bottom w:val="single" w:color="auto" w:sz="4" w:space="0"/>
              <w:right w:val="single" w:color="auto" w:sz="4" w:space="0"/>
            </w:tcBorders>
            <w:noWrap w:val="0"/>
            <w:vAlign w:val="center"/>
          </w:tcPr>
          <w:p w14:paraId="5C2B36DF">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人</w:t>
            </w:r>
          </w:p>
        </w:tc>
        <w:tc>
          <w:tcPr>
            <w:tcW w:w="1697" w:type="dxa"/>
            <w:tcBorders>
              <w:top w:val="nil"/>
              <w:left w:val="nil"/>
              <w:bottom w:val="single" w:color="auto" w:sz="4" w:space="0"/>
              <w:right w:val="single" w:color="auto" w:sz="4" w:space="0"/>
            </w:tcBorders>
            <w:noWrap w:val="0"/>
            <w:vAlign w:val="center"/>
          </w:tcPr>
          <w:p w14:paraId="7795D2C2">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100≤X＜200</w:t>
            </w:r>
          </w:p>
        </w:tc>
        <w:tc>
          <w:tcPr>
            <w:tcW w:w="1631" w:type="dxa"/>
            <w:tcBorders>
              <w:top w:val="nil"/>
              <w:left w:val="nil"/>
              <w:bottom w:val="single" w:color="auto" w:sz="4" w:space="0"/>
              <w:right w:val="single" w:color="auto" w:sz="4" w:space="0"/>
            </w:tcBorders>
            <w:noWrap w:val="0"/>
            <w:vAlign w:val="center"/>
          </w:tcPr>
          <w:p w14:paraId="7BB95305">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20≤X＜100</w:t>
            </w:r>
          </w:p>
        </w:tc>
        <w:tc>
          <w:tcPr>
            <w:tcW w:w="1406" w:type="dxa"/>
            <w:tcBorders>
              <w:top w:val="nil"/>
              <w:left w:val="nil"/>
              <w:bottom w:val="single" w:color="auto" w:sz="4" w:space="0"/>
              <w:right w:val="single" w:color="auto" w:sz="4" w:space="0"/>
            </w:tcBorders>
            <w:noWrap w:val="0"/>
            <w:vAlign w:val="center"/>
          </w:tcPr>
          <w:p w14:paraId="505DCE28">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X＜20</w:t>
            </w:r>
          </w:p>
        </w:tc>
      </w:tr>
      <w:tr w14:paraId="7FE6C07C">
        <w:tblPrEx>
          <w:tblCellMar>
            <w:top w:w="0" w:type="dxa"/>
            <w:left w:w="108" w:type="dxa"/>
            <w:bottom w:w="0" w:type="dxa"/>
            <w:right w:w="108" w:type="dxa"/>
          </w:tblCellMar>
        </w:tblPrEx>
        <w:trPr>
          <w:trHeight w:val="225" w:hRule="atLeast"/>
        </w:trPr>
        <w:tc>
          <w:tcPr>
            <w:tcW w:w="1701" w:type="dxa"/>
            <w:vMerge w:val="continue"/>
            <w:tcBorders>
              <w:top w:val="nil"/>
              <w:left w:val="single" w:color="auto" w:sz="4" w:space="0"/>
              <w:bottom w:val="single" w:color="auto" w:sz="4" w:space="0"/>
              <w:right w:val="single" w:color="auto" w:sz="4" w:space="0"/>
            </w:tcBorders>
            <w:noWrap w:val="0"/>
            <w:vAlign w:val="center"/>
          </w:tcPr>
          <w:p w14:paraId="2619784E">
            <w:pPr>
              <w:widowControl/>
              <w:jc w:val="left"/>
              <w:rPr>
                <w:rFonts w:hint="eastAsia" w:ascii="宋体" w:hAnsi="宋体" w:eastAsia="宋体" w:cs="宋体"/>
                <w:b/>
                <w:bCs/>
                <w:color w:val="auto"/>
                <w:kern w:val="0"/>
                <w:sz w:val="18"/>
                <w:szCs w:val="18"/>
                <w:highlight w:val="none"/>
              </w:rPr>
            </w:pPr>
          </w:p>
        </w:tc>
        <w:tc>
          <w:tcPr>
            <w:tcW w:w="1383" w:type="dxa"/>
            <w:tcBorders>
              <w:top w:val="nil"/>
              <w:left w:val="nil"/>
              <w:bottom w:val="single" w:color="auto" w:sz="4" w:space="0"/>
              <w:right w:val="single" w:color="auto" w:sz="4" w:space="0"/>
            </w:tcBorders>
            <w:noWrap w:val="0"/>
            <w:vAlign w:val="center"/>
          </w:tcPr>
          <w:p w14:paraId="2677CF7A">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营业收入（Y）</w:t>
            </w:r>
          </w:p>
        </w:tc>
        <w:tc>
          <w:tcPr>
            <w:tcW w:w="1260" w:type="dxa"/>
            <w:tcBorders>
              <w:top w:val="nil"/>
              <w:left w:val="nil"/>
              <w:bottom w:val="single" w:color="auto" w:sz="4" w:space="0"/>
              <w:right w:val="single" w:color="auto" w:sz="4" w:space="0"/>
            </w:tcBorders>
            <w:noWrap w:val="0"/>
            <w:vAlign w:val="center"/>
          </w:tcPr>
          <w:p w14:paraId="2A0FF1AA">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万元</w:t>
            </w:r>
          </w:p>
        </w:tc>
        <w:tc>
          <w:tcPr>
            <w:tcW w:w="1697" w:type="dxa"/>
            <w:tcBorders>
              <w:top w:val="nil"/>
              <w:left w:val="nil"/>
              <w:bottom w:val="single" w:color="auto" w:sz="4" w:space="0"/>
              <w:right w:val="single" w:color="auto" w:sz="4" w:space="0"/>
            </w:tcBorders>
            <w:noWrap w:val="0"/>
            <w:vAlign w:val="center"/>
          </w:tcPr>
          <w:p w14:paraId="64009C02">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1000≤Y＜30000</w:t>
            </w:r>
          </w:p>
        </w:tc>
        <w:tc>
          <w:tcPr>
            <w:tcW w:w="1631" w:type="dxa"/>
            <w:tcBorders>
              <w:top w:val="nil"/>
              <w:left w:val="nil"/>
              <w:bottom w:val="single" w:color="auto" w:sz="4" w:space="0"/>
              <w:right w:val="single" w:color="auto" w:sz="4" w:space="0"/>
            </w:tcBorders>
            <w:noWrap w:val="0"/>
            <w:vAlign w:val="center"/>
          </w:tcPr>
          <w:p w14:paraId="73BC7609">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100≤Y＜1000</w:t>
            </w:r>
          </w:p>
        </w:tc>
        <w:tc>
          <w:tcPr>
            <w:tcW w:w="1406" w:type="dxa"/>
            <w:tcBorders>
              <w:top w:val="nil"/>
              <w:left w:val="nil"/>
              <w:bottom w:val="single" w:color="auto" w:sz="4" w:space="0"/>
              <w:right w:val="single" w:color="auto" w:sz="4" w:space="0"/>
            </w:tcBorders>
            <w:noWrap w:val="0"/>
            <w:vAlign w:val="center"/>
          </w:tcPr>
          <w:p w14:paraId="4458B46E">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Y＜100</w:t>
            </w:r>
          </w:p>
        </w:tc>
      </w:tr>
      <w:tr w14:paraId="392B7F96">
        <w:tblPrEx>
          <w:tblCellMar>
            <w:top w:w="0" w:type="dxa"/>
            <w:left w:w="108" w:type="dxa"/>
            <w:bottom w:w="0" w:type="dxa"/>
            <w:right w:w="108" w:type="dxa"/>
          </w:tblCellMar>
        </w:tblPrEx>
        <w:trPr>
          <w:trHeight w:val="225" w:hRule="atLeast"/>
        </w:trPr>
        <w:tc>
          <w:tcPr>
            <w:tcW w:w="1701" w:type="dxa"/>
            <w:vMerge w:val="restart"/>
            <w:tcBorders>
              <w:top w:val="nil"/>
              <w:left w:val="single" w:color="auto" w:sz="4" w:space="0"/>
              <w:bottom w:val="single" w:color="auto" w:sz="4" w:space="0"/>
              <w:right w:val="single" w:color="auto" w:sz="4" w:space="0"/>
            </w:tcBorders>
            <w:noWrap w:val="0"/>
            <w:vAlign w:val="bottom"/>
          </w:tcPr>
          <w:p w14:paraId="370CDE59">
            <w:pPr>
              <w:widowControl/>
              <w:jc w:val="center"/>
              <w:rPr>
                <w:rFonts w:hint="eastAsia" w:ascii="宋体" w:hAnsi="宋体" w:eastAsia="宋体" w:cs="宋体"/>
                <w:b/>
                <w:bCs/>
                <w:color w:val="auto"/>
                <w:kern w:val="0"/>
                <w:sz w:val="18"/>
                <w:szCs w:val="18"/>
                <w:highlight w:val="none"/>
              </w:rPr>
            </w:pPr>
            <w:r>
              <w:rPr>
                <w:rFonts w:hint="eastAsia" w:ascii="宋体" w:hAnsi="宋体" w:eastAsia="宋体" w:cs="宋体"/>
                <w:b/>
                <w:bCs/>
                <w:color w:val="auto"/>
                <w:kern w:val="0"/>
                <w:sz w:val="18"/>
                <w:szCs w:val="18"/>
                <w:highlight w:val="none"/>
              </w:rPr>
              <w:t>邮政业</w:t>
            </w:r>
          </w:p>
        </w:tc>
        <w:tc>
          <w:tcPr>
            <w:tcW w:w="1383" w:type="dxa"/>
            <w:tcBorders>
              <w:top w:val="nil"/>
              <w:left w:val="nil"/>
              <w:bottom w:val="single" w:color="auto" w:sz="4" w:space="0"/>
              <w:right w:val="single" w:color="auto" w:sz="4" w:space="0"/>
            </w:tcBorders>
            <w:noWrap w:val="0"/>
            <w:vAlign w:val="center"/>
          </w:tcPr>
          <w:p w14:paraId="375280BA">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从业人员（X）</w:t>
            </w:r>
          </w:p>
        </w:tc>
        <w:tc>
          <w:tcPr>
            <w:tcW w:w="1260" w:type="dxa"/>
            <w:tcBorders>
              <w:top w:val="nil"/>
              <w:left w:val="nil"/>
              <w:bottom w:val="single" w:color="auto" w:sz="4" w:space="0"/>
              <w:right w:val="single" w:color="auto" w:sz="4" w:space="0"/>
            </w:tcBorders>
            <w:noWrap w:val="0"/>
            <w:vAlign w:val="center"/>
          </w:tcPr>
          <w:p w14:paraId="2D7BEC2B">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人</w:t>
            </w:r>
          </w:p>
        </w:tc>
        <w:tc>
          <w:tcPr>
            <w:tcW w:w="1697" w:type="dxa"/>
            <w:tcBorders>
              <w:top w:val="nil"/>
              <w:left w:val="nil"/>
              <w:bottom w:val="single" w:color="auto" w:sz="4" w:space="0"/>
              <w:right w:val="single" w:color="auto" w:sz="4" w:space="0"/>
            </w:tcBorders>
            <w:noWrap w:val="0"/>
            <w:vAlign w:val="center"/>
          </w:tcPr>
          <w:p w14:paraId="5720DB96">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300≤X＜1000</w:t>
            </w:r>
          </w:p>
        </w:tc>
        <w:tc>
          <w:tcPr>
            <w:tcW w:w="1631" w:type="dxa"/>
            <w:tcBorders>
              <w:top w:val="nil"/>
              <w:left w:val="nil"/>
              <w:bottom w:val="single" w:color="auto" w:sz="4" w:space="0"/>
              <w:right w:val="single" w:color="auto" w:sz="4" w:space="0"/>
            </w:tcBorders>
            <w:noWrap w:val="0"/>
            <w:vAlign w:val="center"/>
          </w:tcPr>
          <w:p w14:paraId="7453300A">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20≤X＜300</w:t>
            </w:r>
          </w:p>
        </w:tc>
        <w:tc>
          <w:tcPr>
            <w:tcW w:w="1406" w:type="dxa"/>
            <w:tcBorders>
              <w:top w:val="nil"/>
              <w:left w:val="nil"/>
              <w:bottom w:val="single" w:color="auto" w:sz="4" w:space="0"/>
              <w:right w:val="single" w:color="auto" w:sz="4" w:space="0"/>
            </w:tcBorders>
            <w:noWrap w:val="0"/>
            <w:vAlign w:val="center"/>
          </w:tcPr>
          <w:p w14:paraId="4D4FA9CE">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X＜20</w:t>
            </w:r>
          </w:p>
        </w:tc>
      </w:tr>
      <w:tr w14:paraId="6C92C8A0">
        <w:tblPrEx>
          <w:tblCellMar>
            <w:top w:w="0" w:type="dxa"/>
            <w:left w:w="108" w:type="dxa"/>
            <w:bottom w:w="0" w:type="dxa"/>
            <w:right w:w="108" w:type="dxa"/>
          </w:tblCellMar>
        </w:tblPrEx>
        <w:trPr>
          <w:trHeight w:val="225" w:hRule="atLeast"/>
        </w:trPr>
        <w:tc>
          <w:tcPr>
            <w:tcW w:w="1701" w:type="dxa"/>
            <w:vMerge w:val="continue"/>
            <w:tcBorders>
              <w:top w:val="nil"/>
              <w:left w:val="single" w:color="auto" w:sz="4" w:space="0"/>
              <w:bottom w:val="single" w:color="auto" w:sz="4" w:space="0"/>
              <w:right w:val="single" w:color="auto" w:sz="4" w:space="0"/>
            </w:tcBorders>
            <w:noWrap w:val="0"/>
            <w:vAlign w:val="center"/>
          </w:tcPr>
          <w:p w14:paraId="211ED5E4">
            <w:pPr>
              <w:widowControl/>
              <w:jc w:val="left"/>
              <w:rPr>
                <w:rFonts w:hint="eastAsia" w:ascii="宋体" w:hAnsi="宋体" w:eastAsia="宋体" w:cs="宋体"/>
                <w:b/>
                <w:bCs/>
                <w:color w:val="auto"/>
                <w:kern w:val="0"/>
                <w:sz w:val="18"/>
                <w:szCs w:val="18"/>
                <w:highlight w:val="none"/>
              </w:rPr>
            </w:pPr>
          </w:p>
        </w:tc>
        <w:tc>
          <w:tcPr>
            <w:tcW w:w="1383" w:type="dxa"/>
            <w:tcBorders>
              <w:top w:val="nil"/>
              <w:left w:val="nil"/>
              <w:bottom w:val="single" w:color="auto" w:sz="4" w:space="0"/>
              <w:right w:val="single" w:color="auto" w:sz="4" w:space="0"/>
            </w:tcBorders>
            <w:noWrap w:val="0"/>
            <w:vAlign w:val="center"/>
          </w:tcPr>
          <w:p w14:paraId="2A1ED1B7">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营业收入（Y）</w:t>
            </w:r>
          </w:p>
        </w:tc>
        <w:tc>
          <w:tcPr>
            <w:tcW w:w="1260" w:type="dxa"/>
            <w:tcBorders>
              <w:top w:val="nil"/>
              <w:left w:val="nil"/>
              <w:bottom w:val="single" w:color="auto" w:sz="4" w:space="0"/>
              <w:right w:val="single" w:color="auto" w:sz="4" w:space="0"/>
            </w:tcBorders>
            <w:noWrap w:val="0"/>
            <w:vAlign w:val="center"/>
          </w:tcPr>
          <w:p w14:paraId="30A4FFDC">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万元</w:t>
            </w:r>
          </w:p>
        </w:tc>
        <w:tc>
          <w:tcPr>
            <w:tcW w:w="1697" w:type="dxa"/>
            <w:tcBorders>
              <w:top w:val="nil"/>
              <w:left w:val="nil"/>
              <w:bottom w:val="single" w:color="auto" w:sz="4" w:space="0"/>
              <w:right w:val="single" w:color="auto" w:sz="4" w:space="0"/>
            </w:tcBorders>
            <w:noWrap w:val="0"/>
            <w:vAlign w:val="center"/>
          </w:tcPr>
          <w:p w14:paraId="6F5ADEBC">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2000≤Y＜30000</w:t>
            </w:r>
          </w:p>
        </w:tc>
        <w:tc>
          <w:tcPr>
            <w:tcW w:w="1631" w:type="dxa"/>
            <w:tcBorders>
              <w:top w:val="nil"/>
              <w:left w:val="nil"/>
              <w:bottom w:val="single" w:color="auto" w:sz="4" w:space="0"/>
              <w:right w:val="single" w:color="auto" w:sz="4" w:space="0"/>
            </w:tcBorders>
            <w:noWrap w:val="0"/>
            <w:vAlign w:val="center"/>
          </w:tcPr>
          <w:p w14:paraId="1991210A">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100≤Y＜2000</w:t>
            </w:r>
          </w:p>
        </w:tc>
        <w:tc>
          <w:tcPr>
            <w:tcW w:w="1406" w:type="dxa"/>
            <w:tcBorders>
              <w:top w:val="nil"/>
              <w:left w:val="nil"/>
              <w:bottom w:val="single" w:color="auto" w:sz="4" w:space="0"/>
              <w:right w:val="single" w:color="auto" w:sz="4" w:space="0"/>
            </w:tcBorders>
            <w:noWrap w:val="0"/>
            <w:vAlign w:val="center"/>
          </w:tcPr>
          <w:p w14:paraId="1B0B1315">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Y＜100</w:t>
            </w:r>
          </w:p>
        </w:tc>
      </w:tr>
      <w:tr w14:paraId="44CB3CD4">
        <w:tblPrEx>
          <w:tblCellMar>
            <w:top w:w="0" w:type="dxa"/>
            <w:left w:w="108" w:type="dxa"/>
            <w:bottom w:w="0" w:type="dxa"/>
            <w:right w:w="108" w:type="dxa"/>
          </w:tblCellMar>
        </w:tblPrEx>
        <w:trPr>
          <w:trHeight w:val="225" w:hRule="atLeast"/>
        </w:trPr>
        <w:tc>
          <w:tcPr>
            <w:tcW w:w="1701" w:type="dxa"/>
            <w:vMerge w:val="restart"/>
            <w:tcBorders>
              <w:top w:val="nil"/>
              <w:left w:val="single" w:color="auto" w:sz="4" w:space="0"/>
              <w:bottom w:val="single" w:color="auto" w:sz="4" w:space="0"/>
              <w:right w:val="single" w:color="auto" w:sz="4" w:space="0"/>
            </w:tcBorders>
            <w:noWrap w:val="0"/>
            <w:vAlign w:val="bottom"/>
          </w:tcPr>
          <w:p w14:paraId="30E491E1">
            <w:pPr>
              <w:widowControl/>
              <w:jc w:val="center"/>
              <w:rPr>
                <w:rFonts w:hint="eastAsia" w:ascii="宋体" w:hAnsi="宋体" w:eastAsia="宋体" w:cs="宋体"/>
                <w:b/>
                <w:bCs/>
                <w:color w:val="auto"/>
                <w:kern w:val="0"/>
                <w:sz w:val="18"/>
                <w:szCs w:val="18"/>
                <w:highlight w:val="none"/>
              </w:rPr>
            </w:pPr>
            <w:r>
              <w:rPr>
                <w:rFonts w:hint="eastAsia" w:ascii="宋体" w:hAnsi="宋体" w:eastAsia="宋体" w:cs="宋体"/>
                <w:b/>
                <w:bCs/>
                <w:color w:val="auto"/>
                <w:kern w:val="0"/>
                <w:sz w:val="18"/>
                <w:szCs w:val="18"/>
                <w:highlight w:val="none"/>
              </w:rPr>
              <w:t>住宿业</w:t>
            </w:r>
          </w:p>
        </w:tc>
        <w:tc>
          <w:tcPr>
            <w:tcW w:w="1383" w:type="dxa"/>
            <w:tcBorders>
              <w:top w:val="nil"/>
              <w:left w:val="nil"/>
              <w:bottom w:val="single" w:color="auto" w:sz="4" w:space="0"/>
              <w:right w:val="single" w:color="auto" w:sz="4" w:space="0"/>
            </w:tcBorders>
            <w:noWrap w:val="0"/>
            <w:vAlign w:val="center"/>
          </w:tcPr>
          <w:p w14:paraId="5C275D4C">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从业人员（X）</w:t>
            </w:r>
          </w:p>
        </w:tc>
        <w:tc>
          <w:tcPr>
            <w:tcW w:w="1260" w:type="dxa"/>
            <w:tcBorders>
              <w:top w:val="nil"/>
              <w:left w:val="nil"/>
              <w:bottom w:val="single" w:color="auto" w:sz="4" w:space="0"/>
              <w:right w:val="single" w:color="auto" w:sz="4" w:space="0"/>
            </w:tcBorders>
            <w:noWrap w:val="0"/>
            <w:vAlign w:val="center"/>
          </w:tcPr>
          <w:p w14:paraId="3BC6E470">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人</w:t>
            </w:r>
          </w:p>
        </w:tc>
        <w:tc>
          <w:tcPr>
            <w:tcW w:w="1697" w:type="dxa"/>
            <w:tcBorders>
              <w:top w:val="nil"/>
              <w:left w:val="nil"/>
              <w:bottom w:val="single" w:color="auto" w:sz="4" w:space="0"/>
              <w:right w:val="single" w:color="auto" w:sz="4" w:space="0"/>
            </w:tcBorders>
            <w:noWrap w:val="0"/>
            <w:vAlign w:val="center"/>
          </w:tcPr>
          <w:p w14:paraId="3E582D29">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100≤X＜300</w:t>
            </w:r>
          </w:p>
        </w:tc>
        <w:tc>
          <w:tcPr>
            <w:tcW w:w="1631" w:type="dxa"/>
            <w:tcBorders>
              <w:top w:val="nil"/>
              <w:left w:val="nil"/>
              <w:bottom w:val="single" w:color="auto" w:sz="4" w:space="0"/>
              <w:right w:val="single" w:color="auto" w:sz="4" w:space="0"/>
            </w:tcBorders>
            <w:noWrap w:val="0"/>
            <w:vAlign w:val="center"/>
          </w:tcPr>
          <w:p w14:paraId="4C838DDB">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10≤X＜100</w:t>
            </w:r>
          </w:p>
        </w:tc>
        <w:tc>
          <w:tcPr>
            <w:tcW w:w="1406" w:type="dxa"/>
            <w:tcBorders>
              <w:top w:val="nil"/>
              <w:left w:val="nil"/>
              <w:bottom w:val="single" w:color="auto" w:sz="4" w:space="0"/>
              <w:right w:val="single" w:color="auto" w:sz="4" w:space="0"/>
            </w:tcBorders>
            <w:noWrap w:val="0"/>
            <w:vAlign w:val="center"/>
          </w:tcPr>
          <w:p w14:paraId="568690A3">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X＜10</w:t>
            </w:r>
          </w:p>
        </w:tc>
      </w:tr>
      <w:tr w14:paraId="21ED29BC">
        <w:tblPrEx>
          <w:tblCellMar>
            <w:top w:w="0" w:type="dxa"/>
            <w:left w:w="108" w:type="dxa"/>
            <w:bottom w:w="0" w:type="dxa"/>
            <w:right w:w="108" w:type="dxa"/>
          </w:tblCellMar>
        </w:tblPrEx>
        <w:trPr>
          <w:trHeight w:val="225" w:hRule="atLeast"/>
        </w:trPr>
        <w:tc>
          <w:tcPr>
            <w:tcW w:w="1701" w:type="dxa"/>
            <w:vMerge w:val="continue"/>
            <w:tcBorders>
              <w:top w:val="nil"/>
              <w:left w:val="single" w:color="auto" w:sz="4" w:space="0"/>
              <w:bottom w:val="single" w:color="auto" w:sz="4" w:space="0"/>
              <w:right w:val="single" w:color="auto" w:sz="4" w:space="0"/>
            </w:tcBorders>
            <w:noWrap w:val="0"/>
            <w:vAlign w:val="center"/>
          </w:tcPr>
          <w:p w14:paraId="34A39404">
            <w:pPr>
              <w:widowControl/>
              <w:jc w:val="left"/>
              <w:rPr>
                <w:rFonts w:hint="eastAsia" w:ascii="宋体" w:hAnsi="宋体" w:eastAsia="宋体" w:cs="宋体"/>
                <w:b/>
                <w:bCs/>
                <w:color w:val="auto"/>
                <w:kern w:val="0"/>
                <w:sz w:val="18"/>
                <w:szCs w:val="18"/>
                <w:highlight w:val="none"/>
              </w:rPr>
            </w:pPr>
          </w:p>
        </w:tc>
        <w:tc>
          <w:tcPr>
            <w:tcW w:w="1383" w:type="dxa"/>
            <w:tcBorders>
              <w:top w:val="nil"/>
              <w:left w:val="nil"/>
              <w:bottom w:val="single" w:color="auto" w:sz="4" w:space="0"/>
              <w:right w:val="single" w:color="auto" w:sz="4" w:space="0"/>
            </w:tcBorders>
            <w:noWrap w:val="0"/>
            <w:vAlign w:val="center"/>
          </w:tcPr>
          <w:p w14:paraId="2A259BC6">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营业收入（Y）</w:t>
            </w:r>
          </w:p>
        </w:tc>
        <w:tc>
          <w:tcPr>
            <w:tcW w:w="1260" w:type="dxa"/>
            <w:tcBorders>
              <w:top w:val="nil"/>
              <w:left w:val="nil"/>
              <w:bottom w:val="single" w:color="auto" w:sz="4" w:space="0"/>
              <w:right w:val="single" w:color="auto" w:sz="4" w:space="0"/>
            </w:tcBorders>
            <w:noWrap w:val="0"/>
            <w:vAlign w:val="center"/>
          </w:tcPr>
          <w:p w14:paraId="620B5029">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万元</w:t>
            </w:r>
          </w:p>
        </w:tc>
        <w:tc>
          <w:tcPr>
            <w:tcW w:w="1697" w:type="dxa"/>
            <w:tcBorders>
              <w:top w:val="nil"/>
              <w:left w:val="nil"/>
              <w:bottom w:val="single" w:color="auto" w:sz="4" w:space="0"/>
              <w:right w:val="single" w:color="auto" w:sz="4" w:space="0"/>
            </w:tcBorders>
            <w:noWrap w:val="0"/>
            <w:vAlign w:val="center"/>
          </w:tcPr>
          <w:p w14:paraId="6058CE0B">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2000≤Y＜10000</w:t>
            </w:r>
          </w:p>
        </w:tc>
        <w:tc>
          <w:tcPr>
            <w:tcW w:w="1631" w:type="dxa"/>
            <w:tcBorders>
              <w:top w:val="nil"/>
              <w:left w:val="nil"/>
              <w:bottom w:val="single" w:color="auto" w:sz="4" w:space="0"/>
              <w:right w:val="single" w:color="auto" w:sz="4" w:space="0"/>
            </w:tcBorders>
            <w:noWrap w:val="0"/>
            <w:vAlign w:val="center"/>
          </w:tcPr>
          <w:p w14:paraId="12AA3F35">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100≤Y＜2000</w:t>
            </w:r>
          </w:p>
        </w:tc>
        <w:tc>
          <w:tcPr>
            <w:tcW w:w="1406" w:type="dxa"/>
            <w:tcBorders>
              <w:top w:val="nil"/>
              <w:left w:val="nil"/>
              <w:bottom w:val="single" w:color="auto" w:sz="4" w:space="0"/>
              <w:right w:val="single" w:color="auto" w:sz="4" w:space="0"/>
            </w:tcBorders>
            <w:noWrap w:val="0"/>
            <w:vAlign w:val="center"/>
          </w:tcPr>
          <w:p w14:paraId="57150193">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Y＜100</w:t>
            </w:r>
          </w:p>
        </w:tc>
      </w:tr>
      <w:tr w14:paraId="38F2D5B8">
        <w:tblPrEx>
          <w:tblCellMar>
            <w:top w:w="0" w:type="dxa"/>
            <w:left w:w="108" w:type="dxa"/>
            <w:bottom w:w="0" w:type="dxa"/>
            <w:right w:w="108" w:type="dxa"/>
          </w:tblCellMar>
        </w:tblPrEx>
        <w:trPr>
          <w:trHeight w:val="225" w:hRule="atLeast"/>
        </w:trPr>
        <w:tc>
          <w:tcPr>
            <w:tcW w:w="1701" w:type="dxa"/>
            <w:vMerge w:val="restart"/>
            <w:tcBorders>
              <w:top w:val="nil"/>
              <w:left w:val="single" w:color="auto" w:sz="4" w:space="0"/>
              <w:bottom w:val="single" w:color="auto" w:sz="4" w:space="0"/>
              <w:right w:val="single" w:color="auto" w:sz="4" w:space="0"/>
            </w:tcBorders>
            <w:noWrap w:val="0"/>
            <w:vAlign w:val="bottom"/>
          </w:tcPr>
          <w:p w14:paraId="2976ED46">
            <w:pPr>
              <w:widowControl/>
              <w:jc w:val="center"/>
              <w:rPr>
                <w:rFonts w:hint="eastAsia" w:ascii="宋体" w:hAnsi="宋体" w:eastAsia="宋体" w:cs="宋体"/>
                <w:b/>
                <w:bCs/>
                <w:color w:val="auto"/>
                <w:kern w:val="0"/>
                <w:sz w:val="18"/>
                <w:szCs w:val="18"/>
                <w:highlight w:val="none"/>
              </w:rPr>
            </w:pPr>
            <w:r>
              <w:rPr>
                <w:rFonts w:hint="eastAsia" w:ascii="宋体" w:hAnsi="宋体" w:eastAsia="宋体" w:cs="宋体"/>
                <w:b/>
                <w:bCs/>
                <w:color w:val="auto"/>
                <w:kern w:val="0"/>
                <w:sz w:val="18"/>
                <w:szCs w:val="18"/>
                <w:highlight w:val="none"/>
              </w:rPr>
              <w:t>餐饮业</w:t>
            </w:r>
          </w:p>
        </w:tc>
        <w:tc>
          <w:tcPr>
            <w:tcW w:w="1383" w:type="dxa"/>
            <w:tcBorders>
              <w:top w:val="nil"/>
              <w:left w:val="nil"/>
              <w:bottom w:val="single" w:color="auto" w:sz="4" w:space="0"/>
              <w:right w:val="single" w:color="auto" w:sz="4" w:space="0"/>
            </w:tcBorders>
            <w:noWrap w:val="0"/>
            <w:vAlign w:val="center"/>
          </w:tcPr>
          <w:p w14:paraId="4271A318">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从业人员（X）</w:t>
            </w:r>
          </w:p>
        </w:tc>
        <w:tc>
          <w:tcPr>
            <w:tcW w:w="1260" w:type="dxa"/>
            <w:tcBorders>
              <w:top w:val="nil"/>
              <w:left w:val="nil"/>
              <w:bottom w:val="single" w:color="auto" w:sz="4" w:space="0"/>
              <w:right w:val="single" w:color="auto" w:sz="4" w:space="0"/>
            </w:tcBorders>
            <w:noWrap w:val="0"/>
            <w:vAlign w:val="center"/>
          </w:tcPr>
          <w:p w14:paraId="2D693D64">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人</w:t>
            </w:r>
          </w:p>
        </w:tc>
        <w:tc>
          <w:tcPr>
            <w:tcW w:w="1697" w:type="dxa"/>
            <w:tcBorders>
              <w:top w:val="nil"/>
              <w:left w:val="nil"/>
              <w:bottom w:val="single" w:color="auto" w:sz="4" w:space="0"/>
              <w:right w:val="single" w:color="auto" w:sz="4" w:space="0"/>
            </w:tcBorders>
            <w:noWrap w:val="0"/>
            <w:vAlign w:val="center"/>
          </w:tcPr>
          <w:p w14:paraId="28305F50">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100≤X＜300</w:t>
            </w:r>
          </w:p>
        </w:tc>
        <w:tc>
          <w:tcPr>
            <w:tcW w:w="1631" w:type="dxa"/>
            <w:tcBorders>
              <w:top w:val="nil"/>
              <w:left w:val="nil"/>
              <w:bottom w:val="single" w:color="auto" w:sz="4" w:space="0"/>
              <w:right w:val="single" w:color="auto" w:sz="4" w:space="0"/>
            </w:tcBorders>
            <w:noWrap w:val="0"/>
            <w:vAlign w:val="center"/>
          </w:tcPr>
          <w:p w14:paraId="0F6FF1AA">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10≤X＜100</w:t>
            </w:r>
          </w:p>
        </w:tc>
        <w:tc>
          <w:tcPr>
            <w:tcW w:w="1406" w:type="dxa"/>
            <w:tcBorders>
              <w:top w:val="nil"/>
              <w:left w:val="nil"/>
              <w:bottom w:val="single" w:color="auto" w:sz="4" w:space="0"/>
              <w:right w:val="single" w:color="auto" w:sz="4" w:space="0"/>
            </w:tcBorders>
            <w:noWrap w:val="0"/>
            <w:vAlign w:val="center"/>
          </w:tcPr>
          <w:p w14:paraId="35EB3949">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X＜10</w:t>
            </w:r>
          </w:p>
        </w:tc>
      </w:tr>
      <w:tr w14:paraId="162F4FB8">
        <w:tblPrEx>
          <w:tblCellMar>
            <w:top w:w="0" w:type="dxa"/>
            <w:left w:w="108" w:type="dxa"/>
            <w:bottom w:w="0" w:type="dxa"/>
            <w:right w:w="108" w:type="dxa"/>
          </w:tblCellMar>
        </w:tblPrEx>
        <w:trPr>
          <w:trHeight w:val="225" w:hRule="atLeast"/>
        </w:trPr>
        <w:tc>
          <w:tcPr>
            <w:tcW w:w="1701" w:type="dxa"/>
            <w:vMerge w:val="continue"/>
            <w:tcBorders>
              <w:top w:val="nil"/>
              <w:left w:val="single" w:color="auto" w:sz="4" w:space="0"/>
              <w:bottom w:val="single" w:color="auto" w:sz="4" w:space="0"/>
              <w:right w:val="single" w:color="auto" w:sz="4" w:space="0"/>
            </w:tcBorders>
            <w:noWrap w:val="0"/>
            <w:vAlign w:val="center"/>
          </w:tcPr>
          <w:p w14:paraId="2C7723D9">
            <w:pPr>
              <w:widowControl/>
              <w:jc w:val="left"/>
              <w:rPr>
                <w:rFonts w:hint="eastAsia" w:ascii="宋体" w:hAnsi="宋体" w:eastAsia="宋体" w:cs="宋体"/>
                <w:b/>
                <w:bCs/>
                <w:color w:val="auto"/>
                <w:kern w:val="0"/>
                <w:sz w:val="18"/>
                <w:szCs w:val="18"/>
                <w:highlight w:val="none"/>
              </w:rPr>
            </w:pPr>
          </w:p>
        </w:tc>
        <w:tc>
          <w:tcPr>
            <w:tcW w:w="1383" w:type="dxa"/>
            <w:tcBorders>
              <w:top w:val="nil"/>
              <w:left w:val="nil"/>
              <w:bottom w:val="single" w:color="auto" w:sz="4" w:space="0"/>
              <w:right w:val="single" w:color="auto" w:sz="4" w:space="0"/>
            </w:tcBorders>
            <w:noWrap w:val="0"/>
            <w:vAlign w:val="center"/>
          </w:tcPr>
          <w:p w14:paraId="5AA3A8E8">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营业收入（Y）</w:t>
            </w:r>
          </w:p>
        </w:tc>
        <w:tc>
          <w:tcPr>
            <w:tcW w:w="1260" w:type="dxa"/>
            <w:tcBorders>
              <w:top w:val="nil"/>
              <w:left w:val="nil"/>
              <w:bottom w:val="single" w:color="auto" w:sz="4" w:space="0"/>
              <w:right w:val="single" w:color="auto" w:sz="4" w:space="0"/>
            </w:tcBorders>
            <w:noWrap w:val="0"/>
            <w:vAlign w:val="center"/>
          </w:tcPr>
          <w:p w14:paraId="66BBF119">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万元</w:t>
            </w:r>
          </w:p>
        </w:tc>
        <w:tc>
          <w:tcPr>
            <w:tcW w:w="1697" w:type="dxa"/>
            <w:tcBorders>
              <w:top w:val="nil"/>
              <w:left w:val="nil"/>
              <w:bottom w:val="single" w:color="auto" w:sz="4" w:space="0"/>
              <w:right w:val="single" w:color="auto" w:sz="4" w:space="0"/>
            </w:tcBorders>
            <w:noWrap w:val="0"/>
            <w:vAlign w:val="center"/>
          </w:tcPr>
          <w:p w14:paraId="5351E276">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2000≤Y＜10000</w:t>
            </w:r>
          </w:p>
        </w:tc>
        <w:tc>
          <w:tcPr>
            <w:tcW w:w="1631" w:type="dxa"/>
            <w:tcBorders>
              <w:top w:val="nil"/>
              <w:left w:val="nil"/>
              <w:bottom w:val="single" w:color="auto" w:sz="4" w:space="0"/>
              <w:right w:val="single" w:color="auto" w:sz="4" w:space="0"/>
            </w:tcBorders>
            <w:noWrap w:val="0"/>
            <w:vAlign w:val="center"/>
          </w:tcPr>
          <w:p w14:paraId="7B6E58BA">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100≤Y＜2000</w:t>
            </w:r>
          </w:p>
        </w:tc>
        <w:tc>
          <w:tcPr>
            <w:tcW w:w="1406" w:type="dxa"/>
            <w:tcBorders>
              <w:top w:val="nil"/>
              <w:left w:val="nil"/>
              <w:bottom w:val="single" w:color="auto" w:sz="4" w:space="0"/>
              <w:right w:val="single" w:color="auto" w:sz="4" w:space="0"/>
            </w:tcBorders>
            <w:noWrap w:val="0"/>
            <w:vAlign w:val="center"/>
          </w:tcPr>
          <w:p w14:paraId="6B1581D3">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Y＜100</w:t>
            </w:r>
          </w:p>
        </w:tc>
      </w:tr>
      <w:tr w14:paraId="2039FDFF">
        <w:tblPrEx>
          <w:tblCellMar>
            <w:top w:w="0" w:type="dxa"/>
            <w:left w:w="108" w:type="dxa"/>
            <w:bottom w:w="0" w:type="dxa"/>
            <w:right w:w="108" w:type="dxa"/>
          </w:tblCellMar>
        </w:tblPrEx>
        <w:trPr>
          <w:trHeight w:val="225" w:hRule="atLeast"/>
        </w:trPr>
        <w:tc>
          <w:tcPr>
            <w:tcW w:w="1701" w:type="dxa"/>
            <w:vMerge w:val="restart"/>
            <w:tcBorders>
              <w:top w:val="nil"/>
              <w:left w:val="single" w:color="auto" w:sz="4" w:space="0"/>
              <w:bottom w:val="single" w:color="auto" w:sz="4" w:space="0"/>
              <w:right w:val="single" w:color="auto" w:sz="4" w:space="0"/>
            </w:tcBorders>
            <w:noWrap w:val="0"/>
            <w:vAlign w:val="bottom"/>
          </w:tcPr>
          <w:p w14:paraId="44D59E9D">
            <w:pPr>
              <w:widowControl/>
              <w:jc w:val="center"/>
              <w:rPr>
                <w:rFonts w:hint="eastAsia" w:ascii="宋体" w:hAnsi="宋体" w:eastAsia="宋体" w:cs="宋体"/>
                <w:b/>
                <w:bCs/>
                <w:color w:val="auto"/>
                <w:kern w:val="0"/>
                <w:sz w:val="18"/>
                <w:szCs w:val="18"/>
                <w:highlight w:val="none"/>
              </w:rPr>
            </w:pPr>
            <w:r>
              <w:rPr>
                <w:rFonts w:hint="eastAsia" w:ascii="宋体" w:hAnsi="宋体" w:eastAsia="宋体" w:cs="宋体"/>
                <w:b/>
                <w:bCs/>
                <w:color w:val="auto"/>
                <w:kern w:val="0"/>
                <w:sz w:val="18"/>
                <w:szCs w:val="18"/>
                <w:highlight w:val="none"/>
              </w:rPr>
              <w:t>信息传输业</w:t>
            </w:r>
          </w:p>
        </w:tc>
        <w:tc>
          <w:tcPr>
            <w:tcW w:w="1383" w:type="dxa"/>
            <w:tcBorders>
              <w:top w:val="nil"/>
              <w:left w:val="nil"/>
              <w:bottom w:val="single" w:color="auto" w:sz="4" w:space="0"/>
              <w:right w:val="single" w:color="auto" w:sz="4" w:space="0"/>
            </w:tcBorders>
            <w:noWrap w:val="0"/>
            <w:vAlign w:val="center"/>
          </w:tcPr>
          <w:p w14:paraId="756D9969">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从业人员（X）</w:t>
            </w:r>
          </w:p>
        </w:tc>
        <w:tc>
          <w:tcPr>
            <w:tcW w:w="1260" w:type="dxa"/>
            <w:tcBorders>
              <w:top w:val="nil"/>
              <w:left w:val="nil"/>
              <w:bottom w:val="single" w:color="auto" w:sz="4" w:space="0"/>
              <w:right w:val="single" w:color="auto" w:sz="4" w:space="0"/>
            </w:tcBorders>
            <w:noWrap w:val="0"/>
            <w:vAlign w:val="center"/>
          </w:tcPr>
          <w:p w14:paraId="1476AC05">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人</w:t>
            </w:r>
          </w:p>
        </w:tc>
        <w:tc>
          <w:tcPr>
            <w:tcW w:w="1697" w:type="dxa"/>
            <w:tcBorders>
              <w:top w:val="nil"/>
              <w:left w:val="nil"/>
              <w:bottom w:val="single" w:color="auto" w:sz="4" w:space="0"/>
              <w:right w:val="single" w:color="auto" w:sz="4" w:space="0"/>
            </w:tcBorders>
            <w:noWrap w:val="0"/>
            <w:vAlign w:val="center"/>
          </w:tcPr>
          <w:p w14:paraId="19276D0C">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100≤X＜2000</w:t>
            </w:r>
          </w:p>
        </w:tc>
        <w:tc>
          <w:tcPr>
            <w:tcW w:w="1631" w:type="dxa"/>
            <w:tcBorders>
              <w:top w:val="nil"/>
              <w:left w:val="nil"/>
              <w:bottom w:val="single" w:color="auto" w:sz="4" w:space="0"/>
              <w:right w:val="single" w:color="auto" w:sz="4" w:space="0"/>
            </w:tcBorders>
            <w:noWrap w:val="0"/>
            <w:vAlign w:val="center"/>
          </w:tcPr>
          <w:p w14:paraId="0C4D2AE3">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10≤X＜100</w:t>
            </w:r>
          </w:p>
        </w:tc>
        <w:tc>
          <w:tcPr>
            <w:tcW w:w="1406" w:type="dxa"/>
            <w:tcBorders>
              <w:top w:val="nil"/>
              <w:left w:val="nil"/>
              <w:bottom w:val="single" w:color="auto" w:sz="4" w:space="0"/>
              <w:right w:val="single" w:color="auto" w:sz="4" w:space="0"/>
            </w:tcBorders>
            <w:noWrap w:val="0"/>
            <w:vAlign w:val="center"/>
          </w:tcPr>
          <w:p w14:paraId="26AF2DB7">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X＜10</w:t>
            </w:r>
          </w:p>
        </w:tc>
      </w:tr>
      <w:tr w14:paraId="5CC1DAB7">
        <w:tblPrEx>
          <w:tblCellMar>
            <w:top w:w="0" w:type="dxa"/>
            <w:left w:w="108" w:type="dxa"/>
            <w:bottom w:w="0" w:type="dxa"/>
            <w:right w:w="108" w:type="dxa"/>
          </w:tblCellMar>
        </w:tblPrEx>
        <w:trPr>
          <w:trHeight w:val="225" w:hRule="atLeast"/>
        </w:trPr>
        <w:tc>
          <w:tcPr>
            <w:tcW w:w="1701" w:type="dxa"/>
            <w:vMerge w:val="continue"/>
            <w:tcBorders>
              <w:top w:val="nil"/>
              <w:left w:val="single" w:color="auto" w:sz="4" w:space="0"/>
              <w:bottom w:val="single" w:color="auto" w:sz="4" w:space="0"/>
              <w:right w:val="single" w:color="auto" w:sz="4" w:space="0"/>
            </w:tcBorders>
            <w:noWrap w:val="0"/>
            <w:vAlign w:val="center"/>
          </w:tcPr>
          <w:p w14:paraId="5387A1C5">
            <w:pPr>
              <w:widowControl/>
              <w:jc w:val="left"/>
              <w:rPr>
                <w:rFonts w:hint="eastAsia" w:ascii="宋体" w:hAnsi="宋体" w:eastAsia="宋体" w:cs="宋体"/>
                <w:b/>
                <w:bCs/>
                <w:color w:val="auto"/>
                <w:kern w:val="0"/>
                <w:sz w:val="18"/>
                <w:szCs w:val="18"/>
                <w:highlight w:val="none"/>
              </w:rPr>
            </w:pPr>
          </w:p>
        </w:tc>
        <w:tc>
          <w:tcPr>
            <w:tcW w:w="1383" w:type="dxa"/>
            <w:tcBorders>
              <w:top w:val="nil"/>
              <w:left w:val="nil"/>
              <w:bottom w:val="single" w:color="auto" w:sz="4" w:space="0"/>
              <w:right w:val="single" w:color="auto" w:sz="4" w:space="0"/>
            </w:tcBorders>
            <w:noWrap w:val="0"/>
            <w:vAlign w:val="center"/>
          </w:tcPr>
          <w:p w14:paraId="269401DD">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营业收入（Y）</w:t>
            </w:r>
          </w:p>
        </w:tc>
        <w:tc>
          <w:tcPr>
            <w:tcW w:w="1260" w:type="dxa"/>
            <w:tcBorders>
              <w:top w:val="nil"/>
              <w:left w:val="nil"/>
              <w:bottom w:val="single" w:color="auto" w:sz="4" w:space="0"/>
              <w:right w:val="single" w:color="auto" w:sz="4" w:space="0"/>
            </w:tcBorders>
            <w:noWrap w:val="0"/>
            <w:vAlign w:val="center"/>
          </w:tcPr>
          <w:p w14:paraId="00C113A5">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万元</w:t>
            </w:r>
          </w:p>
        </w:tc>
        <w:tc>
          <w:tcPr>
            <w:tcW w:w="1697" w:type="dxa"/>
            <w:tcBorders>
              <w:top w:val="nil"/>
              <w:left w:val="nil"/>
              <w:bottom w:val="single" w:color="auto" w:sz="4" w:space="0"/>
              <w:right w:val="single" w:color="auto" w:sz="4" w:space="0"/>
            </w:tcBorders>
            <w:noWrap w:val="0"/>
            <w:vAlign w:val="center"/>
          </w:tcPr>
          <w:p w14:paraId="5DA7CCEF">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1000≤Y＜100000</w:t>
            </w:r>
          </w:p>
        </w:tc>
        <w:tc>
          <w:tcPr>
            <w:tcW w:w="1631" w:type="dxa"/>
            <w:tcBorders>
              <w:top w:val="nil"/>
              <w:left w:val="nil"/>
              <w:bottom w:val="single" w:color="auto" w:sz="4" w:space="0"/>
              <w:right w:val="single" w:color="auto" w:sz="4" w:space="0"/>
            </w:tcBorders>
            <w:noWrap w:val="0"/>
            <w:vAlign w:val="center"/>
          </w:tcPr>
          <w:p w14:paraId="451FCF36">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100≤Y＜1000</w:t>
            </w:r>
          </w:p>
        </w:tc>
        <w:tc>
          <w:tcPr>
            <w:tcW w:w="1406" w:type="dxa"/>
            <w:tcBorders>
              <w:top w:val="nil"/>
              <w:left w:val="nil"/>
              <w:bottom w:val="single" w:color="auto" w:sz="4" w:space="0"/>
              <w:right w:val="single" w:color="auto" w:sz="4" w:space="0"/>
            </w:tcBorders>
            <w:noWrap w:val="0"/>
            <w:vAlign w:val="center"/>
          </w:tcPr>
          <w:p w14:paraId="7A31C63B">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Y＜100</w:t>
            </w:r>
          </w:p>
        </w:tc>
      </w:tr>
      <w:tr w14:paraId="6973E7F5">
        <w:tblPrEx>
          <w:tblCellMar>
            <w:top w:w="0" w:type="dxa"/>
            <w:left w:w="108" w:type="dxa"/>
            <w:bottom w:w="0" w:type="dxa"/>
            <w:right w:w="108" w:type="dxa"/>
          </w:tblCellMar>
        </w:tblPrEx>
        <w:trPr>
          <w:trHeight w:val="225" w:hRule="atLeast"/>
        </w:trPr>
        <w:tc>
          <w:tcPr>
            <w:tcW w:w="1701" w:type="dxa"/>
            <w:vMerge w:val="restart"/>
            <w:tcBorders>
              <w:top w:val="nil"/>
              <w:left w:val="single" w:color="auto" w:sz="4" w:space="0"/>
              <w:bottom w:val="single" w:color="auto" w:sz="4" w:space="0"/>
              <w:right w:val="single" w:color="auto" w:sz="4" w:space="0"/>
            </w:tcBorders>
            <w:noWrap w:val="0"/>
            <w:vAlign w:val="bottom"/>
          </w:tcPr>
          <w:p w14:paraId="083BE4AA">
            <w:pPr>
              <w:widowControl/>
              <w:jc w:val="center"/>
              <w:rPr>
                <w:rFonts w:hint="eastAsia" w:ascii="宋体" w:hAnsi="宋体" w:eastAsia="宋体" w:cs="宋体"/>
                <w:b/>
                <w:bCs/>
                <w:color w:val="auto"/>
                <w:kern w:val="0"/>
                <w:sz w:val="18"/>
                <w:szCs w:val="18"/>
                <w:highlight w:val="none"/>
              </w:rPr>
            </w:pPr>
            <w:r>
              <w:rPr>
                <w:rFonts w:hint="eastAsia" w:ascii="宋体" w:hAnsi="宋体" w:eastAsia="宋体" w:cs="宋体"/>
                <w:b/>
                <w:bCs/>
                <w:color w:val="auto"/>
                <w:kern w:val="0"/>
                <w:sz w:val="18"/>
                <w:szCs w:val="18"/>
                <w:highlight w:val="none"/>
              </w:rPr>
              <w:t>软件和信息技术服务业</w:t>
            </w:r>
          </w:p>
        </w:tc>
        <w:tc>
          <w:tcPr>
            <w:tcW w:w="1383" w:type="dxa"/>
            <w:tcBorders>
              <w:top w:val="nil"/>
              <w:left w:val="nil"/>
              <w:bottom w:val="single" w:color="auto" w:sz="4" w:space="0"/>
              <w:right w:val="single" w:color="auto" w:sz="4" w:space="0"/>
            </w:tcBorders>
            <w:noWrap w:val="0"/>
            <w:vAlign w:val="center"/>
          </w:tcPr>
          <w:p w14:paraId="4C0B53FF">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从业人员（X）</w:t>
            </w:r>
          </w:p>
        </w:tc>
        <w:tc>
          <w:tcPr>
            <w:tcW w:w="1260" w:type="dxa"/>
            <w:tcBorders>
              <w:top w:val="nil"/>
              <w:left w:val="nil"/>
              <w:bottom w:val="single" w:color="auto" w:sz="4" w:space="0"/>
              <w:right w:val="single" w:color="auto" w:sz="4" w:space="0"/>
            </w:tcBorders>
            <w:noWrap w:val="0"/>
            <w:vAlign w:val="center"/>
          </w:tcPr>
          <w:p w14:paraId="47E6A886">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人</w:t>
            </w:r>
          </w:p>
        </w:tc>
        <w:tc>
          <w:tcPr>
            <w:tcW w:w="1697" w:type="dxa"/>
            <w:tcBorders>
              <w:top w:val="nil"/>
              <w:left w:val="nil"/>
              <w:bottom w:val="single" w:color="auto" w:sz="4" w:space="0"/>
              <w:right w:val="single" w:color="auto" w:sz="4" w:space="0"/>
            </w:tcBorders>
            <w:noWrap w:val="0"/>
            <w:vAlign w:val="center"/>
          </w:tcPr>
          <w:p w14:paraId="6FF7FCA6">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100≤X＜300</w:t>
            </w:r>
          </w:p>
        </w:tc>
        <w:tc>
          <w:tcPr>
            <w:tcW w:w="1631" w:type="dxa"/>
            <w:tcBorders>
              <w:top w:val="nil"/>
              <w:left w:val="nil"/>
              <w:bottom w:val="single" w:color="auto" w:sz="4" w:space="0"/>
              <w:right w:val="single" w:color="auto" w:sz="4" w:space="0"/>
            </w:tcBorders>
            <w:noWrap w:val="0"/>
            <w:vAlign w:val="center"/>
          </w:tcPr>
          <w:p w14:paraId="353ED0CA">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10≤X＜100</w:t>
            </w:r>
          </w:p>
        </w:tc>
        <w:tc>
          <w:tcPr>
            <w:tcW w:w="1406" w:type="dxa"/>
            <w:tcBorders>
              <w:top w:val="nil"/>
              <w:left w:val="nil"/>
              <w:bottom w:val="single" w:color="auto" w:sz="4" w:space="0"/>
              <w:right w:val="single" w:color="auto" w:sz="4" w:space="0"/>
            </w:tcBorders>
            <w:noWrap w:val="0"/>
            <w:vAlign w:val="center"/>
          </w:tcPr>
          <w:p w14:paraId="451E75F4">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X＜10</w:t>
            </w:r>
          </w:p>
        </w:tc>
      </w:tr>
      <w:tr w14:paraId="11871E71">
        <w:tblPrEx>
          <w:tblCellMar>
            <w:top w:w="0" w:type="dxa"/>
            <w:left w:w="108" w:type="dxa"/>
            <w:bottom w:w="0" w:type="dxa"/>
            <w:right w:w="108" w:type="dxa"/>
          </w:tblCellMar>
        </w:tblPrEx>
        <w:trPr>
          <w:trHeight w:val="225" w:hRule="atLeast"/>
        </w:trPr>
        <w:tc>
          <w:tcPr>
            <w:tcW w:w="1701" w:type="dxa"/>
            <w:vMerge w:val="continue"/>
            <w:tcBorders>
              <w:top w:val="nil"/>
              <w:left w:val="single" w:color="auto" w:sz="4" w:space="0"/>
              <w:bottom w:val="single" w:color="auto" w:sz="4" w:space="0"/>
              <w:right w:val="single" w:color="auto" w:sz="4" w:space="0"/>
            </w:tcBorders>
            <w:noWrap w:val="0"/>
            <w:vAlign w:val="center"/>
          </w:tcPr>
          <w:p w14:paraId="6643A71E">
            <w:pPr>
              <w:widowControl/>
              <w:jc w:val="left"/>
              <w:rPr>
                <w:rFonts w:hint="eastAsia" w:ascii="宋体" w:hAnsi="宋体" w:eastAsia="宋体" w:cs="宋体"/>
                <w:b/>
                <w:bCs/>
                <w:color w:val="auto"/>
                <w:kern w:val="0"/>
                <w:sz w:val="18"/>
                <w:szCs w:val="18"/>
                <w:highlight w:val="none"/>
              </w:rPr>
            </w:pPr>
          </w:p>
        </w:tc>
        <w:tc>
          <w:tcPr>
            <w:tcW w:w="1383" w:type="dxa"/>
            <w:tcBorders>
              <w:top w:val="nil"/>
              <w:left w:val="nil"/>
              <w:bottom w:val="single" w:color="auto" w:sz="4" w:space="0"/>
              <w:right w:val="single" w:color="auto" w:sz="4" w:space="0"/>
            </w:tcBorders>
            <w:noWrap w:val="0"/>
            <w:vAlign w:val="center"/>
          </w:tcPr>
          <w:p w14:paraId="35F432BB">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营业收入（Y）</w:t>
            </w:r>
          </w:p>
        </w:tc>
        <w:tc>
          <w:tcPr>
            <w:tcW w:w="1260" w:type="dxa"/>
            <w:tcBorders>
              <w:top w:val="nil"/>
              <w:left w:val="nil"/>
              <w:bottom w:val="single" w:color="auto" w:sz="4" w:space="0"/>
              <w:right w:val="single" w:color="auto" w:sz="4" w:space="0"/>
            </w:tcBorders>
            <w:noWrap w:val="0"/>
            <w:vAlign w:val="center"/>
          </w:tcPr>
          <w:p w14:paraId="23622F92">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万元</w:t>
            </w:r>
          </w:p>
        </w:tc>
        <w:tc>
          <w:tcPr>
            <w:tcW w:w="1697" w:type="dxa"/>
            <w:tcBorders>
              <w:top w:val="nil"/>
              <w:left w:val="nil"/>
              <w:bottom w:val="single" w:color="auto" w:sz="4" w:space="0"/>
              <w:right w:val="single" w:color="auto" w:sz="4" w:space="0"/>
            </w:tcBorders>
            <w:noWrap w:val="0"/>
            <w:vAlign w:val="center"/>
          </w:tcPr>
          <w:p w14:paraId="5C1182AA">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1000≤Y＜10000</w:t>
            </w:r>
          </w:p>
        </w:tc>
        <w:tc>
          <w:tcPr>
            <w:tcW w:w="1631" w:type="dxa"/>
            <w:tcBorders>
              <w:top w:val="nil"/>
              <w:left w:val="nil"/>
              <w:bottom w:val="single" w:color="auto" w:sz="4" w:space="0"/>
              <w:right w:val="single" w:color="auto" w:sz="4" w:space="0"/>
            </w:tcBorders>
            <w:noWrap w:val="0"/>
            <w:vAlign w:val="center"/>
          </w:tcPr>
          <w:p w14:paraId="5267FA92">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50≤Y＜1000</w:t>
            </w:r>
          </w:p>
        </w:tc>
        <w:tc>
          <w:tcPr>
            <w:tcW w:w="1406" w:type="dxa"/>
            <w:tcBorders>
              <w:top w:val="nil"/>
              <w:left w:val="nil"/>
              <w:bottom w:val="single" w:color="auto" w:sz="4" w:space="0"/>
              <w:right w:val="single" w:color="auto" w:sz="4" w:space="0"/>
            </w:tcBorders>
            <w:noWrap w:val="0"/>
            <w:vAlign w:val="center"/>
          </w:tcPr>
          <w:p w14:paraId="1A1B2465">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Y＜50</w:t>
            </w:r>
          </w:p>
        </w:tc>
      </w:tr>
      <w:tr w14:paraId="54328067">
        <w:tblPrEx>
          <w:tblCellMar>
            <w:top w:w="0" w:type="dxa"/>
            <w:left w:w="108" w:type="dxa"/>
            <w:bottom w:w="0" w:type="dxa"/>
            <w:right w:w="108" w:type="dxa"/>
          </w:tblCellMar>
        </w:tblPrEx>
        <w:trPr>
          <w:trHeight w:val="225" w:hRule="atLeast"/>
        </w:trPr>
        <w:tc>
          <w:tcPr>
            <w:tcW w:w="1701" w:type="dxa"/>
            <w:vMerge w:val="restart"/>
            <w:tcBorders>
              <w:top w:val="nil"/>
              <w:left w:val="single" w:color="auto" w:sz="4" w:space="0"/>
              <w:bottom w:val="single" w:color="auto" w:sz="4" w:space="0"/>
              <w:right w:val="single" w:color="auto" w:sz="4" w:space="0"/>
            </w:tcBorders>
            <w:noWrap w:val="0"/>
            <w:vAlign w:val="bottom"/>
          </w:tcPr>
          <w:p w14:paraId="60644907">
            <w:pPr>
              <w:widowControl/>
              <w:jc w:val="center"/>
              <w:rPr>
                <w:rFonts w:hint="eastAsia" w:ascii="宋体" w:hAnsi="宋体" w:eastAsia="宋体" w:cs="宋体"/>
                <w:b/>
                <w:bCs/>
                <w:color w:val="auto"/>
                <w:kern w:val="0"/>
                <w:sz w:val="18"/>
                <w:szCs w:val="18"/>
                <w:highlight w:val="none"/>
              </w:rPr>
            </w:pPr>
            <w:r>
              <w:rPr>
                <w:rFonts w:hint="eastAsia" w:ascii="宋体" w:hAnsi="宋体" w:eastAsia="宋体" w:cs="宋体"/>
                <w:b/>
                <w:bCs/>
                <w:color w:val="auto"/>
                <w:kern w:val="0"/>
                <w:sz w:val="18"/>
                <w:szCs w:val="18"/>
                <w:highlight w:val="none"/>
              </w:rPr>
              <w:t>房地产开发经营</w:t>
            </w:r>
          </w:p>
        </w:tc>
        <w:tc>
          <w:tcPr>
            <w:tcW w:w="1383" w:type="dxa"/>
            <w:tcBorders>
              <w:top w:val="nil"/>
              <w:left w:val="nil"/>
              <w:bottom w:val="single" w:color="auto" w:sz="4" w:space="0"/>
              <w:right w:val="single" w:color="auto" w:sz="4" w:space="0"/>
            </w:tcBorders>
            <w:noWrap w:val="0"/>
            <w:vAlign w:val="center"/>
          </w:tcPr>
          <w:p w14:paraId="4D3F8B51">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营业收入（Y）</w:t>
            </w:r>
          </w:p>
        </w:tc>
        <w:tc>
          <w:tcPr>
            <w:tcW w:w="1260" w:type="dxa"/>
            <w:tcBorders>
              <w:top w:val="nil"/>
              <w:left w:val="nil"/>
              <w:bottom w:val="single" w:color="auto" w:sz="4" w:space="0"/>
              <w:right w:val="single" w:color="auto" w:sz="4" w:space="0"/>
            </w:tcBorders>
            <w:noWrap w:val="0"/>
            <w:vAlign w:val="center"/>
          </w:tcPr>
          <w:p w14:paraId="232A83A2">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万元</w:t>
            </w:r>
          </w:p>
        </w:tc>
        <w:tc>
          <w:tcPr>
            <w:tcW w:w="1697" w:type="dxa"/>
            <w:tcBorders>
              <w:top w:val="nil"/>
              <w:left w:val="nil"/>
              <w:bottom w:val="single" w:color="auto" w:sz="4" w:space="0"/>
              <w:right w:val="single" w:color="auto" w:sz="4" w:space="0"/>
            </w:tcBorders>
            <w:noWrap w:val="0"/>
            <w:vAlign w:val="center"/>
          </w:tcPr>
          <w:p w14:paraId="0A476E03">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1000≤Y＜200000</w:t>
            </w:r>
          </w:p>
        </w:tc>
        <w:tc>
          <w:tcPr>
            <w:tcW w:w="1631" w:type="dxa"/>
            <w:tcBorders>
              <w:top w:val="nil"/>
              <w:left w:val="nil"/>
              <w:bottom w:val="single" w:color="auto" w:sz="4" w:space="0"/>
              <w:right w:val="single" w:color="auto" w:sz="4" w:space="0"/>
            </w:tcBorders>
            <w:noWrap w:val="0"/>
            <w:vAlign w:val="center"/>
          </w:tcPr>
          <w:p w14:paraId="4E7C752C">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100≤Y＜1000</w:t>
            </w:r>
          </w:p>
        </w:tc>
        <w:tc>
          <w:tcPr>
            <w:tcW w:w="1406" w:type="dxa"/>
            <w:tcBorders>
              <w:top w:val="nil"/>
              <w:left w:val="nil"/>
              <w:bottom w:val="single" w:color="auto" w:sz="4" w:space="0"/>
              <w:right w:val="single" w:color="auto" w:sz="4" w:space="0"/>
            </w:tcBorders>
            <w:noWrap w:val="0"/>
            <w:vAlign w:val="center"/>
          </w:tcPr>
          <w:p w14:paraId="32A8F051">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Y＜100</w:t>
            </w:r>
          </w:p>
        </w:tc>
      </w:tr>
      <w:tr w14:paraId="6FA4A506">
        <w:tblPrEx>
          <w:tblCellMar>
            <w:top w:w="0" w:type="dxa"/>
            <w:left w:w="108" w:type="dxa"/>
            <w:bottom w:w="0" w:type="dxa"/>
            <w:right w:w="108" w:type="dxa"/>
          </w:tblCellMar>
        </w:tblPrEx>
        <w:trPr>
          <w:trHeight w:val="225" w:hRule="atLeast"/>
        </w:trPr>
        <w:tc>
          <w:tcPr>
            <w:tcW w:w="1701" w:type="dxa"/>
            <w:vMerge w:val="continue"/>
            <w:tcBorders>
              <w:top w:val="nil"/>
              <w:left w:val="single" w:color="auto" w:sz="4" w:space="0"/>
              <w:bottom w:val="single" w:color="auto" w:sz="4" w:space="0"/>
              <w:right w:val="single" w:color="auto" w:sz="4" w:space="0"/>
            </w:tcBorders>
            <w:noWrap w:val="0"/>
            <w:vAlign w:val="center"/>
          </w:tcPr>
          <w:p w14:paraId="06593DB5">
            <w:pPr>
              <w:widowControl/>
              <w:jc w:val="left"/>
              <w:rPr>
                <w:rFonts w:hint="eastAsia" w:ascii="宋体" w:hAnsi="宋体" w:eastAsia="宋体" w:cs="宋体"/>
                <w:b/>
                <w:bCs/>
                <w:color w:val="auto"/>
                <w:kern w:val="0"/>
                <w:sz w:val="18"/>
                <w:szCs w:val="18"/>
                <w:highlight w:val="none"/>
              </w:rPr>
            </w:pPr>
          </w:p>
        </w:tc>
        <w:tc>
          <w:tcPr>
            <w:tcW w:w="1383" w:type="dxa"/>
            <w:tcBorders>
              <w:top w:val="nil"/>
              <w:left w:val="nil"/>
              <w:bottom w:val="single" w:color="auto" w:sz="4" w:space="0"/>
              <w:right w:val="single" w:color="auto" w:sz="4" w:space="0"/>
            </w:tcBorders>
            <w:noWrap w:val="0"/>
            <w:vAlign w:val="center"/>
          </w:tcPr>
          <w:p w14:paraId="7C202F65">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资产总额（Z）</w:t>
            </w:r>
          </w:p>
        </w:tc>
        <w:tc>
          <w:tcPr>
            <w:tcW w:w="1260" w:type="dxa"/>
            <w:tcBorders>
              <w:top w:val="nil"/>
              <w:left w:val="nil"/>
              <w:bottom w:val="single" w:color="auto" w:sz="4" w:space="0"/>
              <w:right w:val="single" w:color="auto" w:sz="4" w:space="0"/>
            </w:tcBorders>
            <w:noWrap w:val="0"/>
            <w:vAlign w:val="center"/>
          </w:tcPr>
          <w:p w14:paraId="648C5D45">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万元</w:t>
            </w:r>
          </w:p>
        </w:tc>
        <w:tc>
          <w:tcPr>
            <w:tcW w:w="1697" w:type="dxa"/>
            <w:tcBorders>
              <w:top w:val="nil"/>
              <w:left w:val="nil"/>
              <w:bottom w:val="single" w:color="auto" w:sz="4" w:space="0"/>
              <w:right w:val="single" w:color="auto" w:sz="4" w:space="0"/>
            </w:tcBorders>
            <w:noWrap w:val="0"/>
            <w:vAlign w:val="center"/>
          </w:tcPr>
          <w:p w14:paraId="22BE0654">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5000≤Z＜10000</w:t>
            </w:r>
          </w:p>
        </w:tc>
        <w:tc>
          <w:tcPr>
            <w:tcW w:w="1631" w:type="dxa"/>
            <w:tcBorders>
              <w:top w:val="nil"/>
              <w:left w:val="nil"/>
              <w:bottom w:val="single" w:color="auto" w:sz="4" w:space="0"/>
              <w:right w:val="single" w:color="auto" w:sz="4" w:space="0"/>
            </w:tcBorders>
            <w:noWrap w:val="0"/>
            <w:vAlign w:val="center"/>
          </w:tcPr>
          <w:p w14:paraId="3D653DC1">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2000≤Z＜5000</w:t>
            </w:r>
          </w:p>
        </w:tc>
        <w:tc>
          <w:tcPr>
            <w:tcW w:w="1406" w:type="dxa"/>
            <w:tcBorders>
              <w:top w:val="nil"/>
              <w:left w:val="nil"/>
              <w:bottom w:val="single" w:color="auto" w:sz="4" w:space="0"/>
              <w:right w:val="single" w:color="auto" w:sz="4" w:space="0"/>
            </w:tcBorders>
            <w:noWrap w:val="0"/>
            <w:vAlign w:val="center"/>
          </w:tcPr>
          <w:p w14:paraId="2DB1192D">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Z＜2000</w:t>
            </w:r>
          </w:p>
        </w:tc>
      </w:tr>
      <w:tr w14:paraId="002B0EBD">
        <w:tblPrEx>
          <w:tblCellMar>
            <w:top w:w="0" w:type="dxa"/>
            <w:left w:w="108" w:type="dxa"/>
            <w:bottom w:w="0" w:type="dxa"/>
            <w:right w:w="108" w:type="dxa"/>
          </w:tblCellMar>
        </w:tblPrEx>
        <w:trPr>
          <w:trHeight w:val="225" w:hRule="atLeast"/>
        </w:trPr>
        <w:tc>
          <w:tcPr>
            <w:tcW w:w="1701" w:type="dxa"/>
            <w:vMerge w:val="restart"/>
            <w:tcBorders>
              <w:top w:val="nil"/>
              <w:left w:val="single" w:color="auto" w:sz="4" w:space="0"/>
              <w:bottom w:val="single" w:color="auto" w:sz="4" w:space="0"/>
              <w:right w:val="single" w:color="auto" w:sz="4" w:space="0"/>
            </w:tcBorders>
            <w:noWrap w:val="0"/>
            <w:vAlign w:val="bottom"/>
          </w:tcPr>
          <w:p w14:paraId="72BACD84">
            <w:pPr>
              <w:widowControl/>
              <w:jc w:val="center"/>
              <w:rPr>
                <w:rFonts w:hint="eastAsia" w:ascii="宋体" w:hAnsi="宋体" w:eastAsia="宋体" w:cs="宋体"/>
                <w:b/>
                <w:bCs/>
                <w:color w:val="auto"/>
                <w:kern w:val="0"/>
                <w:sz w:val="18"/>
                <w:szCs w:val="18"/>
                <w:highlight w:val="none"/>
              </w:rPr>
            </w:pPr>
            <w:r>
              <w:rPr>
                <w:rFonts w:hint="eastAsia" w:ascii="宋体" w:hAnsi="宋体" w:eastAsia="宋体" w:cs="宋体"/>
                <w:b/>
                <w:bCs/>
                <w:color w:val="auto"/>
                <w:kern w:val="0"/>
                <w:sz w:val="18"/>
                <w:szCs w:val="18"/>
                <w:highlight w:val="none"/>
              </w:rPr>
              <w:t>物业管理</w:t>
            </w:r>
          </w:p>
        </w:tc>
        <w:tc>
          <w:tcPr>
            <w:tcW w:w="1383" w:type="dxa"/>
            <w:tcBorders>
              <w:top w:val="nil"/>
              <w:left w:val="nil"/>
              <w:bottom w:val="single" w:color="auto" w:sz="4" w:space="0"/>
              <w:right w:val="single" w:color="auto" w:sz="4" w:space="0"/>
            </w:tcBorders>
            <w:noWrap w:val="0"/>
            <w:vAlign w:val="center"/>
          </w:tcPr>
          <w:p w14:paraId="556E529C">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从业人员（X）</w:t>
            </w:r>
          </w:p>
        </w:tc>
        <w:tc>
          <w:tcPr>
            <w:tcW w:w="1260" w:type="dxa"/>
            <w:tcBorders>
              <w:top w:val="nil"/>
              <w:left w:val="nil"/>
              <w:bottom w:val="single" w:color="auto" w:sz="4" w:space="0"/>
              <w:right w:val="single" w:color="auto" w:sz="4" w:space="0"/>
            </w:tcBorders>
            <w:noWrap w:val="0"/>
            <w:vAlign w:val="center"/>
          </w:tcPr>
          <w:p w14:paraId="519AFA55">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人</w:t>
            </w:r>
          </w:p>
        </w:tc>
        <w:tc>
          <w:tcPr>
            <w:tcW w:w="1697" w:type="dxa"/>
            <w:tcBorders>
              <w:top w:val="nil"/>
              <w:left w:val="nil"/>
              <w:bottom w:val="single" w:color="auto" w:sz="4" w:space="0"/>
              <w:right w:val="single" w:color="auto" w:sz="4" w:space="0"/>
            </w:tcBorders>
            <w:noWrap w:val="0"/>
            <w:vAlign w:val="center"/>
          </w:tcPr>
          <w:p w14:paraId="4F8C7AF3">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300≤X＜1000</w:t>
            </w:r>
          </w:p>
        </w:tc>
        <w:tc>
          <w:tcPr>
            <w:tcW w:w="1631" w:type="dxa"/>
            <w:tcBorders>
              <w:top w:val="nil"/>
              <w:left w:val="nil"/>
              <w:bottom w:val="single" w:color="auto" w:sz="4" w:space="0"/>
              <w:right w:val="single" w:color="auto" w:sz="4" w:space="0"/>
            </w:tcBorders>
            <w:noWrap w:val="0"/>
            <w:vAlign w:val="center"/>
          </w:tcPr>
          <w:p w14:paraId="45C7147B">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100≤X＜300</w:t>
            </w:r>
          </w:p>
        </w:tc>
        <w:tc>
          <w:tcPr>
            <w:tcW w:w="1406" w:type="dxa"/>
            <w:tcBorders>
              <w:top w:val="nil"/>
              <w:left w:val="nil"/>
              <w:bottom w:val="single" w:color="auto" w:sz="4" w:space="0"/>
              <w:right w:val="single" w:color="auto" w:sz="4" w:space="0"/>
            </w:tcBorders>
            <w:noWrap w:val="0"/>
            <w:vAlign w:val="center"/>
          </w:tcPr>
          <w:p w14:paraId="47076368">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X＜100</w:t>
            </w:r>
          </w:p>
        </w:tc>
      </w:tr>
      <w:tr w14:paraId="1CE3B19D">
        <w:tblPrEx>
          <w:tblCellMar>
            <w:top w:w="0" w:type="dxa"/>
            <w:left w:w="108" w:type="dxa"/>
            <w:bottom w:w="0" w:type="dxa"/>
            <w:right w:w="108" w:type="dxa"/>
          </w:tblCellMar>
        </w:tblPrEx>
        <w:trPr>
          <w:trHeight w:val="225" w:hRule="atLeast"/>
        </w:trPr>
        <w:tc>
          <w:tcPr>
            <w:tcW w:w="1701" w:type="dxa"/>
            <w:vMerge w:val="continue"/>
            <w:tcBorders>
              <w:top w:val="nil"/>
              <w:left w:val="single" w:color="auto" w:sz="4" w:space="0"/>
              <w:bottom w:val="single" w:color="auto" w:sz="4" w:space="0"/>
              <w:right w:val="single" w:color="auto" w:sz="4" w:space="0"/>
            </w:tcBorders>
            <w:noWrap w:val="0"/>
            <w:vAlign w:val="center"/>
          </w:tcPr>
          <w:p w14:paraId="36766349">
            <w:pPr>
              <w:widowControl/>
              <w:jc w:val="left"/>
              <w:rPr>
                <w:rFonts w:hint="eastAsia" w:ascii="宋体" w:hAnsi="宋体" w:eastAsia="宋体" w:cs="宋体"/>
                <w:b/>
                <w:bCs/>
                <w:color w:val="auto"/>
                <w:kern w:val="0"/>
                <w:sz w:val="18"/>
                <w:szCs w:val="18"/>
                <w:highlight w:val="none"/>
              </w:rPr>
            </w:pPr>
          </w:p>
        </w:tc>
        <w:tc>
          <w:tcPr>
            <w:tcW w:w="1383" w:type="dxa"/>
            <w:tcBorders>
              <w:top w:val="nil"/>
              <w:left w:val="nil"/>
              <w:bottom w:val="single" w:color="auto" w:sz="4" w:space="0"/>
              <w:right w:val="single" w:color="auto" w:sz="4" w:space="0"/>
            </w:tcBorders>
            <w:noWrap w:val="0"/>
            <w:vAlign w:val="center"/>
          </w:tcPr>
          <w:p w14:paraId="48B133FB">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营业收入（Y）</w:t>
            </w:r>
          </w:p>
        </w:tc>
        <w:tc>
          <w:tcPr>
            <w:tcW w:w="1260" w:type="dxa"/>
            <w:tcBorders>
              <w:top w:val="nil"/>
              <w:left w:val="nil"/>
              <w:bottom w:val="single" w:color="auto" w:sz="4" w:space="0"/>
              <w:right w:val="single" w:color="auto" w:sz="4" w:space="0"/>
            </w:tcBorders>
            <w:noWrap w:val="0"/>
            <w:vAlign w:val="center"/>
          </w:tcPr>
          <w:p w14:paraId="5F170888">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万元</w:t>
            </w:r>
          </w:p>
        </w:tc>
        <w:tc>
          <w:tcPr>
            <w:tcW w:w="1697" w:type="dxa"/>
            <w:tcBorders>
              <w:top w:val="nil"/>
              <w:left w:val="nil"/>
              <w:bottom w:val="single" w:color="auto" w:sz="4" w:space="0"/>
              <w:right w:val="single" w:color="auto" w:sz="4" w:space="0"/>
            </w:tcBorders>
            <w:noWrap w:val="0"/>
            <w:vAlign w:val="center"/>
          </w:tcPr>
          <w:p w14:paraId="28EAB0BE">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1000≤Y＜5000</w:t>
            </w:r>
          </w:p>
        </w:tc>
        <w:tc>
          <w:tcPr>
            <w:tcW w:w="1631" w:type="dxa"/>
            <w:tcBorders>
              <w:top w:val="nil"/>
              <w:left w:val="nil"/>
              <w:bottom w:val="single" w:color="auto" w:sz="4" w:space="0"/>
              <w:right w:val="single" w:color="auto" w:sz="4" w:space="0"/>
            </w:tcBorders>
            <w:noWrap w:val="0"/>
            <w:vAlign w:val="center"/>
          </w:tcPr>
          <w:p w14:paraId="75EF159A">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500≤Y＜1000</w:t>
            </w:r>
          </w:p>
        </w:tc>
        <w:tc>
          <w:tcPr>
            <w:tcW w:w="1406" w:type="dxa"/>
            <w:tcBorders>
              <w:top w:val="nil"/>
              <w:left w:val="nil"/>
              <w:bottom w:val="single" w:color="auto" w:sz="4" w:space="0"/>
              <w:right w:val="single" w:color="auto" w:sz="4" w:space="0"/>
            </w:tcBorders>
            <w:noWrap w:val="0"/>
            <w:vAlign w:val="center"/>
          </w:tcPr>
          <w:p w14:paraId="09141340">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Y＜500</w:t>
            </w:r>
          </w:p>
        </w:tc>
      </w:tr>
      <w:tr w14:paraId="0E3F260A">
        <w:tblPrEx>
          <w:tblCellMar>
            <w:top w:w="0" w:type="dxa"/>
            <w:left w:w="108" w:type="dxa"/>
            <w:bottom w:w="0" w:type="dxa"/>
            <w:right w:w="108" w:type="dxa"/>
          </w:tblCellMar>
        </w:tblPrEx>
        <w:trPr>
          <w:trHeight w:val="225" w:hRule="atLeast"/>
        </w:trPr>
        <w:tc>
          <w:tcPr>
            <w:tcW w:w="1701" w:type="dxa"/>
            <w:vMerge w:val="restart"/>
            <w:tcBorders>
              <w:top w:val="nil"/>
              <w:left w:val="single" w:color="auto" w:sz="4" w:space="0"/>
              <w:bottom w:val="single" w:color="auto" w:sz="4" w:space="0"/>
              <w:right w:val="single" w:color="auto" w:sz="4" w:space="0"/>
            </w:tcBorders>
            <w:noWrap w:val="0"/>
            <w:vAlign w:val="bottom"/>
          </w:tcPr>
          <w:p w14:paraId="0FE621F7">
            <w:pPr>
              <w:widowControl/>
              <w:jc w:val="center"/>
              <w:rPr>
                <w:rFonts w:hint="eastAsia" w:ascii="宋体" w:hAnsi="宋体" w:eastAsia="宋体" w:cs="宋体"/>
                <w:b/>
                <w:bCs/>
                <w:color w:val="auto"/>
                <w:kern w:val="0"/>
                <w:sz w:val="18"/>
                <w:szCs w:val="18"/>
                <w:highlight w:val="none"/>
              </w:rPr>
            </w:pPr>
            <w:r>
              <w:rPr>
                <w:rFonts w:hint="eastAsia" w:ascii="宋体" w:hAnsi="宋体" w:eastAsia="宋体" w:cs="宋体"/>
                <w:b/>
                <w:bCs/>
                <w:color w:val="auto"/>
                <w:kern w:val="0"/>
                <w:sz w:val="18"/>
                <w:szCs w:val="18"/>
                <w:highlight w:val="none"/>
              </w:rPr>
              <w:t>租赁和商务服务业</w:t>
            </w:r>
          </w:p>
        </w:tc>
        <w:tc>
          <w:tcPr>
            <w:tcW w:w="1383" w:type="dxa"/>
            <w:tcBorders>
              <w:top w:val="nil"/>
              <w:left w:val="nil"/>
              <w:bottom w:val="single" w:color="auto" w:sz="4" w:space="0"/>
              <w:right w:val="single" w:color="auto" w:sz="4" w:space="0"/>
            </w:tcBorders>
            <w:noWrap w:val="0"/>
            <w:vAlign w:val="center"/>
          </w:tcPr>
          <w:p w14:paraId="5F7E1B4A">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从业人员（X）</w:t>
            </w:r>
          </w:p>
        </w:tc>
        <w:tc>
          <w:tcPr>
            <w:tcW w:w="1260" w:type="dxa"/>
            <w:tcBorders>
              <w:top w:val="nil"/>
              <w:left w:val="nil"/>
              <w:bottom w:val="single" w:color="auto" w:sz="4" w:space="0"/>
              <w:right w:val="single" w:color="auto" w:sz="4" w:space="0"/>
            </w:tcBorders>
            <w:noWrap w:val="0"/>
            <w:vAlign w:val="center"/>
          </w:tcPr>
          <w:p w14:paraId="60AB7656">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人</w:t>
            </w:r>
          </w:p>
        </w:tc>
        <w:tc>
          <w:tcPr>
            <w:tcW w:w="1697" w:type="dxa"/>
            <w:tcBorders>
              <w:top w:val="nil"/>
              <w:left w:val="nil"/>
              <w:bottom w:val="single" w:color="auto" w:sz="4" w:space="0"/>
              <w:right w:val="single" w:color="auto" w:sz="4" w:space="0"/>
            </w:tcBorders>
            <w:noWrap w:val="0"/>
            <w:vAlign w:val="center"/>
          </w:tcPr>
          <w:p w14:paraId="4B6CB936">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100≤X＜300</w:t>
            </w:r>
          </w:p>
        </w:tc>
        <w:tc>
          <w:tcPr>
            <w:tcW w:w="1631" w:type="dxa"/>
            <w:tcBorders>
              <w:top w:val="nil"/>
              <w:left w:val="nil"/>
              <w:bottom w:val="single" w:color="auto" w:sz="4" w:space="0"/>
              <w:right w:val="single" w:color="auto" w:sz="4" w:space="0"/>
            </w:tcBorders>
            <w:noWrap w:val="0"/>
            <w:vAlign w:val="center"/>
          </w:tcPr>
          <w:p w14:paraId="7F23AC8B">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10≤X＜100</w:t>
            </w:r>
          </w:p>
        </w:tc>
        <w:tc>
          <w:tcPr>
            <w:tcW w:w="1406" w:type="dxa"/>
            <w:tcBorders>
              <w:top w:val="nil"/>
              <w:left w:val="nil"/>
              <w:bottom w:val="single" w:color="auto" w:sz="4" w:space="0"/>
              <w:right w:val="single" w:color="auto" w:sz="4" w:space="0"/>
            </w:tcBorders>
            <w:noWrap w:val="0"/>
            <w:vAlign w:val="center"/>
          </w:tcPr>
          <w:p w14:paraId="269EB96B">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X＜10</w:t>
            </w:r>
          </w:p>
        </w:tc>
      </w:tr>
      <w:tr w14:paraId="480AF330">
        <w:tblPrEx>
          <w:tblCellMar>
            <w:top w:w="0" w:type="dxa"/>
            <w:left w:w="108" w:type="dxa"/>
            <w:bottom w:w="0" w:type="dxa"/>
            <w:right w:w="108" w:type="dxa"/>
          </w:tblCellMar>
        </w:tblPrEx>
        <w:trPr>
          <w:trHeight w:val="225" w:hRule="atLeast"/>
        </w:trPr>
        <w:tc>
          <w:tcPr>
            <w:tcW w:w="1701" w:type="dxa"/>
            <w:vMerge w:val="continue"/>
            <w:tcBorders>
              <w:top w:val="nil"/>
              <w:left w:val="single" w:color="auto" w:sz="4" w:space="0"/>
              <w:bottom w:val="single" w:color="auto" w:sz="4" w:space="0"/>
              <w:right w:val="single" w:color="auto" w:sz="4" w:space="0"/>
            </w:tcBorders>
            <w:noWrap w:val="0"/>
            <w:vAlign w:val="center"/>
          </w:tcPr>
          <w:p w14:paraId="4DC99106">
            <w:pPr>
              <w:widowControl/>
              <w:jc w:val="left"/>
              <w:rPr>
                <w:rFonts w:hint="eastAsia" w:ascii="宋体" w:hAnsi="宋体" w:eastAsia="宋体" w:cs="宋体"/>
                <w:b/>
                <w:bCs/>
                <w:color w:val="auto"/>
                <w:kern w:val="0"/>
                <w:sz w:val="18"/>
                <w:szCs w:val="18"/>
                <w:highlight w:val="none"/>
              </w:rPr>
            </w:pPr>
          </w:p>
        </w:tc>
        <w:tc>
          <w:tcPr>
            <w:tcW w:w="1383" w:type="dxa"/>
            <w:tcBorders>
              <w:top w:val="nil"/>
              <w:left w:val="nil"/>
              <w:bottom w:val="single" w:color="auto" w:sz="4" w:space="0"/>
              <w:right w:val="single" w:color="auto" w:sz="4" w:space="0"/>
            </w:tcBorders>
            <w:noWrap w:val="0"/>
            <w:vAlign w:val="center"/>
          </w:tcPr>
          <w:p w14:paraId="1F2DB26A">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资产总额（Z）</w:t>
            </w:r>
          </w:p>
        </w:tc>
        <w:tc>
          <w:tcPr>
            <w:tcW w:w="1260" w:type="dxa"/>
            <w:tcBorders>
              <w:top w:val="nil"/>
              <w:left w:val="nil"/>
              <w:bottom w:val="single" w:color="auto" w:sz="4" w:space="0"/>
              <w:right w:val="single" w:color="auto" w:sz="4" w:space="0"/>
            </w:tcBorders>
            <w:noWrap w:val="0"/>
            <w:vAlign w:val="center"/>
          </w:tcPr>
          <w:p w14:paraId="3201A9CB">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万元</w:t>
            </w:r>
          </w:p>
        </w:tc>
        <w:tc>
          <w:tcPr>
            <w:tcW w:w="1697" w:type="dxa"/>
            <w:tcBorders>
              <w:top w:val="nil"/>
              <w:left w:val="nil"/>
              <w:bottom w:val="single" w:color="auto" w:sz="4" w:space="0"/>
              <w:right w:val="single" w:color="auto" w:sz="4" w:space="0"/>
            </w:tcBorders>
            <w:noWrap w:val="0"/>
            <w:vAlign w:val="center"/>
          </w:tcPr>
          <w:p w14:paraId="67BDD8D5">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8000≤Z＜120000</w:t>
            </w:r>
          </w:p>
        </w:tc>
        <w:tc>
          <w:tcPr>
            <w:tcW w:w="1631" w:type="dxa"/>
            <w:tcBorders>
              <w:top w:val="nil"/>
              <w:left w:val="nil"/>
              <w:bottom w:val="single" w:color="auto" w:sz="4" w:space="0"/>
              <w:right w:val="single" w:color="auto" w:sz="4" w:space="0"/>
            </w:tcBorders>
            <w:noWrap w:val="0"/>
            <w:vAlign w:val="center"/>
          </w:tcPr>
          <w:p w14:paraId="1CDAEC19">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100≤Z＜8000</w:t>
            </w:r>
          </w:p>
        </w:tc>
        <w:tc>
          <w:tcPr>
            <w:tcW w:w="1406" w:type="dxa"/>
            <w:tcBorders>
              <w:top w:val="nil"/>
              <w:left w:val="nil"/>
              <w:bottom w:val="single" w:color="auto" w:sz="4" w:space="0"/>
              <w:right w:val="single" w:color="auto" w:sz="4" w:space="0"/>
            </w:tcBorders>
            <w:noWrap w:val="0"/>
            <w:vAlign w:val="center"/>
          </w:tcPr>
          <w:p w14:paraId="7984904C">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Z＜100</w:t>
            </w:r>
          </w:p>
        </w:tc>
      </w:tr>
      <w:tr w14:paraId="3A9B6385">
        <w:tblPrEx>
          <w:tblCellMar>
            <w:top w:w="0" w:type="dxa"/>
            <w:left w:w="108" w:type="dxa"/>
            <w:bottom w:w="0" w:type="dxa"/>
            <w:right w:w="108" w:type="dxa"/>
          </w:tblCellMar>
        </w:tblPrEx>
        <w:trPr>
          <w:trHeight w:val="453" w:hRule="atLeast"/>
        </w:trPr>
        <w:tc>
          <w:tcPr>
            <w:tcW w:w="1701" w:type="dxa"/>
            <w:tcBorders>
              <w:top w:val="nil"/>
              <w:left w:val="single" w:color="auto" w:sz="4" w:space="0"/>
              <w:bottom w:val="single" w:color="auto" w:sz="4" w:space="0"/>
              <w:right w:val="single" w:color="auto" w:sz="4" w:space="0"/>
            </w:tcBorders>
            <w:noWrap w:val="0"/>
            <w:vAlign w:val="bottom"/>
          </w:tcPr>
          <w:p w14:paraId="4D7D0F68">
            <w:pPr>
              <w:widowControl/>
              <w:jc w:val="center"/>
              <w:rPr>
                <w:rFonts w:hint="eastAsia" w:ascii="宋体" w:hAnsi="宋体" w:eastAsia="宋体" w:cs="宋体"/>
                <w:b/>
                <w:bCs/>
                <w:color w:val="auto"/>
                <w:kern w:val="0"/>
                <w:sz w:val="18"/>
                <w:szCs w:val="18"/>
                <w:highlight w:val="none"/>
              </w:rPr>
            </w:pPr>
            <w:r>
              <w:rPr>
                <w:rFonts w:hint="eastAsia" w:ascii="宋体" w:hAnsi="宋体" w:eastAsia="宋体" w:cs="宋体"/>
                <w:b/>
                <w:bCs/>
                <w:color w:val="auto"/>
                <w:kern w:val="0"/>
                <w:sz w:val="18"/>
                <w:szCs w:val="18"/>
                <w:highlight w:val="none"/>
              </w:rPr>
              <w:t>其他未列明行业</w:t>
            </w:r>
          </w:p>
        </w:tc>
        <w:tc>
          <w:tcPr>
            <w:tcW w:w="1383" w:type="dxa"/>
            <w:tcBorders>
              <w:top w:val="nil"/>
              <w:left w:val="nil"/>
              <w:bottom w:val="single" w:color="auto" w:sz="4" w:space="0"/>
              <w:right w:val="single" w:color="auto" w:sz="4" w:space="0"/>
            </w:tcBorders>
            <w:noWrap w:val="0"/>
            <w:vAlign w:val="center"/>
          </w:tcPr>
          <w:p w14:paraId="1240439E">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从业人员（X）</w:t>
            </w:r>
          </w:p>
        </w:tc>
        <w:tc>
          <w:tcPr>
            <w:tcW w:w="1260" w:type="dxa"/>
            <w:tcBorders>
              <w:top w:val="nil"/>
              <w:left w:val="nil"/>
              <w:bottom w:val="single" w:color="auto" w:sz="4" w:space="0"/>
              <w:right w:val="single" w:color="auto" w:sz="4" w:space="0"/>
            </w:tcBorders>
            <w:noWrap w:val="0"/>
            <w:vAlign w:val="center"/>
          </w:tcPr>
          <w:p w14:paraId="74FCDA58">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人</w:t>
            </w:r>
          </w:p>
        </w:tc>
        <w:tc>
          <w:tcPr>
            <w:tcW w:w="1697" w:type="dxa"/>
            <w:tcBorders>
              <w:top w:val="nil"/>
              <w:left w:val="nil"/>
              <w:bottom w:val="single" w:color="auto" w:sz="4" w:space="0"/>
              <w:right w:val="single" w:color="auto" w:sz="4" w:space="0"/>
            </w:tcBorders>
            <w:noWrap w:val="0"/>
            <w:vAlign w:val="center"/>
          </w:tcPr>
          <w:p w14:paraId="5797651B">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100≤X＜300</w:t>
            </w:r>
          </w:p>
        </w:tc>
        <w:tc>
          <w:tcPr>
            <w:tcW w:w="1631" w:type="dxa"/>
            <w:tcBorders>
              <w:top w:val="nil"/>
              <w:left w:val="nil"/>
              <w:bottom w:val="single" w:color="auto" w:sz="4" w:space="0"/>
              <w:right w:val="single" w:color="auto" w:sz="4" w:space="0"/>
            </w:tcBorders>
            <w:noWrap w:val="0"/>
            <w:vAlign w:val="center"/>
          </w:tcPr>
          <w:p w14:paraId="203A313A">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10≤X＜100</w:t>
            </w:r>
          </w:p>
        </w:tc>
        <w:tc>
          <w:tcPr>
            <w:tcW w:w="1406" w:type="dxa"/>
            <w:tcBorders>
              <w:top w:val="nil"/>
              <w:left w:val="nil"/>
              <w:bottom w:val="single" w:color="auto" w:sz="4" w:space="0"/>
              <w:right w:val="single" w:color="auto" w:sz="4" w:space="0"/>
            </w:tcBorders>
            <w:noWrap w:val="0"/>
            <w:vAlign w:val="center"/>
          </w:tcPr>
          <w:p w14:paraId="7C8C59B1">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X＜10</w:t>
            </w:r>
          </w:p>
        </w:tc>
      </w:tr>
    </w:tbl>
    <w:p w14:paraId="4A4EC6AF">
      <w:pPr>
        <w:spacing w:line="360" w:lineRule="auto"/>
        <w:ind w:firstLine="525" w:firstLineChars="250"/>
        <w:rPr>
          <w:rFonts w:hint="eastAsia" w:ascii="宋体" w:hAnsi="宋体" w:eastAsia="宋体" w:cs="宋体"/>
          <w:color w:val="auto"/>
          <w:szCs w:val="21"/>
          <w:highlight w:val="none"/>
        </w:rPr>
      </w:pPr>
      <w:r>
        <w:rPr>
          <w:rFonts w:hint="eastAsia" w:ascii="宋体" w:hAnsi="宋体" w:eastAsia="宋体" w:cs="宋体"/>
          <w:color w:val="auto"/>
          <w:szCs w:val="21"/>
          <w:highlight w:val="none"/>
        </w:rPr>
        <w:t>说明：上述标准参照《关于印发中小企业划型标准规定的通知》（工信部联企业[2011]300号），大型、中型和小型企业须同时满足所列指标的下限，否则下划一档；微型企业只须满足所列指标中的一项即可。</w:t>
      </w:r>
    </w:p>
    <w:p w14:paraId="70050EB9">
      <w:pPr>
        <w:widowControl/>
        <w:jc w:val="left"/>
        <w:rPr>
          <w:rFonts w:hint="eastAsia" w:ascii="宋体" w:hAnsi="宋体" w:eastAsia="宋体" w:cs="宋体"/>
          <w:color w:val="auto"/>
          <w:szCs w:val="20"/>
          <w:highlight w:val="none"/>
        </w:rPr>
        <w:sectPr>
          <w:pgSz w:w="11906" w:h="16838"/>
          <w:pgMar w:top="1134" w:right="1134" w:bottom="1134" w:left="1134" w:header="720" w:footer="720" w:gutter="0"/>
          <w:cols w:space="720" w:num="1"/>
          <w:docGrid w:type="lines" w:linePitch="331" w:charSpace="0"/>
        </w:sectPr>
      </w:pPr>
    </w:p>
    <w:p w14:paraId="28D74786">
      <w:pPr>
        <w:pStyle w:val="18"/>
        <w:jc w:val="center"/>
        <w:outlineLvl w:val="0"/>
        <w:rPr>
          <w:rFonts w:hint="eastAsia" w:ascii="宋体" w:hAnsi="宋体" w:eastAsia="宋体" w:cs="宋体"/>
          <w:b/>
          <w:color w:val="auto"/>
          <w:sz w:val="36"/>
          <w:szCs w:val="36"/>
          <w:highlight w:val="none"/>
        </w:rPr>
      </w:pPr>
      <w:bookmarkStart w:id="3" w:name="_Toc8449"/>
      <w:r>
        <w:rPr>
          <w:rFonts w:hint="eastAsia" w:ascii="宋体" w:hAnsi="宋体" w:eastAsia="宋体" w:cs="宋体"/>
          <w:b/>
          <w:color w:val="auto"/>
          <w:sz w:val="36"/>
          <w:highlight w:val="none"/>
        </w:rPr>
        <w:t>第三章投标人须知</w:t>
      </w:r>
      <w:bookmarkEnd w:id="3"/>
    </w:p>
    <w:p w14:paraId="0FAE7A68">
      <w:pPr>
        <w:pStyle w:val="18"/>
        <w:spacing w:line="720" w:lineRule="auto"/>
        <w:jc w:val="center"/>
        <w:outlineLvl w:val="1"/>
        <w:rPr>
          <w:rFonts w:hint="eastAsia" w:ascii="宋体" w:hAnsi="宋体" w:eastAsia="宋体" w:cs="宋体"/>
          <w:b/>
          <w:color w:val="auto"/>
          <w:sz w:val="30"/>
          <w:szCs w:val="30"/>
          <w:highlight w:val="none"/>
        </w:rPr>
      </w:pPr>
      <w:bookmarkStart w:id="4" w:name="_Toc31173"/>
      <w:r>
        <w:rPr>
          <w:rFonts w:hint="eastAsia" w:ascii="宋体" w:hAnsi="宋体" w:eastAsia="宋体" w:cs="宋体"/>
          <w:b/>
          <w:color w:val="auto"/>
          <w:sz w:val="30"/>
          <w:szCs w:val="30"/>
          <w:highlight w:val="none"/>
        </w:rPr>
        <w:t>第一节</w:t>
      </w:r>
      <w:r>
        <w:rPr>
          <w:rFonts w:hint="eastAsia" w:hAnsi="宋体" w:cs="宋体"/>
          <w:b/>
          <w:color w:val="auto"/>
          <w:sz w:val="30"/>
          <w:szCs w:val="30"/>
          <w:highlight w:val="none"/>
          <w:lang w:val="en-US" w:eastAsia="zh-CN"/>
        </w:rPr>
        <w:t xml:space="preserve"> </w:t>
      </w:r>
      <w:r>
        <w:rPr>
          <w:rFonts w:hint="eastAsia" w:ascii="宋体" w:hAnsi="宋体" w:eastAsia="宋体" w:cs="宋体"/>
          <w:b/>
          <w:color w:val="auto"/>
          <w:sz w:val="30"/>
          <w:szCs w:val="30"/>
          <w:highlight w:val="none"/>
        </w:rPr>
        <w:t>投标人须知前附表</w:t>
      </w:r>
      <w:bookmarkEnd w:id="4"/>
    </w:p>
    <w:tbl>
      <w:tblPr>
        <w:tblStyle w:val="35"/>
        <w:tblW w:w="10240" w:type="dxa"/>
        <w:tblInd w:w="11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5"/>
        <w:gridCol w:w="2268"/>
        <w:gridCol w:w="7297"/>
      </w:tblGrid>
      <w:tr w14:paraId="0B39BC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noWrap w:val="0"/>
            <w:vAlign w:val="center"/>
          </w:tcPr>
          <w:p w14:paraId="395E9A1A">
            <w:pPr>
              <w:snapToGrid w:val="0"/>
              <w:spacing w:line="400" w:lineRule="exact"/>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条款号</w:t>
            </w:r>
          </w:p>
        </w:tc>
        <w:tc>
          <w:tcPr>
            <w:tcW w:w="2268" w:type="dxa"/>
            <w:noWrap w:val="0"/>
            <w:vAlign w:val="center"/>
          </w:tcPr>
          <w:p w14:paraId="7929D7DC">
            <w:pPr>
              <w:snapToGrid w:val="0"/>
              <w:spacing w:line="400" w:lineRule="exact"/>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项目内容</w:t>
            </w:r>
          </w:p>
        </w:tc>
        <w:tc>
          <w:tcPr>
            <w:tcW w:w="7297" w:type="dxa"/>
            <w:noWrap w:val="0"/>
            <w:vAlign w:val="center"/>
          </w:tcPr>
          <w:p w14:paraId="0EAE74EE">
            <w:pPr>
              <w:snapToGrid w:val="0"/>
              <w:spacing w:line="400" w:lineRule="exact"/>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编列内容</w:t>
            </w:r>
          </w:p>
        </w:tc>
      </w:tr>
      <w:tr w14:paraId="48ED6B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noWrap w:val="0"/>
            <w:vAlign w:val="center"/>
          </w:tcPr>
          <w:p w14:paraId="5F6927BE">
            <w:pPr>
              <w:spacing w:line="40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6.1</w:t>
            </w:r>
          </w:p>
        </w:tc>
        <w:tc>
          <w:tcPr>
            <w:tcW w:w="2268" w:type="dxa"/>
            <w:noWrap w:val="0"/>
            <w:vAlign w:val="center"/>
          </w:tcPr>
          <w:p w14:paraId="1053D7E2">
            <w:pPr>
              <w:spacing w:line="40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是否接受联合体投标</w:t>
            </w:r>
          </w:p>
        </w:tc>
        <w:tc>
          <w:tcPr>
            <w:tcW w:w="7297" w:type="dxa"/>
            <w:noWrap w:val="0"/>
            <w:vAlign w:val="center"/>
          </w:tcPr>
          <w:p w14:paraId="5EEA0699">
            <w:pPr>
              <w:pStyle w:val="12"/>
              <w:spacing w:line="400" w:lineRule="exact"/>
              <w:rPr>
                <w:rFonts w:hint="eastAsia" w:ascii="宋体" w:hAnsi="宋体" w:eastAsia="宋体" w:cs="宋体"/>
                <w:color w:val="auto"/>
                <w:sz w:val="21"/>
                <w:szCs w:val="21"/>
                <w:highlight w:val="none"/>
              </w:rPr>
            </w:pPr>
            <w:bookmarkStart w:id="5" w:name="PO_3000001866_PM007"/>
            <w:r>
              <w:rPr>
                <w:rFonts w:hint="eastAsia" w:ascii="宋体" w:hAnsi="宋体" w:eastAsia="宋体" w:cs="宋体"/>
                <w:color w:val="auto"/>
                <w:sz w:val="21"/>
                <w:szCs w:val="21"/>
                <w:highlight w:val="none"/>
                <w:lang w:val="en-US" w:eastAsia="zh-CN"/>
              </w:rPr>
              <w:t>不</w:t>
            </w:r>
            <w:r>
              <w:rPr>
                <w:rFonts w:hint="eastAsia" w:ascii="宋体" w:hAnsi="宋体" w:eastAsia="宋体" w:cs="宋体"/>
                <w:color w:val="auto"/>
                <w:sz w:val="21"/>
                <w:szCs w:val="21"/>
                <w:highlight w:val="none"/>
              </w:rPr>
              <w:t>接受联合体投标</w:t>
            </w:r>
            <w:bookmarkEnd w:id="5"/>
          </w:p>
        </w:tc>
      </w:tr>
      <w:tr w14:paraId="650CC1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noWrap w:val="0"/>
            <w:vAlign w:val="center"/>
          </w:tcPr>
          <w:p w14:paraId="7B1DA03C">
            <w:pPr>
              <w:spacing w:line="40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6.2</w:t>
            </w:r>
          </w:p>
        </w:tc>
        <w:tc>
          <w:tcPr>
            <w:tcW w:w="2268" w:type="dxa"/>
            <w:noWrap w:val="0"/>
            <w:vAlign w:val="center"/>
          </w:tcPr>
          <w:p w14:paraId="7D02A670">
            <w:pPr>
              <w:spacing w:line="40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联合体投标要求</w:t>
            </w:r>
          </w:p>
        </w:tc>
        <w:tc>
          <w:tcPr>
            <w:tcW w:w="7297" w:type="dxa"/>
            <w:noWrap w:val="0"/>
            <w:vAlign w:val="center"/>
          </w:tcPr>
          <w:p w14:paraId="2AA4894B">
            <w:pPr>
              <w:pStyle w:val="12"/>
              <w:spacing w:line="40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无</w:t>
            </w:r>
          </w:p>
        </w:tc>
      </w:tr>
      <w:tr w14:paraId="6BD66B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noWrap w:val="0"/>
            <w:vAlign w:val="center"/>
          </w:tcPr>
          <w:p w14:paraId="1A1CA2EB">
            <w:pPr>
              <w:spacing w:line="40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7.2</w:t>
            </w:r>
          </w:p>
        </w:tc>
        <w:tc>
          <w:tcPr>
            <w:tcW w:w="2268" w:type="dxa"/>
            <w:noWrap w:val="0"/>
            <w:vAlign w:val="center"/>
          </w:tcPr>
          <w:p w14:paraId="095E8DF1">
            <w:pPr>
              <w:spacing w:line="40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是否允许转包/分包</w:t>
            </w:r>
          </w:p>
        </w:tc>
        <w:tc>
          <w:tcPr>
            <w:tcW w:w="7297" w:type="dxa"/>
            <w:noWrap w:val="0"/>
            <w:vAlign w:val="center"/>
          </w:tcPr>
          <w:p w14:paraId="7C45D0B8">
            <w:pPr>
              <w:pStyle w:val="12"/>
              <w:spacing w:line="40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不允许转包/分包</w:t>
            </w:r>
          </w:p>
        </w:tc>
      </w:tr>
      <w:tr w14:paraId="453472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noWrap w:val="0"/>
            <w:vAlign w:val="center"/>
          </w:tcPr>
          <w:p w14:paraId="60CCEE87">
            <w:pPr>
              <w:spacing w:line="40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11.4</w:t>
            </w:r>
          </w:p>
        </w:tc>
        <w:tc>
          <w:tcPr>
            <w:tcW w:w="2268" w:type="dxa"/>
            <w:noWrap w:val="0"/>
            <w:vAlign w:val="center"/>
          </w:tcPr>
          <w:p w14:paraId="035309A5">
            <w:pPr>
              <w:spacing w:line="40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媒体发布渠道</w:t>
            </w:r>
          </w:p>
        </w:tc>
        <w:tc>
          <w:tcPr>
            <w:tcW w:w="7297" w:type="dxa"/>
            <w:noWrap w:val="0"/>
            <w:vAlign w:val="center"/>
          </w:tcPr>
          <w:p w14:paraId="416EB7AE">
            <w:pPr>
              <w:spacing w:line="40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与本项目相关的政府采购业务澄清、更正及与之相关的事项将在采购公告中“六、其他补充事宜”中网上查询地址上发布</w:t>
            </w:r>
            <w:r>
              <w:rPr>
                <w:rFonts w:hint="eastAsia" w:ascii="宋体" w:hAnsi="宋体" w:eastAsia="宋体" w:cs="宋体"/>
                <w:color w:val="auto"/>
                <w:kern w:val="0"/>
                <w:sz w:val="21"/>
                <w:szCs w:val="21"/>
                <w:highlight w:val="none"/>
              </w:rPr>
              <w:t>。</w:t>
            </w:r>
          </w:p>
        </w:tc>
      </w:tr>
      <w:tr w14:paraId="6E4728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noWrap w:val="0"/>
            <w:vAlign w:val="center"/>
          </w:tcPr>
          <w:p w14:paraId="70B8F704">
            <w:pPr>
              <w:spacing w:line="40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11.6</w:t>
            </w:r>
          </w:p>
        </w:tc>
        <w:tc>
          <w:tcPr>
            <w:tcW w:w="2268" w:type="dxa"/>
            <w:noWrap w:val="0"/>
            <w:vAlign w:val="center"/>
          </w:tcPr>
          <w:p w14:paraId="6343B8DD">
            <w:pPr>
              <w:spacing w:line="40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是否组织标前答疑会</w:t>
            </w:r>
          </w:p>
        </w:tc>
        <w:tc>
          <w:tcPr>
            <w:tcW w:w="7297" w:type="dxa"/>
            <w:noWrap w:val="0"/>
            <w:vAlign w:val="center"/>
          </w:tcPr>
          <w:p w14:paraId="211C66CB">
            <w:pPr>
              <w:snapToGrid w:val="0"/>
              <w:spacing w:line="400" w:lineRule="exact"/>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☑不组织召开开标前答疑会</w:t>
            </w:r>
          </w:p>
        </w:tc>
      </w:tr>
      <w:tr w14:paraId="73244A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noWrap w:val="0"/>
            <w:vAlign w:val="center"/>
          </w:tcPr>
          <w:p w14:paraId="4BC68C56">
            <w:pPr>
              <w:spacing w:line="40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13.1</w:t>
            </w:r>
          </w:p>
        </w:tc>
        <w:tc>
          <w:tcPr>
            <w:tcW w:w="2268" w:type="dxa"/>
            <w:noWrap w:val="0"/>
            <w:vAlign w:val="center"/>
          </w:tcPr>
          <w:p w14:paraId="40476099">
            <w:pPr>
              <w:snapToGrid w:val="0"/>
              <w:spacing w:line="400" w:lineRule="exact"/>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资格证明文件组成</w:t>
            </w:r>
          </w:p>
        </w:tc>
        <w:tc>
          <w:tcPr>
            <w:tcW w:w="7297" w:type="dxa"/>
            <w:noWrap w:val="0"/>
            <w:vAlign w:val="center"/>
          </w:tcPr>
          <w:p w14:paraId="208B17C2">
            <w:pPr>
              <w:snapToGrid w:val="0"/>
              <w:spacing w:line="400" w:lineRule="exact"/>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1、投标人为法人或者其他组织的，提供营业执照等证明文件（如营业执照或者事业单位法人证书或者</w:t>
            </w:r>
            <w:r>
              <w:rPr>
                <w:rStyle w:val="69"/>
                <w:rFonts w:hint="eastAsia" w:ascii="宋体" w:hAnsi="宋体" w:eastAsia="宋体" w:cs="宋体"/>
                <w:color w:val="auto"/>
                <w:sz w:val="21"/>
                <w:szCs w:val="21"/>
                <w:highlight w:val="none"/>
              </w:rPr>
              <w:t>执业许可证</w:t>
            </w:r>
            <w:r>
              <w:rPr>
                <w:rFonts w:hint="eastAsia" w:ascii="宋体" w:hAnsi="宋体" w:eastAsia="宋体" w:cs="宋体"/>
                <w:color w:val="auto"/>
                <w:sz w:val="21"/>
                <w:szCs w:val="21"/>
                <w:highlight w:val="none"/>
              </w:rPr>
              <w:t>等），投标人为自然人的，提供身份证复印件。（</w:t>
            </w:r>
            <w:r>
              <w:rPr>
                <w:rFonts w:hint="eastAsia" w:ascii="宋体" w:hAnsi="宋体" w:eastAsia="宋体" w:cs="宋体"/>
                <w:b/>
                <w:color w:val="auto"/>
                <w:sz w:val="21"/>
                <w:szCs w:val="21"/>
                <w:highlight w:val="none"/>
              </w:rPr>
              <w:t>必须提供，否则作无效投标处理</w:t>
            </w:r>
            <w:r>
              <w:rPr>
                <w:rFonts w:hint="eastAsia" w:ascii="宋体" w:hAnsi="宋体" w:eastAsia="宋体" w:cs="宋体"/>
                <w:color w:val="auto"/>
                <w:sz w:val="21"/>
                <w:szCs w:val="21"/>
                <w:highlight w:val="none"/>
              </w:rPr>
              <w:t>）</w:t>
            </w:r>
          </w:p>
          <w:p w14:paraId="4536FAB9">
            <w:pPr>
              <w:snapToGrid w:val="0"/>
              <w:spacing w:line="400" w:lineRule="exact"/>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2、投标人依法缴纳税收的相关材料[</w:t>
            </w:r>
            <w:r>
              <w:rPr>
                <w:rFonts w:hint="eastAsia" w:ascii="宋体" w:hAnsi="宋体" w:eastAsia="宋体" w:cs="宋体"/>
                <w:color w:val="auto"/>
                <w:sz w:val="21"/>
                <w:szCs w:val="21"/>
                <w:highlight w:val="none"/>
                <w:u w:val="single"/>
              </w:rPr>
              <w:t>202</w:t>
            </w:r>
            <w:r>
              <w:rPr>
                <w:rFonts w:hint="eastAsia" w:ascii="宋体" w:hAnsi="宋体" w:cs="宋体"/>
                <w:color w:val="auto"/>
                <w:sz w:val="21"/>
                <w:szCs w:val="21"/>
                <w:highlight w:val="none"/>
                <w:u w:val="single"/>
                <w:lang w:val="en-US" w:eastAsia="zh-CN"/>
              </w:rPr>
              <w:t>6</w:t>
            </w:r>
            <w:r>
              <w:rPr>
                <w:rFonts w:hint="eastAsia" w:ascii="宋体" w:hAnsi="宋体" w:eastAsia="宋体" w:cs="宋体"/>
                <w:color w:val="auto"/>
                <w:sz w:val="21"/>
                <w:szCs w:val="21"/>
                <w:highlight w:val="none"/>
              </w:rPr>
              <w:t>年</w:t>
            </w:r>
            <w:r>
              <w:rPr>
                <w:rFonts w:hint="eastAsia" w:ascii="宋体" w:hAnsi="宋体" w:cs="宋体"/>
                <w:color w:val="auto"/>
                <w:sz w:val="21"/>
                <w:szCs w:val="21"/>
                <w:highlight w:val="none"/>
                <w:u w:val="single"/>
                <w:lang w:val="en-US" w:eastAsia="zh-CN"/>
              </w:rPr>
              <w:t>4</w:t>
            </w:r>
            <w:r>
              <w:rPr>
                <w:rFonts w:hint="eastAsia" w:ascii="宋体" w:hAnsi="宋体" w:eastAsia="宋体" w:cs="宋体"/>
                <w:color w:val="auto"/>
                <w:sz w:val="21"/>
                <w:szCs w:val="21"/>
                <w:highlight w:val="none"/>
              </w:rPr>
              <w:t>月至</w:t>
            </w:r>
            <w:r>
              <w:rPr>
                <w:rFonts w:hint="eastAsia" w:ascii="宋体" w:hAnsi="宋体" w:eastAsia="宋体" w:cs="宋体"/>
                <w:color w:val="auto"/>
                <w:sz w:val="21"/>
                <w:szCs w:val="21"/>
                <w:highlight w:val="none"/>
                <w:u w:val="single"/>
              </w:rPr>
              <w:t>202</w:t>
            </w:r>
            <w:r>
              <w:rPr>
                <w:rFonts w:hint="eastAsia" w:ascii="宋体" w:hAnsi="宋体" w:cs="宋体"/>
                <w:color w:val="auto"/>
                <w:sz w:val="21"/>
                <w:szCs w:val="21"/>
                <w:highlight w:val="none"/>
                <w:u w:val="single"/>
                <w:lang w:val="en-US" w:eastAsia="zh-CN"/>
              </w:rPr>
              <w:t>6</w:t>
            </w:r>
            <w:r>
              <w:rPr>
                <w:rFonts w:hint="eastAsia" w:ascii="宋体" w:hAnsi="宋体" w:eastAsia="宋体" w:cs="宋体"/>
                <w:color w:val="auto"/>
                <w:sz w:val="21"/>
                <w:szCs w:val="21"/>
                <w:highlight w:val="none"/>
              </w:rPr>
              <w:t>年</w:t>
            </w:r>
            <w:r>
              <w:rPr>
                <w:rFonts w:hint="eastAsia" w:ascii="宋体" w:hAnsi="宋体" w:cs="宋体"/>
                <w:color w:val="auto"/>
                <w:sz w:val="21"/>
                <w:szCs w:val="21"/>
                <w:highlight w:val="none"/>
                <w:u w:val="single"/>
                <w:lang w:val="en-US" w:eastAsia="zh-CN"/>
              </w:rPr>
              <w:t>9</w:t>
            </w:r>
            <w:r>
              <w:rPr>
                <w:rFonts w:hint="eastAsia" w:ascii="宋体" w:hAnsi="宋体" w:eastAsia="宋体" w:cs="宋体"/>
                <w:color w:val="auto"/>
                <w:sz w:val="21"/>
                <w:szCs w:val="21"/>
                <w:highlight w:val="none"/>
              </w:rPr>
              <w:t>月]期间连续</w:t>
            </w:r>
            <w:r>
              <w:rPr>
                <w:rFonts w:hint="eastAsia" w:ascii="宋体" w:hAnsi="宋体" w:eastAsia="宋体" w:cs="宋体"/>
                <w:color w:val="auto"/>
                <w:sz w:val="21"/>
                <w:szCs w:val="21"/>
                <w:highlight w:val="none"/>
                <w:u w:val="single"/>
              </w:rPr>
              <w:t>3</w:t>
            </w:r>
            <w:r>
              <w:rPr>
                <w:rFonts w:hint="eastAsia" w:ascii="宋体" w:hAnsi="宋体" w:eastAsia="宋体" w:cs="宋体"/>
                <w:color w:val="auto"/>
                <w:sz w:val="21"/>
                <w:szCs w:val="21"/>
                <w:highlight w:val="none"/>
              </w:rPr>
              <w:t>个月的依法缴纳税收的凭据复印件；依法免税的供应商，必须提供相应文件证明其依法免税。从取得营业执照时间起到投标文件提交截止时间为止不足要求月数的，只需提供从取得营业执照起的依法缴纳税收相应证明文件）。（</w:t>
            </w:r>
            <w:r>
              <w:rPr>
                <w:rFonts w:hint="eastAsia" w:ascii="宋体" w:hAnsi="宋体" w:eastAsia="宋体" w:cs="宋体"/>
                <w:b/>
                <w:color w:val="auto"/>
                <w:sz w:val="21"/>
                <w:szCs w:val="21"/>
                <w:highlight w:val="none"/>
              </w:rPr>
              <w:t>必须提供，否则作无效投标处理</w:t>
            </w:r>
            <w:r>
              <w:rPr>
                <w:rFonts w:hint="eastAsia" w:ascii="宋体" w:hAnsi="宋体" w:eastAsia="宋体" w:cs="宋体"/>
                <w:color w:val="auto"/>
                <w:sz w:val="21"/>
                <w:szCs w:val="21"/>
                <w:highlight w:val="none"/>
              </w:rPr>
              <w:t>）</w:t>
            </w:r>
          </w:p>
          <w:p w14:paraId="79352A88">
            <w:pPr>
              <w:snapToGrid w:val="0"/>
              <w:spacing w:line="400" w:lineRule="exact"/>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3、投标人依法缴纳社会保障资金的相关材料[</w:t>
            </w:r>
            <w:r>
              <w:rPr>
                <w:rFonts w:hint="eastAsia" w:ascii="宋体" w:hAnsi="宋体" w:eastAsia="宋体" w:cs="宋体"/>
                <w:color w:val="auto"/>
                <w:sz w:val="21"/>
                <w:szCs w:val="21"/>
                <w:highlight w:val="none"/>
                <w:u w:val="single"/>
              </w:rPr>
              <w:t>202</w:t>
            </w:r>
            <w:r>
              <w:rPr>
                <w:rFonts w:hint="eastAsia" w:ascii="宋体" w:hAnsi="宋体" w:cs="宋体"/>
                <w:color w:val="auto"/>
                <w:sz w:val="21"/>
                <w:szCs w:val="21"/>
                <w:highlight w:val="none"/>
                <w:u w:val="single"/>
                <w:lang w:val="en-US" w:eastAsia="zh-CN"/>
              </w:rPr>
              <w:t>6</w:t>
            </w:r>
            <w:r>
              <w:rPr>
                <w:rFonts w:hint="eastAsia" w:ascii="宋体" w:hAnsi="宋体" w:eastAsia="宋体" w:cs="宋体"/>
                <w:color w:val="auto"/>
                <w:sz w:val="21"/>
                <w:szCs w:val="21"/>
                <w:highlight w:val="none"/>
              </w:rPr>
              <w:t>年</w:t>
            </w:r>
            <w:r>
              <w:rPr>
                <w:rFonts w:hint="eastAsia" w:ascii="宋体" w:hAnsi="宋体" w:cs="宋体"/>
                <w:color w:val="auto"/>
                <w:sz w:val="21"/>
                <w:szCs w:val="21"/>
                <w:highlight w:val="none"/>
                <w:u w:val="single"/>
                <w:lang w:val="en-US" w:eastAsia="zh-CN"/>
              </w:rPr>
              <w:t>4</w:t>
            </w:r>
            <w:r>
              <w:rPr>
                <w:rFonts w:hint="eastAsia" w:ascii="宋体" w:hAnsi="宋体" w:eastAsia="宋体" w:cs="宋体"/>
                <w:color w:val="auto"/>
                <w:sz w:val="21"/>
                <w:szCs w:val="21"/>
                <w:highlight w:val="none"/>
              </w:rPr>
              <w:t>月至</w:t>
            </w:r>
            <w:r>
              <w:rPr>
                <w:rFonts w:hint="eastAsia" w:ascii="宋体" w:hAnsi="宋体" w:eastAsia="宋体" w:cs="宋体"/>
                <w:color w:val="auto"/>
                <w:sz w:val="21"/>
                <w:szCs w:val="21"/>
                <w:highlight w:val="none"/>
                <w:u w:val="single"/>
              </w:rPr>
              <w:t>202</w:t>
            </w:r>
            <w:r>
              <w:rPr>
                <w:rFonts w:hint="eastAsia" w:ascii="宋体" w:hAnsi="宋体" w:cs="宋体"/>
                <w:color w:val="auto"/>
                <w:sz w:val="21"/>
                <w:szCs w:val="21"/>
                <w:highlight w:val="none"/>
                <w:u w:val="single"/>
                <w:lang w:val="en-US" w:eastAsia="zh-CN"/>
              </w:rPr>
              <w:t>6</w:t>
            </w:r>
            <w:r>
              <w:rPr>
                <w:rFonts w:hint="eastAsia" w:ascii="宋体" w:hAnsi="宋体" w:eastAsia="宋体" w:cs="宋体"/>
                <w:color w:val="auto"/>
                <w:sz w:val="21"/>
                <w:szCs w:val="21"/>
                <w:highlight w:val="none"/>
              </w:rPr>
              <w:t>年</w:t>
            </w:r>
            <w:r>
              <w:rPr>
                <w:rFonts w:hint="eastAsia" w:ascii="宋体" w:hAnsi="宋体" w:cs="宋体"/>
                <w:color w:val="auto"/>
                <w:sz w:val="21"/>
                <w:szCs w:val="21"/>
                <w:highlight w:val="none"/>
                <w:u w:val="single"/>
                <w:lang w:val="en-US" w:eastAsia="zh-CN"/>
              </w:rPr>
              <w:t>9</w:t>
            </w:r>
            <w:r>
              <w:rPr>
                <w:rFonts w:hint="eastAsia" w:ascii="宋体" w:hAnsi="宋体" w:eastAsia="宋体" w:cs="宋体"/>
                <w:color w:val="auto"/>
                <w:sz w:val="21"/>
                <w:szCs w:val="21"/>
                <w:highlight w:val="none"/>
              </w:rPr>
              <w:t>月]期间连续</w:t>
            </w:r>
            <w:r>
              <w:rPr>
                <w:rFonts w:hint="eastAsia" w:ascii="宋体" w:hAnsi="宋体" w:eastAsia="宋体" w:cs="宋体"/>
                <w:color w:val="auto"/>
                <w:sz w:val="21"/>
                <w:szCs w:val="21"/>
                <w:highlight w:val="none"/>
                <w:u w:val="single"/>
              </w:rPr>
              <w:t>3</w:t>
            </w:r>
            <w:r>
              <w:rPr>
                <w:rFonts w:hint="eastAsia" w:ascii="宋体" w:hAnsi="宋体" w:eastAsia="宋体" w:cs="宋体"/>
                <w:color w:val="auto"/>
                <w:sz w:val="21"/>
                <w:szCs w:val="21"/>
                <w:highlight w:val="none"/>
              </w:rPr>
              <w:t>个月的依法缴纳社会保障资金的缴费凭证复印件；依法不需要缴纳社会保障资金的供应商，必须提供相应文件证明不需要缴纳社会保障资金。从取得营业执照时间起到投标文件提交截止时间为止不足要求月数的只需提供从取得营业执照起的依法缴纳社会保障资金的相应证明文件。（</w:t>
            </w:r>
            <w:r>
              <w:rPr>
                <w:rFonts w:hint="eastAsia" w:ascii="宋体" w:hAnsi="宋体" w:eastAsia="宋体" w:cs="宋体"/>
                <w:b/>
                <w:color w:val="auto"/>
                <w:sz w:val="21"/>
                <w:szCs w:val="21"/>
                <w:highlight w:val="none"/>
              </w:rPr>
              <w:t>必须提供，否则作无效投标处理</w:t>
            </w:r>
            <w:r>
              <w:rPr>
                <w:rFonts w:hint="eastAsia" w:ascii="宋体" w:hAnsi="宋体" w:eastAsia="宋体" w:cs="宋体"/>
                <w:color w:val="auto"/>
                <w:sz w:val="21"/>
                <w:szCs w:val="21"/>
                <w:highlight w:val="none"/>
              </w:rPr>
              <w:t>）</w:t>
            </w:r>
          </w:p>
          <w:p w14:paraId="35BFC1ED">
            <w:pPr>
              <w:snapToGrid w:val="0"/>
              <w:spacing w:line="400" w:lineRule="exact"/>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4、投标人财务状况报告：[</w:t>
            </w:r>
            <w:r>
              <w:rPr>
                <w:rFonts w:hint="eastAsia" w:ascii="宋体" w:hAnsi="宋体" w:eastAsia="宋体" w:cs="宋体"/>
                <w:color w:val="auto"/>
                <w:sz w:val="21"/>
                <w:szCs w:val="21"/>
                <w:highlight w:val="none"/>
                <w:u w:val="single"/>
              </w:rPr>
              <w:t>202</w:t>
            </w:r>
            <w:r>
              <w:rPr>
                <w:rFonts w:hint="eastAsia" w:ascii="宋体" w:hAnsi="宋体" w:cs="宋体"/>
                <w:color w:val="auto"/>
                <w:sz w:val="21"/>
                <w:szCs w:val="21"/>
                <w:highlight w:val="none"/>
                <w:u w:val="single"/>
                <w:lang w:val="en-US" w:eastAsia="zh-CN"/>
              </w:rPr>
              <w:t>5</w:t>
            </w:r>
            <w:r>
              <w:rPr>
                <w:rFonts w:hint="eastAsia" w:ascii="宋体" w:hAnsi="宋体" w:eastAsia="宋体" w:cs="宋体"/>
                <w:color w:val="auto"/>
                <w:sz w:val="21"/>
                <w:szCs w:val="21"/>
                <w:highlight w:val="none"/>
              </w:rPr>
              <w:t>年]财务状况报告复印件；供应商成立不满一年的应</w:t>
            </w:r>
            <w:r>
              <w:rPr>
                <w:rFonts w:hint="eastAsia" w:ascii="宋体" w:hAnsi="宋体" w:cs="宋体"/>
                <w:color w:val="auto"/>
                <w:sz w:val="21"/>
                <w:szCs w:val="21"/>
                <w:highlight w:val="none"/>
                <w:lang w:val="en-US" w:eastAsia="zh-CN"/>
              </w:rPr>
              <w:t>当</w:t>
            </w:r>
            <w:r>
              <w:rPr>
                <w:rFonts w:hint="eastAsia" w:ascii="宋体" w:hAnsi="宋体" w:eastAsia="宋体" w:cs="宋体"/>
                <w:color w:val="auto"/>
                <w:sz w:val="21"/>
                <w:szCs w:val="21"/>
                <w:highlight w:val="none"/>
              </w:rPr>
              <w:t>提供截标之日上一个月的财务状况报告复印件。（上述财务状况报告包括：供应商执行《企业会计准则》的，提供资产负债表、利润表、现金流量表、所有者权益变动表及其附注[</w:t>
            </w:r>
            <w:r>
              <w:rPr>
                <w:rFonts w:hint="eastAsia" w:ascii="宋体" w:hAnsi="宋体" w:eastAsia="宋体" w:cs="宋体"/>
                <w:color w:val="auto"/>
                <w:sz w:val="21"/>
                <w:szCs w:val="21"/>
                <w:highlight w:val="none"/>
                <w:lang w:val="en-US" w:eastAsia="zh-CN"/>
              </w:rPr>
              <w:t>如有</w:t>
            </w:r>
            <w:r>
              <w:rPr>
                <w:rFonts w:hint="eastAsia" w:ascii="宋体" w:hAnsi="宋体" w:eastAsia="宋体" w:cs="宋体"/>
                <w:color w:val="auto"/>
                <w:sz w:val="21"/>
                <w:szCs w:val="21"/>
                <w:highlight w:val="none"/>
              </w:rPr>
              <w:t>]（以下称“四表一注”）；供应商执行《小企业会计准则》的，提供资产负债表、利润表、现金流量表及其附注[</w:t>
            </w:r>
            <w:r>
              <w:rPr>
                <w:rFonts w:hint="eastAsia" w:ascii="宋体" w:hAnsi="宋体" w:eastAsia="宋体" w:cs="宋体"/>
                <w:color w:val="auto"/>
                <w:sz w:val="21"/>
                <w:szCs w:val="21"/>
                <w:highlight w:val="none"/>
                <w:lang w:val="en-US" w:eastAsia="zh-CN"/>
              </w:rPr>
              <w:t>如有</w:t>
            </w:r>
            <w:r>
              <w:rPr>
                <w:rFonts w:hint="eastAsia" w:ascii="宋体" w:hAnsi="宋体" w:eastAsia="宋体" w:cs="宋体"/>
                <w:color w:val="auto"/>
                <w:sz w:val="21"/>
                <w:szCs w:val="21"/>
                <w:highlight w:val="none"/>
              </w:rPr>
              <w:t>]（以下称“三表一注”）；供应商执行《政府会计制度》的，提供资产负债表、收入费用表和净资产变动表及其附注[</w:t>
            </w:r>
            <w:r>
              <w:rPr>
                <w:rFonts w:hint="eastAsia" w:ascii="宋体" w:hAnsi="宋体" w:eastAsia="宋体" w:cs="宋体"/>
                <w:color w:val="auto"/>
                <w:sz w:val="21"/>
                <w:szCs w:val="21"/>
                <w:highlight w:val="none"/>
                <w:lang w:val="en-US" w:eastAsia="zh-CN"/>
              </w:rPr>
              <w:t>如有</w:t>
            </w:r>
            <w:r>
              <w:rPr>
                <w:rFonts w:hint="eastAsia" w:ascii="宋体" w:hAnsi="宋体" w:eastAsia="宋体" w:cs="宋体"/>
                <w:color w:val="auto"/>
                <w:sz w:val="21"/>
                <w:szCs w:val="21"/>
                <w:highlight w:val="none"/>
              </w:rPr>
              <w:t>])。（</w:t>
            </w:r>
            <w:r>
              <w:rPr>
                <w:rFonts w:hint="eastAsia" w:ascii="宋体" w:hAnsi="宋体" w:eastAsia="宋体" w:cs="宋体"/>
                <w:b/>
                <w:color w:val="auto"/>
                <w:sz w:val="21"/>
                <w:szCs w:val="21"/>
                <w:highlight w:val="none"/>
              </w:rPr>
              <w:t>必须提供，否则作无效投标处理</w:t>
            </w:r>
            <w:r>
              <w:rPr>
                <w:rFonts w:hint="eastAsia" w:ascii="宋体" w:hAnsi="宋体" w:eastAsia="宋体" w:cs="宋体"/>
                <w:color w:val="auto"/>
                <w:sz w:val="21"/>
                <w:szCs w:val="21"/>
                <w:highlight w:val="none"/>
              </w:rPr>
              <w:t>）</w:t>
            </w:r>
          </w:p>
          <w:p w14:paraId="3E32E3A5">
            <w:pPr>
              <w:snapToGrid w:val="0"/>
              <w:spacing w:line="400" w:lineRule="exact"/>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5、投标人直接控股、管理关系信息表。（</w:t>
            </w:r>
            <w:r>
              <w:rPr>
                <w:rFonts w:hint="eastAsia" w:ascii="宋体" w:hAnsi="宋体" w:eastAsia="宋体" w:cs="宋体"/>
                <w:b/>
                <w:color w:val="auto"/>
                <w:sz w:val="21"/>
                <w:szCs w:val="21"/>
                <w:highlight w:val="none"/>
              </w:rPr>
              <w:t>必须提供，否则作无效投标处理</w:t>
            </w:r>
            <w:r>
              <w:rPr>
                <w:rFonts w:hint="eastAsia" w:ascii="宋体" w:hAnsi="宋体" w:eastAsia="宋体" w:cs="宋体"/>
                <w:color w:val="auto"/>
                <w:sz w:val="21"/>
                <w:szCs w:val="21"/>
                <w:highlight w:val="none"/>
              </w:rPr>
              <w:t>）</w:t>
            </w:r>
          </w:p>
          <w:p w14:paraId="4457D428">
            <w:pPr>
              <w:numPr>
                <w:ilvl w:val="0"/>
                <w:numId w:val="2"/>
              </w:numPr>
              <w:snapToGrid w:val="0"/>
              <w:spacing w:line="400" w:lineRule="exact"/>
              <w:ind w:left="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6、投标资格声明。（</w:t>
            </w:r>
            <w:r>
              <w:rPr>
                <w:rFonts w:hint="eastAsia" w:ascii="宋体" w:hAnsi="宋体" w:eastAsia="宋体" w:cs="宋体"/>
                <w:b/>
                <w:color w:val="auto"/>
                <w:sz w:val="21"/>
                <w:szCs w:val="21"/>
                <w:highlight w:val="none"/>
              </w:rPr>
              <w:t>必须提供，否则作无效投标处理</w:t>
            </w:r>
            <w:r>
              <w:rPr>
                <w:rFonts w:hint="eastAsia" w:ascii="宋体" w:hAnsi="宋体" w:eastAsia="宋体" w:cs="宋体"/>
                <w:color w:val="auto"/>
                <w:sz w:val="21"/>
                <w:szCs w:val="21"/>
                <w:highlight w:val="none"/>
              </w:rPr>
              <w:t>）</w:t>
            </w:r>
          </w:p>
          <w:p w14:paraId="00984035">
            <w:pPr>
              <w:snapToGrid w:val="0"/>
              <w:spacing w:line="400" w:lineRule="exact"/>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7、联合体协议书。（</w:t>
            </w:r>
            <w:r>
              <w:rPr>
                <w:rFonts w:hint="eastAsia" w:ascii="宋体" w:hAnsi="宋体" w:eastAsia="宋体" w:cs="宋体"/>
                <w:b/>
                <w:color w:val="auto"/>
                <w:sz w:val="21"/>
                <w:szCs w:val="21"/>
                <w:highlight w:val="none"/>
              </w:rPr>
              <w:t>联合体投标时必须提供，否则作无效投标处理</w:t>
            </w:r>
            <w:r>
              <w:rPr>
                <w:rFonts w:hint="eastAsia" w:ascii="宋体" w:hAnsi="宋体" w:eastAsia="宋体" w:cs="宋体"/>
                <w:color w:val="auto"/>
                <w:sz w:val="21"/>
                <w:szCs w:val="21"/>
                <w:highlight w:val="none"/>
              </w:rPr>
              <w:t>）</w:t>
            </w:r>
          </w:p>
          <w:p w14:paraId="0221EE90">
            <w:pPr>
              <w:spacing w:line="400" w:lineRule="exact"/>
              <w:rPr>
                <w:rFonts w:hint="eastAsia" w:ascii="宋体" w:hAnsi="宋体" w:eastAsia="宋体" w:cs="宋体"/>
                <w:b/>
                <w:bCs/>
                <w:color w:val="auto"/>
                <w:szCs w:val="21"/>
                <w:highlight w:val="none"/>
                <w:lang w:eastAsia="zh-CN"/>
              </w:rPr>
            </w:pPr>
            <w:r>
              <w:rPr>
                <w:rFonts w:hint="eastAsia" w:ascii="宋体" w:hAnsi="宋体" w:eastAsia="宋体" w:cs="宋体"/>
                <w:b w:val="0"/>
                <w:bCs w:val="0"/>
                <w:color w:val="auto"/>
                <w:sz w:val="21"/>
                <w:szCs w:val="21"/>
                <w:highlight w:val="none"/>
              </w:rPr>
              <w:t>8、</w:t>
            </w:r>
            <w:r>
              <w:rPr>
                <w:rFonts w:hint="eastAsia" w:ascii="宋体" w:hAnsi="宋体" w:eastAsia="宋体" w:cs="宋体"/>
                <w:b w:val="0"/>
                <w:bCs w:val="0"/>
                <w:color w:val="auto"/>
                <w:kern w:val="0"/>
                <w:szCs w:val="21"/>
                <w:highlight w:val="none"/>
              </w:rPr>
              <w:t>《中小企业声明函》或《残疾人福利性单位声明函》或监狱企业证明（由省级以上监狱管理局、戒毒管理局（含新疆生产建设兵团）出具的属于监狱企业的证明文件）</w:t>
            </w:r>
            <w:r>
              <w:rPr>
                <w:rFonts w:hint="eastAsia" w:ascii="宋体" w:hAnsi="宋体" w:eastAsia="宋体" w:cs="宋体"/>
                <w:b/>
                <w:bCs/>
                <w:color w:val="auto"/>
                <w:szCs w:val="21"/>
                <w:highlight w:val="none"/>
              </w:rPr>
              <w:t>（</w:t>
            </w:r>
            <w:r>
              <w:rPr>
                <w:rFonts w:hint="eastAsia" w:ascii="宋体" w:hAnsi="宋体" w:eastAsia="宋体" w:cs="宋体"/>
                <w:b/>
                <w:bCs/>
                <w:color w:val="auto"/>
                <w:szCs w:val="21"/>
                <w:highlight w:val="none"/>
                <w:lang w:val="en-US" w:eastAsia="zh-CN"/>
              </w:rPr>
              <w:t>分标2</w:t>
            </w:r>
            <w:r>
              <w:rPr>
                <w:rFonts w:hint="eastAsia" w:ascii="宋体" w:hAnsi="宋体" w:eastAsia="宋体" w:cs="宋体"/>
                <w:b/>
                <w:bCs/>
                <w:color w:val="auto"/>
                <w:szCs w:val="21"/>
                <w:highlight w:val="none"/>
              </w:rPr>
              <w:t>必须提供，否则作无效投标处理</w:t>
            </w:r>
            <w:r>
              <w:rPr>
                <w:rFonts w:hint="eastAsia" w:ascii="宋体" w:hAnsi="宋体" w:eastAsia="宋体" w:cs="宋体"/>
                <w:b/>
                <w:bCs/>
                <w:color w:val="auto"/>
                <w:szCs w:val="21"/>
                <w:highlight w:val="none"/>
                <w:lang w:eastAsia="zh-CN"/>
              </w:rPr>
              <w:t>）</w:t>
            </w:r>
          </w:p>
          <w:p w14:paraId="295D87D7">
            <w:pPr>
              <w:spacing w:line="40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9、除招标文件规定必须提供以外，投标人认为需要提供的其他证明材料。</w:t>
            </w:r>
          </w:p>
          <w:p w14:paraId="6032D0E3">
            <w:pPr>
              <w:snapToGrid w:val="0"/>
              <w:spacing w:line="400" w:lineRule="exact"/>
              <w:ind w:firstLine="422" w:firstLineChars="200"/>
              <w:jc w:val="left"/>
              <w:rPr>
                <w:rFonts w:hint="eastAsia" w:ascii="宋体" w:hAnsi="宋体" w:eastAsia="宋体" w:cs="宋体"/>
                <w:b/>
                <w:color w:val="auto"/>
                <w:sz w:val="21"/>
                <w:szCs w:val="21"/>
                <w:highlight w:val="none"/>
              </w:rPr>
            </w:pPr>
            <w:r>
              <w:rPr>
                <w:rFonts w:hint="eastAsia" w:ascii="宋体" w:hAnsi="宋体" w:eastAsia="宋体" w:cs="宋体"/>
                <w:b/>
                <w:bCs/>
                <w:color w:val="auto"/>
                <w:sz w:val="21"/>
                <w:szCs w:val="21"/>
                <w:highlight w:val="none"/>
              </w:rPr>
              <w:t>注：1.以上标明“必须提供”的材料</w:t>
            </w:r>
            <w:r>
              <w:rPr>
                <w:rFonts w:hint="eastAsia" w:ascii="宋体" w:hAnsi="宋体" w:eastAsia="宋体" w:cs="宋体"/>
                <w:b/>
                <w:color w:val="auto"/>
                <w:sz w:val="21"/>
                <w:szCs w:val="21"/>
                <w:highlight w:val="none"/>
              </w:rPr>
              <w:t>属于复印件的扫描件的</w:t>
            </w:r>
            <w:r>
              <w:rPr>
                <w:rFonts w:hint="eastAsia" w:ascii="宋体" w:hAnsi="宋体" w:eastAsia="宋体" w:cs="宋体"/>
                <w:b/>
                <w:bCs/>
                <w:color w:val="auto"/>
                <w:sz w:val="21"/>
                <w:szCs w:val="21"/>
                <w:highlight w:val="none"/>
              </w:rPr>
              <w:t>，必须加盖投标人电子公章，否则</w:t>
            </w:r>
            <w:r>
              <w:rPr>
                <w:rFonts w:hint="eastAsia" w:ascii="宋体" w:hAnsi="宋体" w:eastAsia="宋体" w:cs="宋体"/>
                <w:b/>
                <w:color w:val="auto"/>
                <w:sz w:val="21"/>
                <w:szCs w:val="21"/>
                <w:highlight w:val="none"/>
              </w:rPr>
              <w:t>作无效投标处理。</w:t>
            </w:r>
          </w:p>
          <w:p w14:paraId="7EEBDFAA">
            <w:pPr>
              <w:snapToGrid w:val="0"/>
              <w:spacing w:line="400" w:lineRule="exact"/>
              <w:ind w:firstLine="422" w:firstLineChars="200"/>
              <w:jc w:val="left"/>
              <w:rPr>
                <w:rFonts w:hint="eastAsia" w:ascii="宋体" w:hAnsi="宋体" w:eastAsia="宋体" w:cs="宋体"/>
                <w:b/>
                <w:bCs/>
                <w:color w:val="auto"/>
                <w:sz w:val="21"/>
                <w:szCs w:val="21"/>
                <w:highlight w:val="none"/>
              </w:rPr>
            </w:pPr>
            <w:r>
              <w:rPr>
                <w:rFonts w:hint="eastAsia" w:ascii="宋体" w:hAnsi="宋体" w:eastAsia="宋体" w:cs="宋体"/>
                <w:b/>
                <w:color w:val="auto"/>
                <w:sz w:val="21"/>
                <w:szCs w:val="21"/>
                <w:highlight w:val="none"/>
              </w:rPr>
              <w:t>2</w:t>
            </w:r>
            <w:r>
              <w:rPr>
                <w:rFonts w:hint="eastAsia" w:ascii="宋体" w:hAnsi="宋体" w:eastAsia="宋体" w:cs="宋体"/>
                <w:b/>
                <w:bCs/>
                <w:color w:val="auto"/>
                <w:sz w:val="21"/>
                <w:szCs w:val="21"/>
                <w:highlight w:val="none"/>
              </w:rPr>
              <w:t>.联合体投标时，第1-5项资格证明文件联合体各方均必须分别提供，联合体各方分别盖章和签字，否则投标文件按无效响应处理。</w:t>
            </w:r>
          </w:p>
        </w:tc>
      </w:tr>
      <w:tr w14:paraId="76FF84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noWrap w:val="0"/>
            <w:vAlign w:val="center"/>
          </w:tcPr>
          <w:p w14:paraId="1049CA8E">
            <w:pPr>
              <w:spacing w:line="400" w:lineRule="exact"/>
              <w:rPr>
                <w:rFonts w:hint="eastAsia" w:ascii="宋体" w:hAnsi="宋体" w:eastAsia="宋体" w:cs="宋体"/>
                <w:color w:val="auto"/>
                <w:sz w:val="21"/>
                <w:szCs w:val="21"/>
                <w:highlight w:val="none"/>
              </w:rPr>
            </w:pPr>
          </w:p>
        </w:tc>
        <w:tc>
          <w:tcPr>
            <w:tcW w:w="2268" w:type="dxa"/>
            <w:noWrap w:val="0"/>
            <w:vAlign w:val="center"/>
          </w:tcPr>
          <w:p w14:paraId="17DA92E9">
            <w:pPr>
              <w:snapToGrid w:val="0"/>
              <w:spacing w:line="400" w:lineRule="exact"/>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商务文件组成</w:t>
            </w:r>
          </w:p>
          <w:p w14:paraId="4E81587F">
            <w:pPr>
              <w:spacing w:line="400" w:lineRule="exact"/>
              <w:rPr>
                <w:rFonts w:hint="eastAsia" w:ascii="宋体" w:hAnsi="宋体" w:eastAsia="宋体" w:cs="宋体"/>
                <w:color w:val="auto"/>
                <w:sz w:val="21"/>
                <w:szCs w:val="21"/>
                <w:highlight w:val="none"/>
              </w:rPr>
            </w:pPr>
          </w:p>
        </w:tc>
        <w:tc>
          <w:tcPr>
            <w:tcW w:w="7297" w:type="dxa"/>
            <w:noWrap w:val="0"/>
            <w:vAlign w:val="center"/>
          </w:tcPr>
          <w:p w14:paraId="3BC78EB3">
            <w:pPr>
              <w:snapToGrid w:val="0"/>
              <w:spacing w:line="400" w:lineRule="exact"/>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1、无串通投标行为的承诺函；（</w:t>
            </w:r>
            <w:r>
              <w:rPr>
                <w:rFonts w:hint="eastAsia" w:ascii="宋体" w:hAnsi="宋体" w:eastAsia="宋体" w:cs="宋体"/>
                <w:b/>
                <w:color w:val="auto"/>
                <w:sz w:val="21"/>
                <w:szCs w:val="21"/>
                <w:highlight w:val="none"/>
              </w:rPr>
              <w:t>必须提供，否则作无效投标处理</w:t>
            </w:r>
            <w:r>
              <w:rPr>
                <w:rFonts w:hint="eastAsia" w:ascii="宋体" w:hAnsi="宋体" w:eastAsia="宋体" w:cs="宋体"/>
                <w:color w:val="auto"/>
                <w:sz w:val="21"/>
                <w:szCs w:val="21"/>
                <w:highlight w:val="none"/>
              </w:rPr>
              <w:t>）</w:t>
            </w:r>
          </w:p>
          <w:p w14:paraId="0F846D9A">
            <w:pPr>
              <w:snapToGrid w:val="0"/>
              <w:spacing w:line="400" w:lineRule="exact"/>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2、法定代表人身份证明及法定代表人有效身份证正反面复印件；（</w:t>
            </w:r>
            <w:r>
              <w:rPr>
                <w:rFonts w:hint="eastAsia" w:ascii="宋体" w:hAnsi="宋体" w:eastAsia="宋体" w:cs="宋体"/>
                <w:b/>
                <w:bCs/>
                <w:color w:val="auto"/>
                <w:sz w:val="21"/>
                <w:szCs w:val="21"/>
                <w:highlight w:val="none"/>
              </w:rPr>
              <w:t>除自然人投标外</w:t>
            </w:r>
            <w:r>
              <w:rPr>
                <w:rFonts w:hint="eastAsia" w:ascii="宋体" w:hAnsi="宋体" w:eastAsia="宋体" w:cs="宋体"/>
                <w:b/>
                <w:color w:val="auto"/>
                <w:sz w:val="21"/>
                <w:szCs w:val="21"/>
                <w:highlight w:val="none"/>
              </w:rPr>
              <w:t>必须提供，否则作无效投标处理</w:t>
            </w:r>
            <w:r>
              <w:rPr>
                <w:rFonts w:hint="eastAsia" w:ascii="宋体" w:hAnsi="宋体" w:eastAsia="宋体" w:cs="宋体"/>
                <w:color w:val="auto"/>
                <w:sz w:val="21"/>
                <w:szCs w:val="21"/>
                <w:highlight w:val="none"/>
              </w:rPr>
              <w:t>）</w:t>
            </w:r>
          </w:p>
          <w:p w14:paraId="645F4355">
            <w:pPr>
              <w:snapToGrid w:val="0"/>
              <w:spacing w:line="400" w:lineRule="exact"/>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3、法定代表人授权委托书及委托代理人有效身份证正反面复印件；（</w:t>
            </w:r>
            <w:r>
              <w:rPr>
                <w:rFonts w:hint="eastAsia" w:ascii="宋体" w:hAnsi="宋体" w:eastAsia="宋体" w:cs="宋体"/>
                <w:b/>
                <w:color w:val="auto"/>
                <w:sz w:val="21"/>
                <w:szCs w:val="21"/>
                <w:highlight w:val="none"/>
              </w:rPr>
              <w:t>委托时必须提供，否则作无效投标处理</w:t>
            </w:r>
            <w:r>
              <w:rPr>
                <w:rFonts w:hint="eastAsia" w:ascii="宋体" w:hAnsi="宋体" w:eastAsia="宋体" w:cs="宋体"/>
                <w:color w:val="auto"/>
                <w:sz w:val="21"/>
                <w:szCs w:val="21"/>
                <w:highlight w:val="none"/>
              </w:rPr>
              <w:t>）</w:t>
            </w:r>
          </w:p>
          <w:p w14:paraId="134A38E9">
            <w:pPr>
              <w:snapToGrid w:val="0"/>
              <w:spacing w:line="400" w:lineRule="exact"/>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4、商务条款偏离表；（</w:t>
            </w:r>
            <w:r>
              <w:rPr>
                <w:rFonts w:hint="eastAsia" w:ascii="宋体" w:hAnsi="宋体" w:eastAsia="宋体" w:cs="宋体"/>
                <w:b/>
                <w:color w:val="auto"/>
                <w:sz w:val="21"/>
                <w:szCs w:val="21"/>
                <w:highlight w:val="none"/>
              </w:rPr>
              <w:t>必须提供，否则作无效投标处理</w:t>
            </w:r>
            <w:r>
              <w:rPr>
                <w:rFonts w:hint="eastAsia" w:ascii="宋体" w:hAnsi="宋体" w:eastAsia="宋体" w:cs="宋体"/>
                <w:color w:val="auto"/>
                <w:sz w:val="21"/>
                <w:szCs w:val="21"/>
                <w:highlight w:val="none"/>
              </w:rPr>
              <w:t>）</w:t>
            </w:r>
          </w:p>
          <w:p w14:paraId="240D6AAA">
            <w:pPr>
              <w:snapToGrid w:val="0"/>
              <w:spacing w:line="400" w:lineRule="exact"/>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5、投标人情况介绍；</w:t>
            </w:r>
          </w:p>
          <w:p w14:paraId="573C7916">
            <w:pPr>
              <w:snapToGrid w:val="0"/>
              <w:spacing w:line="400" w:lineRule="exact"/>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6、除招标文件规定必须提供以外，投标人认为需要提供的其他证明材料。（投标人根据“第二章采购需求”及“第四章评标方法及评标标准”提供有关证明材料）。</w:t>
            </w:r>
          </w:p>
          <w:p w14:paraId="56728B08">
            <w:pPr>
              <w:snapToGrid w:val="0"/>
              <w:spacing w:line="400" w:lineRule="exact"/>
              <w:ind w:firstLine="422" w:firstLineChars="200"/>
              <w:jc w:val="left"/>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注：1.法定代表人授权委托书必须由法定代表人及委托代理人签字，并加盖投标人公章，否则作无效投标处理。</w:t>
            </w:r>
          </w:p>
          <w:p w14:paraId="14417ED1">
            <w:pPr>
              <w:snapToGrid w:val="0"/>
              <w:spacing w:line="400" w:lineRule="exact"/>
              <w:ind w:firstLine="422" w:firstLineChars="200"/>
              <w:jc w:val="left"/>
              <w:rPr>
                <w:rFonts w:hint="eastAsia" w:ascii="宋体" w:hAnsi="宋体" w:eastAsia="宋体" w:cs="宋体"/>
                <w:b/>
                <w:color w:val="auto"/>
                <w:sz w:val="21"/>
                <w:szCs w:val="21"/>
                <w:highlight w:val="none"/>
              </w:rPr>
            </w:pPr>
            <w:r>
              <w:rPr>
                <w:rFonts w:hint="eastAsia" w:ascii="宋体" w:hAnsi="宋体" w:eastAsia="宋体" w:cs="宋体"/>
                <w:b/>
                <w:bCs/>
                <w:color w:val="auto"/>
                <w:sz w:val="21"/>
                <w:szCs w:val="21"/>
                <w:highlight w:val="none"/>
              </w:rPr>
              <w:t>2.以上标明“必须提供”的材料</w:t>
            </w:r>
            <w:r>
              <w:rPr>
                <w:rFonts w:hint="eastAsia" w:ascii="宋体" w:hAnsi="宋体" w:eastAsia="宋体" w:cs="宋体"/>
                <w:b/>
                <w:color w:val="auto"/>
                <w:sz w:val="21"/>
                <w:szCs w:val="21"/>
                <w:highlight w:val="none"/>
              </w:rPr>
              <w:t>属于复印件的扫描件的</w:t>
            </w:r>
            <w:r>
              <w:rPr>
                <w:rFonts w:hint="eastAsia" w:ascii="宋体" w:hAnsi="宋体" w:eastAsia="宋体" w:cs="宋体"/>
                <w:b/>
                <w:bCs/>
                <w:color w:val="auto"/>
                <w:sz w:val="21"/>
                <w:szCs w:val="21"/>
                <w:highlight w:val="none"/>
              </w:rPr>
              <w:t>，必须加盖投标人电子公章，否则</w:t>
            </w:r>
            <w:r>
              <w:rPr>
                <w:rFonts w:hint="eastAsia" w:ascii="宋体" w:hAnsi="宋体" w:eastAsia="宋体" w:cs="宋体"/>
                <w:b/>
                <w:color w:val="auto"/>
                <w:sz w:val="21"/>
                <w:szCs w:val="21"/>
                <w:highlight w:val="none"/>
              </w:rPr>
              <w:t>作无效投标处理</w:t>
            </w:r>
            <w:r>
              <w:rPr>
                <w:rFonts w:hint="eastAsia" w:ascii="宋体" w:hAnsi="宋体" w:eastAsia="宋体" w:cs="宋体"/>
                <w:b/>
                <w:bCs/>
                <w:color w:val="auto"/>
                <w:sz w:val="21"/>
                <w:szCs w:val="21"/>
                <w:highlight w:val="none"/>
              </w:rPr>
              <w:t>。</w:t>
            </w:r>
          </w:p>
        </w:tc>
      </w:tr>
      <w:tr w14:paraId="66C212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vMerge w:val="restart"/>
            <w:noWrap w:val="0"/>
            <w:vAlign w:val="center"/>
          </w:tcPr>
          <w:p w14:paraId="6D38263D">
            <w:pPr>
              <w:spacing w:line="400" w:lineRule="exact"/>
              <w:rPr>
                <w:rFonts w:hint="eastAsia" w:ascii="宋体" w:hAnsi="宋体" w:eastAsia="宋体" w:cs="宋体"/>
                <w:color w:val="auto"/>
                <w:sz w:val="21"/>
                <w:szCs w:val="21"/>
                <w:highlight w:val="none"/>
              </w:rPr>
            </w:pPr>
          </w:p>
        </w:tc>
        <w:tc>
          <w:tcPr>
            <w:tcW w:w="2268" w:type="dxa"/>
            <w:noWrap w:val="0"/>
            <w:vAlign w:val="center"/>
          </w:tcPr>
          <w:p w14:paraId="6297DB30">
            <w:pPr>
              <w:snapToGrid w:val="0"/>
              <w:spacing w:line="400" w:lineRule="exact"/>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技术文件组成</w:t>
            </w:r>
          </w:p>
          <w:p w14:paraId="42E96D3D">
            <w:pPr>
              <w:spacing w:line="400" w:lineRule="exact"/>
              <w:rPr>
                <w:rFonts w:hint="eastAsia" w:ascii="宋体" w:hAnsi="宋体" w:eastAsia="宋体" w:cs="宋体"/>
                <w:color w:val="auto"/>
                <w:sz w:val="21"/>
                <w:szCs w:val="21"/>
                <w:highlight w:val="none"/>
              </w:rPr>
            </w:pPr>
          </w:p>
        </w:tc>
        <w:tc>
          <w:tcPr>
            <w:tcW w:w="7297" w:type="dxa"/>
            <w:noWrap w:val="0"/>
            <w:vAlign w:val="center"/>
          </w:tcPr>
          <w:p w14:paraId="1B25D9D8">
            <w:pPr>
              <w:snapToGrid w:val="0"/>
              <w:spacing w:line="400" w:lineRule="exact"/>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1、投标服务技术需求偏离表；（</w:t>
            </w:r>
            <w:r>
              <w:rPr>
                <w:rFonts w:hint="eastAsia" w:ascii="宋体" w:hAnsi="宋体" w:eastAsia="宋体" w:cs="宋体"/>
                <w:b/>
                <w:color w:val="auto"/>
                <w:sz w:val="21"/>
                <w:szCs w:val="21"/>
                <w:highlight w:val="none"/>
              </w:rPr>
              <w:t>必须提供，否则作无效投标处理</w:t>
            </w:r>
            <w:r>
              <w:rPr>
                <w:rFonts w:hint="eastAsia" w:ascii="宋体" w:hAnsi="宋体" w:eastAsia="宋体" w:cs="宋体"/>
                <w:color w:val="auto"/>
                <w:sz w:val="21"/>
                <w:szCs w:val="21"/>
                <w:highlight w:val="none"/>
              </w:rPr>
              <w:t>）</w:t>
            </w:r>
          </w:p>
          <w:p w14:paraId="50CB0C30">
            <w:pPr>
              <w:snapToGrid w:val="0"/>
              <w:spacing w:line="380" w:lineRule="exact"/>
              <w:jc w:val="left"/>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2、</w:t>
            </w:r>
            <w:r>
              <w:rPr>
                <w:rFonts w:hint="eastAsia" w:ascii="宋体" w:hAnsi="宋体" w:eastAsia="宋体" w:cs="宋体"/>
                <w:color w:val="auto"/>
                <w:szCs w:val="21"/>
                <w:highlight w:val="none"/>
              </w:rPr>
              <w:t>组织服务方案【项目前期准备、项目实施计划（人员构成、技术服务、技术培训、售后服务的内容和措施）】；（</w:t>
            </w:r>
            <w:r>
              <w:rPr>
                <w:rFonts w:hint="eastAsia" w:ascii="宋体" w:hAnsi="宋体" w:eastAsia="宋体" w:cs="宋体"/>
                <w:b/>
                <w:color w:val="auto"/>
                <w:szCs w:val="21"/>
                <w:highlight w:val="none"/>
              </w:rPr>
              <w:t>投标人根据评分办法自行拟定</w:t>
            </w:r>
            <w:r>
              <w:rPr>
                <w:rFonts w:hint="eastAsia" w:ascii="宋体" w:hAnsi="宋体" w:eastAsia="宋体" w:cs="宋体"/>
                <w:color w:val="auto"/>
                <w:szCs w:val="21"/>
                <w:highlight w:val="none"/>
              </w:rPr>
              <w:t>）</w:t>
            </w:r>
          </w:p>
          <w:p w14:paraId="22CED70A">
            <w:pPr>
              <w:snapToGrid w:val="0"/>
              <w:spacing w:line="400" w:lineRule="exact"/>
              <w:jc w:val="left"/>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3、</w:t>
            </w:r>
            <w:r>
              <w:rPr>
                <w:rFonts w:hint="eastAsia" w:ascii="宋体" w:hAnsi="宋体" w:eastAsia="宋体" w:cs="宋体"/>
                <w:color w:val="auto"/>
                <w:szCs w:val="21"/>
                <w:highlight w:val="none"/>
              </w:rPr>
              <w:t>售后服务方案；（</w:t>
            </w:r>
            <w:r>
              <w:rPr>
                <w:rFonts w:hint="eastAsia" w:ascii="宋体" w:hAnsi="宋体" w:eastAsia="宋体" w:cs="宋体"/>
                <w:b/>
                <w:color w:val="auto"/>
                <w:szCs w:val="21"/>
                <w:highlight w:val="none"/>
              </w:rPr>
              <w:t>投标人根据评分办法自行拟定</w:t>
            </w:r>
            <w:r>
              <w:rPr>
                <w:rFonts w:hint="eastAsia" w:ascii="宋体" w:hAnsi="宋体" w:eastAsia="宋体" w:cs="宋体"/>
                <w:color w:val="auto"/>
                <w:szCs w:val="21"/>
                <w:highlight w:val="none"/>
              </w:rPr>
              <w:t>）</w:t>
            </w:r>
          </w:p>
          <w:p w14:paraId="08AF5A81">
            <w:pPr>
              <w:snapToGrid w:val="0"/>
              <w:spacing w:line="400" w:lineRule="exact"/>
              <w:jc w:val="left"/>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4、</w:t>
            </w:r>
            <w:r>
              <w:rPr>
                <w:rFonts w:hint="eastAsia" w:ascii="宋体" w:hAnsi="宋体" w:eastAsia="宋体" w:cs="宋体"/>
                <w:color w:val="auto"/>
                <w:szCs w:val="21"/>
                <w:highlight w:val="none"/>
              </w:rPr>
              <w:t>项目实施人员一览表；（</w:t>
            </w:r>
            <w:r>
              <w:rPr>
                <w:rFonts w:hint="eastAsia" w:ascii="宋体" w:hAnsi="宋体" w:eastAsia="宋体" w:cs="宋体"/>
                <w:b/>
                <w:color w:val="auto"/>
                <w:highlight w:val="none"/>
              </w:rPr>
              <w:t>投标人根据评分办法自行拟定</w:t>
            </w:r>
            <w:r>
              <w:rPr>
                <w:rFonts w:hint="eastAsia" w:ascii="宋体" w:hAnsi="宋体" w:eastAsia="宋体" w:cs="宋体"/>
                <w:color w:val="auto"/>
                <w:szCs w:val="21"/>
                <w:highlight w:val="none"/>
              </w:rPr>
              <w:t>）</w:t>
            </w:r>
          </w:p>
          <w:p w14:paraId="732ECB86">
            <w:pPr>
              <w:snapToGrid w:val="0"/>
              <w:spacing w:line="400" w:lineRule="exact"/>
              <w:jc w:val="left"/>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5、</w:t>
            </w:r>
            <w:r>
              <w:rPr>
                <w:rFonts w:hint="eastAsia" w:ascii="宋体" w:hAnsi="宋体" w:eastAsia="宋体" w:cs="宋体"/>
                <w:color w:val="auto"/>
                <w:szCs w:val="21"/>
                <w:highlight w:val="none"/>
              </w:rPr>
              <w:t>投标人对本项目的合理化建议和改进措施</w:t>
            </w:r>
            <w:r>
              <w:rPr>
                <w:rFonts w:hint="eastAsia" w:ascii="宋体" w:hAnsi="宋体" w:eastAsia="宋体" w:cs="宋体"/>
                <w:color w:val="auto"/>
                <w:szCs w:val="21"/>
                <w:highlight w:val="none"/>
                <w:lang w:eastAsia="zh-CN"/>
              </w:rPr>
              <w:t>；</w:t>
            </w:r>
          </w:p>
          <w:p w14:paraId="39FBBC12">
            <w:pPr>
              <w:snapToGrid w:val="0"/>
              <w:spacing w:line="400" w:lineRule="exact"/>
              <w:jc w:val="left"/>
              <w:rPr>
                <w:rFonts w:hint="eastAsia" w:ascii="宋体" w:hAnsi="宋体" w:eastAsia="宋体" w:cs="宋体"/>
                <w:b w:val="0"/>
                <w:bCs w:val="0"/>
                <w:color w:val="auto"/>
                <w:kern w:val="2"/>
                <w:sz w:val="21"/>
                <w:szCs w:val="21"/>
                <w:highlight w:val="none"/>
                <w:lang w:val="en-US" w:eastAsia="zh-CN"/>
              </w:rPr>
            </w:pPr>
            <w:r>
              <w:rPr>
                <w:rFonts w:hint="eastAsia" w:ascii="宋体" w:hAnsi="宋体" w:eastAsia="宋体" w:cs="宋体"/>
                <w:b w:val="0"/>
                <w:bCs w:val="0"/>
                <w:color w:val="auto"/>
                <w:kern w:val="2"/>
                <w:sz w:val="21"/>
                <w:szCs w:val="21"/>
                <w:highlight w:val="none"/>
                <w:lang w:val="en-US" w:eastAsia="zh-CN"/>
              </w:rPr>
              <w:t>6、</w:t>
            </w:r>
            <w:r>
              <w:rPr>
                <w:rFonts w:hint="eastAsia" w:ascii="宋体" w:hAnsi="宋体" w:eastAsia="宋体" w:cs="宋体"/>
                <w:color w:val="auto"/>
                <w:szCs w:val="21"/>
                <w:highlight w:val="none"/>
              </w:rPr>
              <w:t>除招标文件规定必须提供以外，投标人需要说明的其他文件和说明。</w:t>
            </w:r>
          </w:p>
          <w:p w14:paraId="5BF11B3C">
            <w:pPr>
              <w:snapToGrid w:val="0"/>
              <w:spacing w:line="400" w:lineRule="exact"/>
              <w:ind w:firstLine="422" w:firstLineChars="200"/>
              <w:jc w:val="left"/>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注：以上标明“必须提供”的材料</w:t>
            </w:r>
            <w:r>
              <w:rPr>
                <w:rFonts w:hint="eastAsia" w:ascii="宋体" w:hAnsi="宋体" w:eastAsia="宋体" w:cs="宋体"/>
                <w:b/>
                <w:color w:val="auto"/>
                <w:sz w:val="21"/>
                <w:szCs w:val="21"/>
                <w:highlight w:val="none"/>
              </w:rPr>
              <w:t>属于复印件的扫描件的</w:t>
            </w:r>
            <w:r>
              <w:rPr>
                <w:rFonts w:hint="eastAsia" w:ascii="宋体" w:hAnsi="宋体" w:eastAsia="宋体" w:cs="宋体"/>
                <w:b/>
                <w:bCs/>
                <w:color w:val="auto"/>
                <w:sz w:val="21"/>
                <w:szCs w:val="21"/>
                <w:highlight w:val="none"/>
              </w:rPr>
              <w:t>，必须加盖投标人电子公章，否则</w:t>
            </w:r>
            <w:r>
              <w:rPr>
                <w:rFonts w:hint="eastAsia" w:ascii="宋体" w:hAnsi="宋体" w:eastAsia="宋体" w:cs="宋体"/>
                <w:b/>
                <w:color w:val="auto"/>
                <w:sz w:val="21"/>
                <w:szCs w:val="21"/>
                <w:highlight w:val="none"/>
              </w:rPr>
              <w:t>作无效投标处理</w:t>
            </w:r>
            <w:r>
              <w:rPr>
                <w:rFonts w:hint="eastAsia" w:ascii="宋体" w:hAnsi="宋体" w:eastAsia="宋体" w:cs="宋体"/>
                <w:b/>
                <w:bCs/>
                <w:color w:val="auto"/>
                <w:sz w:val="21"/>
                <w:szCs w:val="21"/>
                <w:highlight w:val="none"/>
              </w:rPr>
              <w:t>。</w:t>
            </w:r>
          </w:p>
        </w:tc>
      </w:tr>
      <w:tr w14:paraId="2380D5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vMerge w:val="continue"/>
            <w:noWrap w:val="0"/>
            <w:vAlign w:val="center"/>
          </w:tcPr>
          <w:p w14:paraId="7596B739">
            <w:pPr>
              <w:widowControl/>
              <w:spacing w:line="400" w:lineRule="exact"/>
              <w:jc w:val="left"/>
              <w:rPr>
                <w:rFonts w:hint="eastAsia" w:ascii="宋体" w:hAnsi="宋体" w:eastAsia="宋体" w:cs="宋体"/>
                <w:color w:val="auto"/>
                <w:sz w:val="21"/>
                <w:szCs w:val="21"/>
                <w:highlight w:val="none"/>
              </w:rPr>
            </w:pPr>
          </w:p>
        </w:tc>
        <w:tc>
          <w:tcPr>
            <w:tcW w:w="2268" w:type="dxa"/>
            <w:noWrap w:val="0"/>
            <w:vAlign w:val="center"/>
          </w:tcPr>
          <w:p w14:paraId="09535FA4">
            <w:pPr>
              <w:snapToGrid w:val="0"/>
              <w:spacing w:line="400" w:lineRule="exact"/>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报价文件组成</w:t>
            </w:r>
          </w:p>
        </w:tc>
        <w:tc>
          <w:tcPr>
            <w:tcW w:w="7297" w:type="dxa"/>
            <w:noWrap w:val="0"/>
            <w:vAlign w:val="center"/>
          </w:tcPr>
          <w:p w14:paraId="7A45FA9C">
            <w:pPr>
              <w:tabs>
                <w:tab w:val="left" w:pos="459"/>
              </w:tabs>
              <w:snapToGrid w:val="0"/>
              <w:spacing w:line="400" w:lineRule="exact"/>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1、投标函；</w:t>
            </w:r>
            <w:r>
              <w:rPr>
                <w:rFonts w:hint="eastAsia" w:ascii="宋体" w:hAnsi="宋体" w:eastAsia="宋体" w:cs="宋体"/>
                <w:b/>
                <w:color w:val="auto"/>
                <w:sz w:val="21"/>
                <w:szCs w:val="21"/>
                <w:highlight w:val="none"/>
              </w:rPr>
              <w:t>（必须提供，否则作无效投标处理）</w:t>
            </w:r>
          </w:p>
          <w:p w14:paraId="009BFE37">
            <w:pPr>
              <w:tabs>
                <w:tab w:val="left" w:pos="459"/>
              </w:tabs>
              <w:snapToGrid w:val="0"/>
              <w:spacing w:line="400" w:lineRule="exact"/>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2、开标一览表；（</w:t>
            </w:r>
            <w:r>
              <w:rPr>
                <w:rFonts w:hint="eastAsia" w:ascii="宋体" w:hAnsi="宋体" w:eastAsia="宋体" w:cs="宋体"/>
                <w:b/>
                <w:color w:val="auto"/>
                <w:sz w:val="21"/>
                <w:szCs w:val="21"/>
                <w:highlight w:val="none"/>
              </w:rPr>
              <w:t>必须提供，否则作无效投标处理</w:t>
            </w:r>
            <w:r>
              <w:rPr>
                <w:rFonts w:hint="eastAsia" w:ascii="宋体" w:hAnsi="宋体" w:eastAsia="宋体" w:cs="宋体"/>
                <w:color w:val="auto"/>
                <w:sz w:val="21"/>
                <w:szCs w:val="21"/>
                <w:highlight w:val="none"/>
              </w:rPr>
              <w:t>）</w:t>
            </w:r>
          </w:p>
          <w:p w14:paraId="22609615">
            <w:pPr>
              <w:tabs>
                <w:tab w:val="left" w:pos="459"/>
              </w:tabs>
              <w:snapToGrid w:val="0"/>
              <w:spacing w:line="400" w:lineRule="exact"/>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3、投标人针对报价需要说明的其他文件和说明。</w:t>
            </w:r>
          </w:p>
        </w:tc>
      </w:tr>
      <w:tr w14:paraId="3453DA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noWrap w:val="0"/>
            <w:vAlign w:val="center"/>
          </w:tcPr>
          <w:p w14:paraId="39BCDD16">
            <w:pPr>
              <w:spacing w:line="40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16.2</w:t>
            </w:r>
          </w:p>
        </w:tc>
        <w:tc>
          <w:tcPr>
            <w:tcW w:w="2268" w:type="dxa"/>
            <w:noWrap w:val="0"/>
            <w:vAlign w:val="center"/>
          </w:tcPr>
          <w:p w14:paraId="1B45D634">
            <w:pPr>
              <w:spacing w:line="40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投标报价要求</w:t>
            </w:r>
          </w:p>
        </w:tc>
        <w:tc>
          <w:tcPr>
            <w:tcW w:w="7297" w:type="dxa"/>
            <w:noWrap w:val="0"/>
            <w:vAlign w:val="center"/>
          </w:tcPr>
          <w:p w14:paraId="3134DAFF">
            <w:pPr>
              <w:snapToGrid w:val="0"/>
              <w:spacing w:line="400" w:lineRule="exact"/>
              <w:rPr>
                <w:rFonts w:hint="eastAsia" w:ascii="宋体" w:hAnsi="宋体" w:eastAsia="宋体" w:cs="宋体"/>
                <w:b/>
                <w:color w:val="auto"/>
                <w:sz w:val="21"/>
                <w:szCs w:val="21"/>
                <w:highlight w:val="none"/>
              </w:rPr>
            </w:pPr>
            <w:r>
              <w:rPr>
                <w:rFonts w:hint="eastAsia" w:ascii="宋体" w:hAnsi="宋体" w:eastAsia="宋体" w:cs="宋体"/>
                <w:color w:val="auto"/>
                <w:sz w:val="21"/>
                <w:szCs w:val="21"/>
                <w:highlight w:val="none"/>
              </w:rPr>
              <w:t>投标报价是履行合同的最终价格，必须包含满足本次投标全部采购需求所应提供的服务，以及伴随的货物和工程（如有）的价格；包含投标服务、货物、工程的成本、运输（含保险）、安装（如有）、调试、检验、技术服务、培训、税费等所有费用。（采购需求另有约定的，从其约定）</w:t>
            </w:r>
          </w:p>
        </w:tc>
      </w:tr>
      <w:tr w14:paraId="689548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noWrap w:val="0"/>
            <w:vAlign w:val="center"/>
          </w:tcPr>
          <w:p w14:paraId="0F8AE514">
            <w:pPr>
              <w:spacing w:line="40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17.2</w:t>
            </w:r>
          </w:p>
        </w:tc>
        <w:tc>
          <w:tcPr>
            <w:tcW w:w="2268" w:type="dxa"/>
            <w:noWrap w:val="0"/>
            <w:vAlign w:val="center"/>
          </w:tcPr>
          <w:p w14:paraId="6AAC4888">
            <w:pPr>
              <w:spacing w:line="40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投标有效期</w:t>
            </w:r>
          </w:p>
        </w:tc>
        <w:tc>
          <w:tcPr>
            <w:tcW w:w="7297" w:type="dxa"/>
            <w:noWrap w:val="0"/>
            <w:vAlign w:val="center"/>
          </w:tcPr>
          <w:p w14:paraId="5E0CAC25">
            <w:pPr>
              <w:snapToGrid w:val="0"/>
              <w:spacing w:line="40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自投标截止之日起</w:t>
            </w:r>
            <w:r>
              <w:rPr>
                <w:rFonts w:hint="eastAsia" w:ascii="宋体" w:hAnsi="宋体" w:eastAsia="宋体" w:cs="宋体"/>
                <w:color w:val="auto"/>
                <w:sz w:val="21"/>
                <w:szCs w:val="21"/>
                <w:highlight w:val="none"/>
                <w:u w:val="single"/>
              </w:rPr>
              <w:t>60</w:t>
            </w:r>
            <w:r>
              <w:rPr>
                <w:rFonts w:hint="eastAsia" w:ascii="宋体" w:hAnsi="宋体" w:eastAsia="宋体" w:cs="宋体"/>
                <w:color w:val="auto"/>
                <w:sz w:val="21"/>
                <w:szCs w:val="21"/>
                <w:highlight w:val="none"/>
              </w:rPr>
              <w:t>日。</w:t>
            </w:r>
          </w:p>
        </w:tc>
      </w:tr>
      <w:tr w14:paraId="262E33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noWrap w:val="0"/>
            <w:vAlign w:val="center"/>
          </w:tcPr>
          <w:p w14:paraId="790DFC04">
            <w:pPr>
              <w:spacing w:line="40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18</w:t>
            </w:r>
          </w:p>
        </w:tc>
        <w:tc>
          <w:tcPr>
            <w:tcW w:w="2268" w:type="dxa"/>
            <w:noWrap w:val="0"/>
            <w:vAlign w:val="center"/>
          </w:tcPr>
          <w:p w14:paraId="7435FEB2">
            <w:pPr>
              <w:spacing w:line="40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投标保证金金额</w:t>
            </w:r>
          </w:p>
        </w:tc>
        <w:tc>
          <w:tcPr>
            <w:tcW w:w="7297" w:type="dxa"/>
            <w:noWrap w:val="0"/>
            <w:vAlign w:val="center"/>
          </w:tcPr>
          <w:p w14:paraId="7EF6D6EA">
            <w:pPr>
              <w:autoSpaceDE w:val="0"/>
              <w:autoSpaceDN w:val="0"/>
              <w:snapToGrid w:val="0"/>
              <w:spacing w:line="400" w:lineRule="exact"/>
              <w:textAlignment w:val="bottom"/>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本项目不收取投标保证金。</w:t>
            </w:r>
          </w:p>
        </w:tc>
      </w:tr>
      <w:tr w14:paraId="104110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noWrap w:val="0"/>
            <w:vAlign w:val="center"/>
          </w:tcPr>
          <w:p w14:paraId="46972162">
            <w:pPr>
              <w:spacing w:line="40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19.1</w:t>
            </w:r>
          </w:p>
        </w:tc>
        <w:tc>
          <w:tcPr>
            <w:tcW w:w="2268" w:type="dxa"/>
            <w:noWrap w:val="0"/>
            <w:vAlign w:val="center"/>
          </w:tcPr>
          <w:p w14:paraId="0DB7F909">
            <w:pPr>
              <w:spacing w:line="40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投标文件编制要求</w:t>
            </w:r>
          </w:p>
        </w:tc>
        <w:tc>
          <w:tcPr>
            <w:tcW w:w="7297" w:type="dxa"/>
            <w:noWrap w:val="0"/>
            <w:vAlign w:val="center"/>
          </w:tcPr>
          <w:p w14:paraId="28E8FDC8">
            <w:pPr>
              <w:spacing w:line="400" w:lineRule="exact"/>
              <w:rPr>
                <w:rFonts w:hint="eastAsia" w:ascii="宋体" w:hAnsi="宋体" w:eastAsia="宋体" w:cs="宋体"/>
                <w:b/>
                <w:color w:val="auto"/>
                <w:sz w:val="21"/>
                <w:szCs w:val="21"/>
                <w:highlight w:val="none"/>
                <w:u w:val="single"/>
              </w:rPr>
            </w:pPr>
            <w:r>
              <w:rPr>
                <w:rFonts w:hint="eastAsia" w:ascii="宋体" w:hAnsi="宋体" w:eastAsia="宋体" w:cs="宋体"/>
                <w:color w:val="auto"/>
                <w:sz w:val="21"/>
                <w:szCs w:val="21"/>
                <w:highlight w:val="none"/>
              </w:rPr>
              <w:t>投标文件应按报价文件、资格证明文件、商务文件、技术文件分别编制，报价文件、资格证明文件分别生产电子文件，商务文件和技术文件按顺序合并生成电子文件。</w:t>
            </w:r>
            <w:r>
              <w:rPr>
                <w:rFonts w:hint="eastAsia" w:ascii="宋体" w:hAnsi="宋体" w:eastAsia="宋体" w:cs="宋体"/>
                <w:b/>
                <w:color w:val="auto"/>
                <w:sz w:val="21"/>
                <w:szCs w:val="21"/>
                <w:highlight w:val="none"/>
                <w:u w:val="single"/>
              </w:rPr>
              <w:t>电子版投标文件制作方式见招标公告附件。</w:t>
            </w:r>
          </w:p>
        </w:tc>
      </w:tr>
      <w:tr w14:paraId="6B1C9F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noWrap w:val="0"/>
            <w:vAlign w:val="center"/>
          </w:tcPr>
          <w:p w14:paraId="6A3815E6">
            <w:pPr>
              <w:spacing w:line="40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20</w:t>
            </w:r>
          </w:p>
        </w:tc>
        <w:tc>
          <w:tcPr>
            <w:tcW w:w="2268" w:type="dxa"/>
            <w:noWrap w:val="0"/>
            <w:vAlign w:val="center"/>
          </w:tcPr>
          <w:p w14:paraId="20B1D23B">
            <w:pPr>
              <w:spacing w:line="40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备份投标文件</w:t>
            </w:r>
          </w:p>
        </w:tc>
        <w:tc>
          <w:tcPr>
            <w:tcW w:w="7297" w:type="dxa"/>
            <w:noWrap w:val="0"/>
            <w:vAlign w:val="center"/>
          </w:tcPr>
          <w:p w14:paraId="72682234">
            <w:pPr>
              <w:autoSpaceDE w:val="0"/>
              <w:autoSpaceDN w:val="0"/>
              <w:snapToGrid w:val="0"/>
              <w:spacing w:line="400" w:lineRule="exact"/>
              <w:textAlignment w:val="bottom"/>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本项目不接受备份投标文件。</w:t>
            </w:r>
          </w:p>
        </w:tc>
      </w:tr>
      <w:tr w14:paraId="4EE37A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7" w:hRule="atLeast"/>
        </w:trPr>
        <w:tc>
          <w:tcPr>
            <w:tcW w:w="675" w:type="dxa"/>
            <w:vMerge w:val="restart"/>
            <w:noWrap w:val="0"/>
            <w:vAlign w:val="center"/>
          </w:tcPr>
          <w:p w14:paraId="3349C124">
            <w:pPr>
              <w:spacing w:line="40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21.1</w:t>
            </w:r>
          </w:p>
        </w:tc>
        <w:tc>
          <w:tcPr>
            <w:tcW w:w="2268" w:type="dxa"/>
            <w:noWrap w:val="0"/>
            <w:vAlign w:val="center"/>
          </w:tcPr>
          <w:p w14:paraId="7611B5C9">
            <w:pPr>
              <w:spacing w:line="40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投标截止时间</w:t>
            </w:r>
          </w:p>
        </w:tc>
        <w:tc>
          <w:tcPr>
            <w:tcW w:w="7297" w:type="dxa"/>
            <w:noWrap w:val="0"/>
            <w:vAlign w:val="center"/>
          </w:tcPr>
          <w:p w14:paraId="4655F9AD">
            <w:pPr>
              <w:snapToGrid w:val="0"/>
              <w:spacing w:line="400" w:lineRule="exact"/>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详见招标公告</w:t>
            </w:r>
          </w:p>
        </w:tc>
      </w:tr>
      <w:tr w14:paraId="562853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675" w:type="dxa"/>
            <w:vMerge w:val="continue"/>
            <w:noWrap w:val="0"/>
            <w:vAlign w:val="center"/>
          </w:tcPr>
          <w:p w14:paraId="123E8E6D">
            <w:pPr>
              <w:widowControl/>
              <w:spacing w:line="400" w:lineRule="exact"/>
              <w:jc w:val="left"/>
              <w:rPr>
                <w:rFonts w:hint="eastAsia" w:ascii="宋体" w:hAnsi="宋体" w:eastAsia="宋体" w:cs="宋体"/>
                <w:color w:val="auto"/>
                <w:sz w:val="21"/>
                <w:szCs w:val="21"/>
                <w:highlight w:val="none"/>
              </w:rPr>
            </w:pPr>
          </w:p>
        </w:tc>
        <w:tc>
          <w:tcPr>
            <w:tcW w:w="2268" w:type="dxa"/>
            <w:noWrap w:val="0"/>
            <w:vAlign w:val="center"/>
          </w:tcPr>
          <w:p w14:paraId="232197EE">
            <w:pPr>
              <w:spacing w:line="40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投标文件提交起止时间</w:t>
            </w:r>
          </w:p>
        </w:tc>
        <w:tc>
          <w:tcPr>
            <w:tcW w:w="7297" w:type="dxa"/>
            <w:noWrap w:val="0"/>
            <w:vAlign w:val="center"/>
          </w:tcPr>
          <w:p w14:paraId="2D23B6BD">
            <w:pPr>
              <w:snapToGrid w:val="0"/>
              <w:spacing w:line="40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详见招标公告</w:t>
            </w:r>
          </w:p>
        </w:tc>
      </w:tr>
      <w:tr w14:paraId="53745E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675" w:type="dxa"/>
            <w:vMerge w:val="continue"/>
            <w:noWrap w:val="0"/>
            <w:vAlign w:val="center"/>
          </w:tcPr>
          <w:p w14:paraId="5AE923FD">
            <w:pPr>
              <w:widowControl/>
              <w:spacing w:line="400" w:lineRule="exact"/>
              <w:jc w:val="left"/>
              <w:rPr>
                <w:rFonts w:hint="eastAsia" w:ascii="宋体" w:hAnsi="宋体" w:eastAsia="宋体" w:cs="宋体"/>
                <w:color w:val="auto"/>
                <w:sz w:val="21"/>
                <w:szCs w:val="21"/>
                <w:highlight w:val="none"/>
              </w:rPr>
            </w:pPr>
          </w:p>
        </w:tc>
        <w:tc>
          <w:tcPr>
            <w:tcW w:w="2268" w:type="dxa"/>
            <w:noWrap w:val="0"/>
            <w:vAlign w:val="center"/>
          </w:tcPr>
          <w:p w14:paraId="0ECF6242">
            <w:pPr>
              <w:spacing w:line="40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投标地点</w:t>
            </w:r>
          </w:p>
        </w:tc>
        <w:tc>
          <w:tcPr>
            <w:tcW w:w="7297" w:type="dxa"/>
            <w:noWrap w:val="0"/>
            <w:vAlign w:val="center"/>
          </w:tcPr>
          <w:p w14:paraId="05E55B6F">
            <w:pPr>
              <w:snapToGrid w:val="0"/>
              <w:spacing w:line="40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详见招标公告</w:t>
            </w:r>
          </w:p>
        </w:tc>
      </w:tr>
      <w:tr w14:paraId="2B7209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675" w:type="dxa"/>
            <w:vMerge w:val="continue"/>
            <w:noWrap w:val="0"/>
            <w:vAlign w:val="center"/>
          </w:tcPr>
          <w:p w14:paraId="7D4DC9F8">
            <w:pPr>
              <w:widowControl/>
              <w:spacing w:line="400" w:lineRule="exact"/>
              <w:jc w:val="left"/>
              <w:rPr>
                <w:rFonts w:hint="eastAsia" w:ascii="宋体" w:hAnsi="宋体" w:eastAsia="宋体" w:cs="宋体"/>
                <w:color w:val="auto"/>
                <w:sz w:val="21"/>
                <w:szCs w:val="21"/>
                <w:highlight w:val="none"/>
              </w:rPr>
            </w:pPr>
          </w:p>
        </w:tc>
        <w:tc>
          <w:tcPr>
            <w:tcW w:w="2268" w:type="dxa"/>
            <w:noWrap w:val="0"/>
            <w:vAlign w:val="center"/>
          </w:tcPr>
          <w:p w14:paraId="30379656">
            <w:pPr>
              <w:spacing w:line="40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投标人递交投标样品截止时间及地点</w:t>
            </w:r>
          </w:p>
        </w:tc>
        <w:tc>
          <w:tcPr>
            <w:tcW w:w="7297" w:type="dxa"/>
            <w:noWrap w:val="0"/>
            <w:vAlign w:val="center"/>
          </w:tcPr>
          <w:p w14:paraId="3E1ECD08">
            <w:pPr>
              <w:snapToGrid w:val="0"/>
              <w:spacing w:line="400" w:lineRule="exact"/>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时间：</w:t>
            </w:r>
            <w:r>
              <w:rPr>
                <w:rFonts w:hint="eastAsia" w:ascii="宋体" w:hAnsi="宋体" w:eastAsia="宋体" w:cs="宋体"/>
                <w:bCs/>
                <w:color w:val="auto"/>
                <w:sz w:val="21"/>
                <w:szCs w:val="21"/>
                <w:highlight w:val="none"/>
                <w:u w:val="single"/>
                <w:lang w:val="en-US" w:eastAsia="zh-CN"/>
              </w:rPr>
              <w:t>/</w:t>
            </w:r>
            <w:r>
              <w:rPr>
                <w:rFonts w:hint="eastAsia" w:ascii="宋体" w:hAnsi="宋体" w:eastAsia="宋体" w:cs="宋体"/>
                <w:bCs/>
                <w:color w:val="auto"/>
                <w:sz w:val="21"/>
                <w:szCs w:val="21"/>
                <w:highlight w:val="none"/>
                <w:u w:val="single"/>
              </w:rPr>
              <w:t>年</w:t>
            </w:r>
            <w:r>
              <w:rPr>
                <w:rFonts w:hint="eastAsia" w:ascii="宋体" w:hAnsi="宋体" w:eastAsia="宋体" w:cs="宋体"/>
                <w:bCs/>
                <w:color w:val="auto"/>
                <w:sz w:val="21"/>
                <w:szCs w:val="21"/>
                <w:highlight w:val="none"/>
                <w:u w:val="single"/>
                <w:lang w:val="en-US" w:eastAsia="zh-CN"/>
              </w:rPr>
              <w:t>/</w:t>
            </w:r>
            <w:r>
              <w:rPr>
                <w:rFonts w:hint="eastAsia" w:ascii="宋体" w:hAnsi="宋体" w:eastAsia="宋体" w:cs="宋体"/>
                <w:bCs/>
                <w:color w:val="auto"/>
                <w:sz w:val="21"/>
                <w:szCs w:val="21"/>
                <w:highlight w:val="none"/>
                <w:u w:val="single"/>
              </w:rPr>
              <w:t>月</w:t>
            </w:r>
            <w:r>
              <w:rPr>
                <w:rFonts w:hint="eastAsia" w:ascii="宋体" w:hAnsi="宋体" w:eastAsia="宋体" w:cs="宋体"/>
                <w:bCs/>
                <w:color w:val="auto"/>
                <w:sz w:val="21"/>
                <w:szCs w:val="21"/>
                <w:highlight w:val="none"/>
                <w:u w:val="single"/>
                <w:lang w:val="en-US" w:eastAsia="zh-CN"/>
              </w:rPr>
              <w:t>/</w:t>
            </w:r>
            <w:r>
              <w:rPr>
                <w:rFonts w:hint="eastAsia" w:ascii="宋体" w:hAnsi="宋体" w:eastAsia="宋体" w:cs="宋体"/>
                <w:bCs/>
                <w:color w:val="auto"/>
                <w:sz w:val="21"/>
                <w:szCs w:val="21"/>
                <w:highlight w:val="none"/>
                <w:u w:val="single"/>
              </w:rPr>
              <w:t>日</w:t>
            </w:r>
            <w:r>
              <w:rPr>
                <w:rFonts w:hint="eastAsia" w:ascii="宋体" w:hAnsi="宋体" w:eastAsia="宋体" w:cs="宋体"/>
                <w:bCs/>
                <w:color w:val="auto"/>
                <w:sz w:val="21"/>
                <w:szCs w:val="21"/>
                <w:highlight w:val="none"/>
                <w:u w:val="single"/>
                <w:lang w:val="en-US" w:eastAsia="zh-CN"/>
              </w:rPr>
              <w:t>/</w:t>
            </w:r>
            <w:r>
              <w:rPr>
                <w:rFonts w:hint="eastAsia" w:ascii="宋体" w:hAnsi="宋体" w:eastAsia="宋体" w:cs="宋体"/>
                <w:bCs/>
                <w:color w:val="auto"/>
                <w:sz w:val="21"/>
                <w:szCs w:val="21"/>
                <w:highlight w:val="none"/>
                <w:u w:val="single"/>
              </w:rPr>
              <w:t>时</w:t>
            </w:r>
            <w:r>
              <w:rPr>
                <w:rFonts w:hint="eastAsia" w:ascii="宋体" w:hAnsi="宋体" w:eastAsia="宋体" w:cs="宋体"/>
                <w:bCs/>
                <w:color w:val="auto"/>
                <w:sz w:val="21"/>
                <w:szCs w:val="21"/>
                <w:highlight w:val="none"/>
                <w:u w:val="single"/>
                <w:lang w:val="en-US" w:eastAsia="zh-CN"/>
              </w:rPr>
              <w:t>/</w:t>
            </w:r>
            <w:r>
              <w:rPr>
                <w:rFonts w:hint="eastAsia" w:ascii="宋体" w:hAnsi="宋体" w:eastAsia="宋体" w:cs="宋体"/>
                <w:bCs/>
                <w:color w:val="auto"/>
                <w:sz w:val="21"/>
                <w:szCs w:val="21"/>
                <w:highlight w:val="none"/>
                <w:u w:val="single"/>
              </w:rPr>
              <w:t>分</w:t>
            </w:r>
            <w:r>
              <w:rPr>
                <w:rFonts w:hint="eastAsia" w:ascii="宋体" w:hAnsi="宋体" w:eastAsia="宋体" w:cs="宋体"/>
                <w:bCs/>
                <w:color w:val="auto"/>
                <w:sz w:val="21"/>
                <w:szCs w:val="21"/>
                <w:highlight w:val="none"/>
              </w:rPr>
              <w:t>（北京时间）</w:t>
            </w:r>
          </w:p>
          <w:p w14:paraId="262E3A82">
            <w:pPr>
              <w:snapToGrid w:val="0"/>
              <w:spacing w:line="400" w:lineRule="exact"/>
              <w:rPr>
                <w:rFonts w:hint="eastAsia" w:ascii="宋体" w:hAnsi="宋体" w:eastAsia="宋体" w:cs="宋体"/>
                <w:color w:val="auto"/>
                <w:sz w:val="21"/>
                <w:szCs w:val="21"/>
                <w:highlight w:val="none"/>
                <w:lang w:val="en-US" w:eastAsia="zh-CN"/>
              </w:rPr>
            </w:pPr>
            <w:r>
              <w:rPr>
                <w:rFonts w:hint="eastAsia" w:ascii="宋体" w:hAnsi="宋体" w:eastAsia="宋体" w:cs="宋体"/>
                <w:bCs/>
                <w:color w:val="auto"/>
                <w:sz w:val="21"/>
                <w:szCs w:val="21"/>
                <w:highlight w:val="none"/>
              </w:rPr>
              <w:t>地点：</w:t>
            </w:r>
            <w:r>
              <w:rPr>
                <w:rFonts w:hint="eastAsia" w:ascii="宋体" w:hAnsi="宋体" w:eastAsia="宋体" w:cs="宋体"/>
                <w:bCs/>
                <w:color w:val="auto"/>
                <w:sz w:val="21"/>
                <w:szCs w:val="21"/>
                <w:highlight w:val="none"/>
                <w:lang w:val="en-US" w:eastAsia="zh-CN"/>
              </w:rPr>
              <w:t>/</w:t>
            </w:r>
          </w:p>
        </w:tc>
      </w:tr>
      <w:tr w14:paraId="27333A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noWrap w:val="0"/>
            <w:vAlign w:val="center"/>
          </w:tcPr>
          <w:p w14:paraId="7692157E">
            <w:pPr>
              <w:spacing w:line="40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23</w:t>
            </w:r>
          </w:p>
        </w:tc>
        <w:tc>
          <w:tcPr>
            <w:tcW w:w="2268" w:type="dxa"/>
            <w:noWrap w:val="0"/>
            <w:vAlign w:val="center"/>
          </w:tcPr>
          <w:p w14:paraId="4F267871">
            <w:pPr>
              <w:spacing w:line="40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开标时间、地点</w:t>
            </w:r>
          </w:p>
        </w:tc>
        <w:tc>
          <w:tcPr>
            <w:tcW w:w="7297" w:type="dxa"/>
            <w:noWrap w:val="0"/>
            <w:vAlign w:val="center"/>
          </w:tcPr>
          <w:p w14:paraId="1EA40A69">
            <w:pPr>
              <w:snapToGrid w:val="0"/>
              <w:spacing w:line="400" w:lineRule="exact"/>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详见招标公告</w:t>
            </w:r>
          </w:p>
        </w:tc>
      </w:tr>
      <w:tr w14:paraId="16E0E7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87" w:hRule="atLeast"/>
        </w:trPr>
        <w:tc>
          <w:tcPr>
            <w:tcW w:w="675" w:type="dxa"/>
            <w:vMerge w:val="restart"/>
            <w:noWrap w:val="0"/>
            <w:vAlign w:val="center"/>
          </w:tcPr>
          <w:p w14:paraId="4DF05DEC">
            <w:pPr>
              <w:spacing w:line="40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25.3（2）</w:t>
            </w:r>
          </w:p>
        </w:tc>
        <w:tc>
          <w:tcPr>
            <w:tcW w:w="2268" w:type="dxa"/>
            <w:noWrap w:val="0"/>
            <w:vAlign w:val="center"/>
          </w:tcPr>
          <w:p w14:paraId="184614C2">
            <w:pPr>
              <w:spacing w:line="40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投标人信用查询渠道</w:t>
            </w:r>
          </w:p>
        </w:tc>
        <w:tc>
          <w:tcPr>
            <w:tcW w:w="7297" w:type="dxa"/>
            <w:noWrap w:val="0"/>
            <w:vAlign w:val="center"/>
          </w:tcPr>
          <w:p w14:paraId="5D1E6F2C">
            <w:pPr>
              <w:snapToGrid w:val="0"/>
              <w:spacing w:line="40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采购人或者采购代理机构在资格审查结束前，对投标人进行信用查询。</w:t>
            </w:r>
          </w:p>
          <w:p w14:paraId="3C06A90A">
            <w:pPr>
              <w:snapToGrid w:val="0"/>
              <w:spacing w:line="40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查询渠道：“信用中国”网站(www.creditchina.gov.cn)、中国政府采购网(www.ccgp.gov.cn)。</w:t>
            </w:r>
          </w:p>
        </w:tc>
      </w:tr>
      <w:tr w14:paraId="4F11BE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3" w:hRule="atLeast"/>
        </w:trPr>
        <w:tc>
          <w:tcPr>
            <w:tcW w:w="675" w:type="dxa"/>
            <w:vMerge w:val="continue"/>
            <w:noWrap w:val="0"/>
            <w:vAlign w:val="center"/>
          </w:tcPr>
          <w:p w14:paraId="74C116A9">
            <w:pPr>
              <w:widowControl/>
              <w:spacing w:line="400" w:lineRule="exact"/>
              <w:jc w:val="left"/>
              <w:rPr>
                <w:rFonts w:hint="eastAsia" w:ascii="宋体" w:hAnsi="宋体" w:eastAsia="宋体" w:cs="宋体"/>
                <w:color w:val="auto"/>
                <w:sz w:val="21"/>
                <w:szCs w:val="21"/>
                <w:highlight w:val="none"/>
              </w:rPr>
            </w:pPr>
          </w:p>
        </w:tc>
        <w:tc>
          <w:tcPr>
            <w:tcW w:w="2268" w:type="dxa"/>
            <w:noWrap w:val="0"/>
            <w:vAlign w:val="center"/>
          </w:tcPr>
          <w:p w14:paraId="39BAA86F">
            <w:pPr>
              <w:spacing w:line="40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信用查询截止时点</w:t>
            </w:r>
          </w:p>
        </w:tc>
        <w:tc>
          <w:tcPr>
            <w:tcW w:w="7297" w:type="dxa"/>
            <w:noWrap w:val="0"/>
            <w:vAlign w:val="center"/>
          </w:tcPr>
          <w:p w14:paraId="56536244">
            <w:pPr>
              <w:snapToGrid w:val="0"/>
              <w:spacing w:line="40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资格审查结束前</w:t>
            </w:r>
          </w:p>
        </w:tc>
      </w:tr>
      <w:tr w14:paraId="2D7B33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8" w:hRule="atLeast"/>
        </w:trPr>
        <w:tc>
          <w:tcPr>
            <w:tcW w:w="675" w:type="dxa"/>
            <w:vMerge w:val="continue"/>
            <w:noWrap w:val="0"/>
            <w:vAlign w:val="center"/>
          </w:tcPr>
          <w:p w14:paraId="02F12D00">
            <w:pPr>
              <w:widowControl/>
              <w:spacing w:line="400" w:lineRule="exact"/>
              <w:jc w:val="left"/>
              <w:rPr>
                <w:rFonts w:hint="eastAsia" w:ascii="宋体" w:hAnsi="宋体" w:eastAsia="宋体" w:cs="宋体"/>
                <w:color w:val="auto"/>
                <w:sz w:val="21"/>
                <w:szCs w:val="21"/>
                <w:highlight w:val="none"/>
              </w:rPr>
            </w:pPr>
          </w:p>
        </w:tc>
        <w:tc>
          <w:tcPr>
            <w:tcW w:w="2268" w:type="dxa"/>
            <w:noWrap w:val="0"/>
            <w:vAlign w:val="center"/>
          </w:tcPr>
          <w:p w14:paraId="1D4F9474">
            <w:pPr>
              <w:spacing w:line="40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查询记录和证据留存方式</w:t>
            </w:r>
          </w:p>
        </w:tc>
        <w:tc>
          <w:tcPr>
            <w:tcW w:w="7297" w:type="dxa"/>
            <w:noWrap w:val="0"/>
            <w:vAlign w:val="center"/>
          </w:tcPr>
          <w:p w14:paraId="7113F124">
            <w:pPr>
              <w:snapToGrid w:val="0"/>
              <w:spacing w:line="40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在查询网站中直接截图查询记录，截图作为在</w:t>
            </w:r>
            <w:r>
              <w:rPr>
                <w:rFonts w:hint="eastAsia" w:ascii="宋体" w:hAnsi="宋体" w:eastAsia="宋体" w:cs="宋体"/>
                <w:color w:val="auto"/>
                <w:sz w:val="21"/>
                <w:szCs w:val="21"/>
                <w:highlight w:val="none"/>
                <w:lang w:eastAsia="zh-CN"/>
              </w:rPr>
              <w:t>广西政府采购云平台</w:t>
            </w:r>
            <w:r>
              <w:rPr>
                <w:rFonts w:hint="eastAsia" w:ascii="宋体" w:hAnsi="宋体" w:eastAsia="宋体" w:cs="宋体"/>
                <w:color w:val="auto"/>
                <w:sz w:val="21"/>
                <w:szCs w:val="21"/>
                <w:highlight w:val="none"/>
              </w:rPr>
              <w:t>作为附件上传保存。</w:t>
            </w:r>
          </w:p>
        </w:tc>
      </w:tr>
      <w:tr w14:paraId="00A933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0" w:hRule="atLeast"/>
        </w:trPr>
        <w:tc>
          <w:tcPr>
            <w:tcW w:w="675" w:type="dxa"/>
            <w:vMerge w:val="continue"/>
            <w:noWrap w:val="0"/>
            <w:vAlign w:val="center"/>
          </w:tcPr>
          <w:p w14:paraId="13DDD7E0">
            <w:pPr>
              <w:widowControl/>
              <w:spacing w:line="400" w:lineRule="exact"/>
              <w:jc w:val="left"/>
              <w:rPr>
                <w:rFonts w:hint="eastAsia" w:ascii="宋体" w:hAnsi="宋体" w:eastAsia="宋体" w:cs="宋体"/>
                <w:color w:val="auto"/>
                <w:sz w:val="21"/>
                <w:szCs w:val="21"/>
                <w:highlight w:val="none"/>
              </w:rPr>
            </w:pPr>
          </w:p>
        </w:tc>
        <w:tc>
          <w:tcPr>
            <w:tcW w:w="2268" w:type="dxa"/>
            <w:noWrap w:val="0"/>
            <w:vAlign w:val="center"/>
          </w:tcPr>
          <w:p w14:paraId="315851D9">
            <w:pPr>
              <w:spacing w:line="40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信用信息使用规则</w:t>
            </w:r>
          </w:p>
        </w:tc>
        <w:tc>
          <w:tcPr>
            <w:tcW w:w="7297" w:type="dxa"/>
            <w:noWrap w:val="0"/>
            <w:vAlign w:val="center"/>
          </w:tcPr>
          <w:p w14:paraId="49422C32">
            <w:pPr>
              <w:snapToGrid w:val="0"/>
              <w:spacing w:line="40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对在“信用中国”网站(www.creditchina.gov.cn)、中国政府采购网(www.ccgp.gov.cn)被列入失信被执行人、重大税收违法案件当事人名单、政府采购严重违法失信行为记录名单及其他不符合《中华人民共和国政府采购法》第二十二条规定条件的供应商，采购人或者采购代理机构应当拒绝其参与政府采购活动。两个以上的自然人、法人或者其他组织组成一个联合体，以一个供应商的身份共同参加政府采购活动的，应当对所有联合体成员进行信用记录查询，联合体成员存在不良信用记录的，视同联合体存在不良信用记录。</w:t>
            </w:r>
          </w:p>
        </w:tc>
      </w:tr>
      <w:tr w14:paraId="7CF542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noWrap w:val="0"/>
            <w:vAlign w:val="center"/>
          </w:tcPr>
          <w:p w14:paraId="62AC2BCC">
            <w:pPr>
              <w:spacing w:line="40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29.1</w:t>
            </w:r>
          </w:p>
        </w:tc>
        <w:tc>
          <w:tcPr>
            <w:tcW w:w="2268" w:type="dxa"/>
            <w:noWrap w:val="0"/>
            <w:vAlign w:val="center"/>
          </w:tcPr>
          <w:p w14:paraId="4A94ED42">
            <w:pPr>
              <w:spacing w:line="40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评标方法</w:t>
            </w:r>
          </w:p>
        </w:tc>
        <w:tc>
          <w:tcPr>
            <w:tcW w:w="7297" w:type="dxa"/>
            <w:noWrap w:val="0"/>
            <w:vAlign w:val="center"/>
          </w:tcPr>
          <w:p w14:paraId="484A3220">
            <w:pPr>
              <w:autoSpaceDE w:val="0"/>
              <w:autoSpaceDN w:val="0"/>
              <w:snapToGrid w:val="0"/>
              <w:spacing w:line="400" w:lineRule="exact"/>
              <w:textAlignment w:val="bottom"/>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☑综合评分法</w:t>
            </w:r>
          </w:p>
          <w:p w14:paraId="117AC619">
            <w:pPr>
              <w:autoSpaceDE w:val="0"/>
              <w:autoSpaceDN w:val="0"/>
              <w:snapToGrid w:val="0"/>
              <w:spacing w:line="400" w:lineRule="exact"/>
              <w:textAlignment w:val="bottom"/>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□最低评标价法</w:t>
            </w:r>
          </w:p>
        </w:tc>
      </w:tr>
      <w:tr w14:paraId="4758EA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5" w:hRule="atLeast"/>
        </w:trPr>
        <w:tc>
          <w:tcPr>
            <w:tcW w:w="675" w:type="dxa"/>
            <w:noWrap w:val="0"/>
            <w:vAlign w:val="center"/>
          </w:tcPr>
          <w:p w14:paraId="0DBD66E2">
            <w:pPr>
              <w:spacing w:line="40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29.2</w:t>
            </w:r>
          </w:p>
        </w:tc>
        <w:tc>
          <w:tcPr>
            <w:tcW w:w="2268" w:type="dxa"/>
            <w:noWrap w:val="0"/>
            <w:vAlign w:val="center"/>
          </w:tcPr>
          <w:p w14:paraId="5A898240">
            <w:pPr>
              <w:spacing w:line="40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允许负偏离项</w:t>
            </w:r>
          </w:p>
        </w:tc>
        <w:tc>
          <w:tcPr>
            <w:tcW w:w="7297" w:type="dxa"/>
            <w:noWrap w:val="0"/>
            <w:vAlign w:val="center"/>
          </w:tcPr>
          <w:p w14:paraId="52123995">
            <w:pPr>
              <w:snapToGrid w:val="0"/>
              <w:spacing w:line="400" w:lineRule="exact"/>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商务条款评审中允许负偏离的条款数为</w:t>
            </w:r>
            <w:r>
              <w:rPr>
                <w:rFonts w:hint="eastAsia" w:ascii="宋体" w:hAnsi="宋体" w:eastAsia="宋体" w:cs="宋体"/>
                <w:b/>
                <w:bCs/>
                <w:color w:val="auto"/>
                <w:sz w:val="21"/>
                <w:szCs w:val="21"/>
                <w:highlight w:val="none"/>
                <w:u w:val="single"/>
                <w:lang w:val="en-US" w:eastAsia="zh-CN"/>
              </w:rPr>
              <w:t>0</w:t>
            </w:r>
            <w:r>
              <w:rPr>
                <w:rFonts w:hint="eastAsia" w:ascii="宋体" w:hAnsi="宋体" w:eastAsia="宋体" w:cs="宋体"/>
                <w:b/>
                <w:bCs/>
                <w:color w:val="auto"/>
                <w:sz w:val="21"/>
                <w:szCs w:val="21"/>
                <w:highlight w:val="none"/>
              </w:rPr>
              <w:t>项。</w:t>
            </w:r>
          </w:p>
          <w:p w14:paraId="204381FF">
            <w:pPr>
              <w:snapToGrid w:val="0"/>
              <w:spacing w:line="360" w:lineRule="exact"/>
              <w:rPr>
                <w:rFonts w:hint="eastAsia" w:ascii="宋体" w:hAnsi="宋体" w:eastAsia="宋体" w:cs="宋体"/>
                <w:b/>
                <w:color w:val="auto"/>
                <w:szCs w:val="21"/>
                <w:highlight w:val="none"/>
                <w:lang w:eastAsia="zh-CN"/>
              </w:rPr>
            </w:pPr>
            <w:r>
              <w:rPr>
                <w:rFonts w:hint="eastAsia" w:ascii="宋体" w:hAnsi="宋体" w:eastAsia="宋体" w:cs="宋体"/>
                <w:b/>
                <w:bCs/>
                <w:color w:val="auto"/>
                <w:sz w:val="21"/>
                <w:szCs w:val="21"/>
                <w:highlight w:val="none"/>
              </w:rPr>
              <w:t>技术需求评审中允许负偏离的条款数为</w:t>
            </w:r>
            <w:r>
              <w:rPr>
                <w:rFonts w:hint="eastAsia" w:ascii="宋体" w:hAnsi="宋体" w:eastAsia="宋体" w:cs="宋体"/>
                <w:b/>
                <w:bCs/>
                <w:color w:val="auto"/>
                <w:sz w:val="21"/>
                <w:szCs w:val="21"/>
                <w:highlight w:val="none"/>
                <w:u w:val="single"/>
                <w:lang w:val="en-US" w:eastAsia="zh-CN"/>
              </w:rPr>
              <w:t xml:space="preserve"> </w:t>
            </w:r>
            <w:r>
              <w:rPr>
                <w:rFonts w:hint="eastAsia" w:ascii="宋体" w:hAnsi="宋体" w:cs="宋体"/>
                <w:b/>
                <w:bCs/>
                <w:color w:val="auto"/>
                <w:sz w:val="21"/>
                <w:szCs w:val="21"/>
                <w:highlight w:val="none"/>
                <w:u w:val="single"/>
                <w:lang w:val="en-US" w:eastAsia="zh-CN"/>
              </w:rPr>
              <w:t>3</w:t>
            </w:r>
            <w:r>
              <w:rPr>
                <w:rFonts w:hint="eastAsia" w:ascii="宋体" w:hAnsi="宋体" w:eastAsia="宋体" w:cs="宋体"/>
                <w:b/>
                <w:bCs/>
                <w:color w:val="auto"/>
                <w:sz w:val="21"/>
                <w:szCs w:val="21"/>
                <w:highlight w:val="none"/>
                <w:u w:val="single"/>
                <w:lang w:val="en-US" w:eastAsia="zh-CN"/>
              </w:rPr>
              <w:t xml:space="preserve"> </w:t>
            </w:r>
            <w:r>
              <w:rPr>
                <w:rFonts w:hint="eastAsia" w:ascii="宋体" w:hAnsi="宋体" w:eastAsia="宋体" w:cs="宋体"/>
                <w:b/>
                <w:bCs/>
                <w:color w:val="auto"/>
                <w:sz w:val="21"/>
                <w:szCs w:val="21"/>
                <w:highlight w:val="none"/>
              </w:rPr>
              <w:t>项。</w:t>
            </w:r>
            <w:r>
              <w:rPr>
                <w:rFonts w:hint="eastAsia" w:ascii="宋体" w:hAnsi="宋体" w:eastAsia="宋体" w:cs="宋体"/>
                <w:b/>
                <w:color w:val="auto"/>
                <w:szCs w:val="21"/>
                <w:highlight w:val="none"/>
                <w:lang w:eastAsia="zh-CN"/>
              </w:rPr>
              <w:t>（</w:t>
            </w:r>
            <w:r>
              <w:rPr>
                <w:rFonts w:hint="eastAsia" w:ascii="宋体" w:hAnsi="宋体" w:eastAsia="宋体" w:cs="宋体"/>
                <w:b/>
                <w:color w:val="auto"/>
                <w:szCs w:val="21"/>
                <w:highlight w:val="none"/>
                <w:lang w:val="en-US" w:eastAsia="zh-CN"/>
              </w:rPr>
              <w:t>指一般技术参数，即招标项目采购需求中未标注“▲”及“●”的技术参数。</w:t>
            </w:r>
            <w:r>
              <w:rPr>
                <w:rFonts w:hint="eastAsia" w:ascii="宋体" w:hAnsi="宋体" w:eastAsia="宋体" w:cs="宋体"/>
                <w:b/>
                <w:color w:val="auto"/>
                <w:szCs w:val="21"/>
                <w:highlight w:val="none"/>
                <w:lang w:eastAsia="zh-CN"/>
              </w:rPr>
              <w:t>）</w:t>
            </w:r>
          </w:p>
          <w:p w14:paraId="72DF8586">
            <w:pPr>
              <w:snapToGrid w:val="0"/>
              <w:spacing w:line="400" w:lineRule="exact"/>
              <w:rPr>
                <w:rFonts w:hint="eastAsia" w:ascii="宋体" w:hAnsi="宋体" w:eastAsia="宋体" w:cs="宋体"/>
                <w:b/>
                <w:bCs/>
                <w:color w:val="auto"/>
                <w:sz w:val="21"/>
                <w:szCs w:val="21"/>
                <w:highlight w:val="none"/>
                <w:lang w:eastAsia="zh-CN"/>
              </w:rPr>
            </w:pPr>
            <w:r>
              <w:rPr>
                <w:rFonts w:hint="eastAsia" w:ascii="宋体" w:hAnsi="宋体" w:eastAsia="宋体" w:cs="宋体"/>
                <w:b/>
                <w:bCs/>
                <w:color w:val="auto"/>
                <w:sz w:val="21"/>
                <w:szCs w:val="21"/>
                <w:highlight w:val="none"/>
                <w:lang w:eastAsia="zh-CN"/>
              </w:rPr>
              <w:t>“重要技术指标、功能项”是指采购需求中带“●”的条款，</w:t>
            </w:r>
            <w:r>
              <w:rPr>
                <w:rFonts w:hint="eastAsia" w:ascii="宋体" w:hAnsi="宋体" w:eastAsia="宋体" w:cs="宋体"/>
                <w:b/>
                <w:bCs/>
                <w:color w:val="auto"/>
                <w:sz w:val="21"/>
                <w:szCs w:val="21"/>
                <w:highlight w:val="none"/>
              </w:rPr>
              <w:t>允许负偏离的条款数为</w:t>
            </w:r>
            <w:r>
              <w:rPr>
                <w:rFonts w:hint="eastAsia" w:ascii="宋体" w:hAnsi="宋体" w:eastAsia="宋体" w:cs="宋体"/>
                <w:b/>
                <w:bCs/>
                <w:color w:val="auto"/>
                <w:sz w:val="21"/>
                <w:szCs w:val="21"/>
                <w:highlight w:val="none"/>
                <w:u w:val="single"/>
                <w:lang w:val="en-US" w:eastAsia="zh-CN"/>
              </w:rPr>
              <w:t xml:space="preserve"> </w:t>
            </w:r>
            <w:r>
              <w:rPr>
                <w:rFonts w:hint="eastAsia" w:ascii="宋体" w:hAnsi="宋体" w:cs="宋体"/>
                <w:b/>
                <w:bCs/>
                <w:color w:val="auto"/>
                <w:sz w:val="21"/>
                <w:szCs w:val="21"/>
                <w:highlight w:val="none"/>
                <w:u w:val="single"/>
                <w:lang w:val="en-US" w:eastAsia="zh-CN"/>
              </w:rPr>
              <w:t>0</w:t>
            </w:r>
            <w:r>
              <w:rPr>
                <w:rFonts w:hint="eastAsia" w:ascii="宋体" w:hAnsi="宋体" w:eastAsia="宋体" w:cs="宋体"/>
                <w:b/>
                <w:bCs/>
                <w:color w:val="auto"/>
                <w:sz w:val="21"/>
                <w:szCs w:val="21"/>
                <w:highlight w:val="none"/>
                <w:u w:val="single"/>
                <w:lang w:val="en-US" w:eastAsia="zh-CN"/>
              </w:rPr>
              <w:t xml:space="preserve"> </w:t>
            </w:r>
            <w:r>
              <w:rPr>
                <w:rFonts w:hint="eastAsia" w:ascii="宋体" w:hAnsi="宋体" w:eastAsia="宋体" w:cs="宋体"/>
                <w:b/>
                <w:bCs/>
                <w:color w:val="auto"/>
                <w:sz w:val="21"/>
                <w:szCs w:val="21"/>
                <w:highlight w:val="none"/>
              </w:rPr>
              <w:t>项。</w:t>
            </w:r>
          </w:p>
        </w:tc>
      </w:tr>
      <w:tr w14:paraId="61C3AB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noWrap w:val="0"/>
            <w:vAlign w:val="center"/>
          </w:tcPr>
          <w:p w14:paraId="6B43B4DF">
            <w:pPr>
              <w:spacing w:line="40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30.1</w:t>
            </w:r>
          </w:p>
        </w:tc>
        <w:tc>
          <w:tcPr>
            <w:tcW w:w="2268" w:type="dxa"/>
            <w:noWrap w:val="0"/>
            <w:vAlign w:val="center"/>
          </w:tcPr>
          <w:p w14:paraId="3F529B85">
            <w:pPr>
              <w:autoSpaceDE w:val="0"/>
              <w:autoSpaceDN w:val="0"/>
              <w:snapToGrid w:val="0"/>
              <w:spacing w:line="400" w:lineRule="exact"/>
              <w:textAlignment w:val="bottom"/>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确定中标人时，出现中标候选人分数并列的情形，确定中标人方式</w:t>
            </w:r>
          </w:p>
        </w:tc>
        <w:tc>
          <w:tcPr>
            <w:tcW w:w="7297" w:type="dxa"/>
            <w:noWrap w:val="0"/>
            <w:vAlign w:val="center"/>
          </w:tcPr>
          <w:p w14:paraId="5B4FE93F">
            <w:pPr>
              <w:autoSpaceDE w:val="0"/>
              <w:autoSpaceDN w:val="0"/>
              <w:snapToGrid w:val="0"/>
              <w:spacing w:line="400" w:lineRule="exact"/>
              <w:textAlignment w:val="bottom"/>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□采用最低评标价法的，投标文件满足招标文件全部实质性要求且投标报价最低的投标人为排名第一的中标候选人；</w:t>
            </w:r>
          </w:p>
          <w:p w14:paraId="5E47FA6C">
            <w:pPr>
              <w:autoSpaceDE w:val="0"/>
              <w:autoSpaceDN w:val="0"/>
              <w:snapToGrid w:val="0"/>
              <w:spacing w:line="400" w:lineRule="exact"/>
              <w:textAlignment w:val="bottom"/>
              <w:rPr>
                <w:rFonts w:hint="eastAsia" w:ascii="宋体" w:hAnsi="宋体" w:eastAsia="宋体" w:cs="宋体"/>
                <w:b/>
                <w:color w:val="auto"/>
                <w:sz w:val="21"/>
                <w:szCs w:val="21"/>
                <w:highlight w:val="none"/>
              </w:rPr>
            </w:pPr>
            <w:r>
              <w:rPr>
                <w:rFonts w:hint="eastAsia" w:ascii="宋体" w:hAnsi="宋体" w:eastAsia="宋体" w:cs="宋体"/>
                <w:color w:val="auto"/>
                <w:sz w:val="21"/>
                <w:szCs w:val="21"/>
                <w:highlight w:val="none"/>
              </w:rPr>
              <w:t>☑采用综合评分法的，按投标报价由低到高顺序排列。得分且投标报价相同的并列。投标文件满足招标文件全部实质性要求，且按照评审因素的量化指标评审得分最高的投标人为排名第一的中标候选人。</w:t>
            </w:r>
          </w:p>
        </w:tc>
      </w:tr>
      <w:tr w14:paraId="1C9B25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trPr>
        <w:tc>
          <w:tcPr>
            <w:tcW w:w="675" w:type="dxa"/>
            <w:noWrap w:val="0"/>
            <w:vAlign w:val="center"/>
          </w:tcPr>
          <w:p w14:paraId="0865C7C9">
            <w:pPr>
              <w:spacing w:line="40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35</w:t>
            </w:r>
          </w:p>
        </w:tc>
        <w:tc>
          <w:tcPr>
            <w:tcW w:w="2268" w:type="dxa"/>
            <w:noWrap w:val="0"/>
            <w:vAlign w:val="center"/>
          </w:tcPr>
          <w:p w14:paraId="303F8652">
            <w:pPr>
              <w:spacing w:line="40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履约保证金金额</w:t>
            </w:r>
          </w:p>
        </w:tc>
        <w:tc>
          <w:tcPr>
            <w:tcW w:w="7297" w:type="dxa"/>
            <w:noWrap w:val="0"/>
            <w:vAlign w:val="bottom"/>
          </w:tcPr>
          <w:p w14:paraId="1D7DD084">
            <w:pPr>
              <w:autoSpaceDE w:val="0"/>
              <w:autoSpaceDN w:val="0"/>
              <w:snapToGrid w:val="0"/>
              <w:spacing w:line="400" w:lineRule="exact"/>
              <w:jc w:val="left"/>
              <w:textAlignment w:val="bottom"/>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本项目不收取履约保证金。</w:t>
            </w:r>
          </w:p>
        </w:tc>
      </w:tr>
      <w:tr w14:paraId="539512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noWrap w:val="0"/>
            <w:vAlign w:val="center"/>
          </w:tcPr>
          <w:p w14:paraId="28F7CFB1">
            <w:pPr>
              <w:spacing w:line="40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36.1</w:t>
            </w:r>
          </w:p>
        </w:tc>
        <w:tc>
          <w:tcPr>
            <w:tcW w:w="2268" w:type="dxa"/>
            <w:noWrap w:val="0"/>
            <w:vAlign w:val="center"/>
          </w:tcPr>
          <w:p w14:paraId="4F0A8347">
            <w:pPr>
              <w:spacing w:line="40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签订电子合同携带的材料</w:t>
            </w:r>
          </w:p>
        </w:tc>
        <w:tc>
          <w:tcPr>
            <w:tcW w:w="7297" w:type="dxa"/>
            <w:noWrap w:val="0"/>
            <w:vAlign w:val="center"/>
          </w:tcPr>
          <w:p w14:paraId="7FF4B9CB">
            <w:pPr>
              <w:autoSpaceDE w:val="0"/>
              <w:autoSpaceDN w:val="0"/>
              <w:snapToGrid w:val="0"/>
              <w:spacing w:line="400" w:lineRule="exact"/>
              <w:textAlignment w:val="bottom"/>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电子采购合同需要供应商通过有效CA证书进行电子签署</w:t>
            </w:r>
          </w:p>
        </w:tc>
      </w:tr>
      <w:tr w14:paraId="228ED4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1" w:hRule="atLeast"/>
        </w:trPr>
        <w:tc>
          <w:tcPr>
            <w:tcW w:w="675" w:type="dxa"/>
            <w:vMerge w:val="restart"/>
            <w:noWrap w:val="0"/>
            <w:vAlign w:val="center"/>
          </w:tcPr>
          <w:p w14:paraId="793B8849">
            <w:pPr>
              <w:spacing w:line="40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38.2.1</w:t>
            </w:r>
          </w:p>
        </w:tc>
        <w:tc>
          <w:tcPr>
            <w:tcW w:w="2268" w:type="dxa"/>
            <w:noWrap w:val="0"/>
            <w:vAlign w:val="center"/>
          </w:tcPr>
          <w:p w14:paraId="69714CED">
            <w:pPr>
              <w:spacing w:line="40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接收质疑函方式</w:t>
            </w:r>
          </w:p>
        </w:tc>
        <w:tc>
          <w:tcPr>
            <w:tcW w:w="7297" w:type="dxa"/>
            <w:noWrap w:val="0"/>
            <w:vAlign w:val="center"/>
          </w:tcPr>
          <w:p w14:paraId="3897A0A8">
            <w:pPr>
              <w:snapToGrid w:val="0"/>
              <w:spacing w:line="40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以书面形式</w:t>
            </w:r>
          </w:p>
        </w:tc>
      </w:tr>
      <w:tr w14:paraId="612D42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9" w:hRule="atLeast"/>
        </w:trPr>
        <w:tc>
          <w:tcPr>
            <w:tcW w:w="675" w:type="dxa"/>
            <w:vMerge w:val="continue"/>
            <w:noWrap w:val="0"/>
            <w:vAlign w:val="center"/>
          </w:tcPr>
          <w:p w14:paraId="2DE07BA3">
            <w:pPr>
              <w:widowControl/>
              <w:spacing w:line="400" w:lineRule="exact"/>
              <w:jc w:val="left"/>
              <w:rPr>
                <w:rFonts w:hint="eastAsia" w:ascii="宋体" w:hAnsi="宋体" w:eastAsia="宋体" w:cs="宋体"/>
                <w:color w:val="auto"/>
                <w:sz w:val="21"/>
                <w:szCs w:val="21"/>
                <w:highlight w:val="none"/>
              </w:rPr>
            </w:pPr>
          </w:p>
        </w:tc>
        <w:tc>
          <w:tcPr>
            <w:tcW w:w="2268" w:type="dxa"/>
            <w:noWrap w:val="0"/>
            <w:vAlign w:val="center"/>
          </w:tcPr>
          <w:p w14:paraId="1B79AC85">
            <w:pPr>
              <w:spacing w:line="40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质疑联系部门及联系方式</w:t>
            </w:r>
          </w:p>
        </w:tc>
        <w:tc>
          <w:tcPr>
            <w:tcW w:w="7297" w:type="dxa"/>
            <w:noWrap w:val="0"/>
            <w:vAlign w:val="center"/>
          </w:tcPr>
          <w:p w14:paraId="113D8A1B">
            <w:pPr>
              <w:snapToGrid w:val="0"/>
              <w:spacing w:line="40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u w:val="single"/>
              </w:rPr>
              <w:t>（1）</w:t>
            </w:r>
            <w:r>
              <w:rPr>
                <w:rFonts w:hint="eastAsia" w:ascii="宋体" w:hAnsi="宋体" w:eastAsia="宋体" w:cs="宋体"/>
                <w:color w:val="auto"/>
                <w:sz w:val="21"/>
                <w:szCs w:val="21"/>
                <w:highlight w:val="none"/>
                <w:u w:val="single"/>
                <w:lang w:eastAsia="zh-CN"/>
              </w:rPr>
              <w:t>广西哲通项目管理有限公司</w:t>
            </w:r>
            <w:r>
              <w:rPr>
                <w:rFonts w:hint="eastAsia" w:ascii="宋体" w:hAnsi="宋体" w:eastAsia="宋体" w:cs="宋体"/>
                <w:color w:val="auto"/>
                <w:sz w:val="21"/>
                <w:szCs w:val="21"/>
                <w:highlight w:val="none"/>
              </w:rPr>
              <w:t>；</w:t>
            </w:r>
          </w:p>
          <w:p w14:paraId="194A70BD">
            <w:pPr>
              <w:snapToGrid w:val="0"/>
              <w:spacing w:line="40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联系电话：</w:t>
            </w:r>
            <w:r>
              <w:rPr>
                <w:rFonts w:hint="eastAsia" w:ascii="宋体" w:hAnsi="宋体" w:eastAsia="宋体" w:cs="宋体"/>
                <w:color w:val="auto"/>
                <w:sz w:val="21"/>
                <w:szCs w:val="21"/>
                <w:highlight w:val="none"/>
                <w:u w:val="single"/>
                <w:lang w:eastAsia="zh-CN"/>
              </w:rPr>
              <w:t>0771-5822175</w:t>
            </w:r>
            <w:r>
              <w:rPr>
                <w:rFonts w:hint="eastAsia" w:ascii="宋体" w:hAnsi="宋体" w:eastAsia="宋体" w:cs="宋体"/>
                <w:color w:val="auto"/>
                <w:sz w:val="21"/>
                <w:szCs w:val="21"/>
                <w:highlight w:val="none"/>
              </w:rPr>
              <w:t>，</w:t>
            </w:r>
          </w:p>
          <w:p w14:paraId="64FD98FD">
            <w:pPr>
              <w:snapToGrid w:val="0"/>
              <w:spacing w:line="400" w:lineRule="exact"/>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通讯地址：</w:t>
            </w:r>
            <w:r>
              <w:rPr>
                <w:rFonts w:hint="eastAsia" w:ascii="宋体" w:hAnsi="宋体" w:eastAsia="宋体" w:cs="宋体"/>
                <w:color w:val="auto"/>
                <w:sz w:val="21"/>
                <w:szCs w:val="21"/>
                <w:highlight w:val="none"/>
                <w:u w:val="single"/>
                <w:lang w:eastAsia="zh-CN"/>
              </w:rPr>
              <w:t>广西南宁市青秀区嘉宾路嘉湖巷6号佳和大厦15层1503、1505-1507号</w:t>
            </w:r>
          </w:p>
          <w:p w14:paraId="2CFC0088">
            <w:pPr>
              <w:snapToGrid w:val="0"/>
              <w:spacing w:line="40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u w:val="single"/>
              </w:rPr>
              <w:t>（2）</w:t>
            </w:r>
            <w:r>
              <w:rPr>
                <w:rFonts w:hint="eastAsia" w:ascii="宋体" w:hAnsi="宋体" w:eastAsia="宋体" w:cs="宋体"/>
                <w:color w:val="auto"/>
                <w:sz w:val="21"/>
                <w:szCs w:val="21"/>
                <w:highlight w:val="none"/>
                <w:u w:val="single"/>
                <w:lang w:eastAsia="zh-CN"/>
              </w:rPr>
              <w:t>横州市西津国家湿地公园管理处</w:t>
            </w:r>
            <w:r>
              <w:rPr>
                <w:rFonts w:hint="eastAsia" w:ascii="宋体" w:hAnsi="宋体" w:eastAsia="宋体" w:cs="宋体"/>
                <w:color w:val="auto"/>
                <w:sz w:val="21"/>
                <w:szCs w:val="21"/>
                <w:highlight w:val="none"/>
              </w:rPr>
              <w:t>；</w:t>
            </w:r>
          </w:p>
          <w:p w14:paraId="0A32C507">
            <w:pPr>
              <w:snapToGrid w:val="0"/>
              <w:spacing w:line="40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联系电话：</w:t>
            </w:r>
            <w:r>
              <w:rPr>
                <w:rFonts w:hint="eastAsia" w:ascii="宋体" w:hAnsi="宋体" w:eastAsia="宋体" w:cs="宋体"/>
                <w:color w:val="auto"/>
                <w:szCs w:val="21"/>
                <w:highlight w:val="none"/>
              </w:rPr>
              <w:t>0771</w:t>
            </w:r>
            <w:r>
              <w:rPr>
                <w:rFonts w:hint="eastAsia" w:ascii="宋体" w:hAnsi="宋体" w:eastAsia="宋体" w:cs="宋体"/>
                <w:color w:val="auto"/>
                <w:szCs w:val="21"/>
                <w:highlight w:val="none"/>
                <w:lang w:val="en-US" w:eastAsia="zh-CN"/>
              </w:rPr>
              <w:t>-</w:t>
            </w:r>
            <w:r>
              <w:rPr>
                <w:rFonts w:hint="eastAsia" w:ascii="宋体" w:hAnsi="宋体" w:eastAsia="宋体" w:cs="宋体"/>
                <w:color w:val="auto"/>
                <w:szCs w:val="21"/>
                <w:highlight w:val="none"/>
              </w:rPr>
              <w:t>7260773</w:t>
            </w:r>
            <w:r>
              <w:rPr>
                <w:rFonts w:hint="eastAsia" w:ascii="宋体" w:hAnsi="宋体" w:eastAsia="宋体" w:cs="宋体"/>
                <w:color w:val="auto"/>
                <w:sz w:val="21"/>
                <w:szCs w:val="21"/>
                <w:highlight w:val="none"/>
              </w:rPr>
              <w:t>，</w:t>
            </w:r>
          </w:p>
          <w:p w14:paraId="1E4AD9C4">
            <w:pPr>
              <w:snapToGrid w:val="0"/>
              <w:spacing w:line="400" w:lineRule="exact"/>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通讯地址：</w:t>
            </w:r>
            <w:r>
              <w:rPr>
                <w:rFonts w:hint="eastAsia" w:ascii="宋体" w:hAnsi="宋体" w:eastAsia="宋体" w:cs="宋体"/>
                <w:color w:val="auto"/>
                <w:sz w:val="21"/>
                <w:szCs w:val="21"/>
                <w:highlight w:val="none"/>
                <w:u w:val="single"/>
              </w:rPr>
              <w:t>南宁市横州市莲塘镇莲塘社区中西街298号</w:t>
            </w:r>
          </w:p>
        </w:tc>
      </w:tr>
      <w:tr w14:paraId="3B3479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9" w:hRule="atLeast"/>
        </w:trPr>
        <w:tc>
          <w:tcPr>
            <w:tcW w:w="675" w:type="dxa"/>
            <w:vMerge w:val="continue"/>
            <w:noWrap w:val="0"/>
            <w:vAlign w:val="center"/>
          </w:tcPr>
          <w:p w14:paraId="54960FF5">
            <w:pPr>
              <w:widowControl/>
              <w:spacing w:line="400" w:lineRule="exact"/>
              <w:jc w:val="left"/>
              <w:rPr>
                <w:rFonts w:hint="eastAsia" w:ascii="宋体" w:hAnsi="宋体" w:eastAsia="宋体" w:cs="宋体"/>
                <w:color w:val="auto"/>
                <w:sz w:val="21"/>
                <w:szCs w:val="21"/>
                <w:highlight w:val="none"/>
              </w:rPr>
            </w:pPr>
          </w:p>
        </w:tc>
        <w:tc>
          <w:tcPr>
            <w:tcW w:w="2268" w:type="dxa"/>
            <w:noWrap w:val="0"/>
            <w:vAlign w:val="center"/>
          </w:tcPr>
          <w:p w14:paraId="7EF7C39A">
            <w:pPr>
              <w:spacing w:line="40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现场提交质疑办理业务时间</w:t>
            </w:r>
          </w:p>
        </w:tc>
        <w:tc>
          <w:tcPr>
            <w:tcW w:w="7297" w:type="dxa"/>
            <w:noWrap w:val="0"/>
            <w:vAlign w:val="center"/>
          </w:tcPr>
          <w:p w14:paraId="21FE992D">
            <w:pPr>
              <w:snapToGrid w:val="0"/>
              <w:spacing w:line="40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质疑期内每个工作日</w:t>
            </w:r>
            <w:r>
              <w:rPr>
                <w:rFonts w:hint="eastAsia" w:ascii="宋体" w:hAnsi="宋体" w:eastAsia="宋体" w:cs="宋体"/>
                <w:color w:val="auto"/>
                <w:sz w:val="21"/>
                <w:szCs w:val="21"/>
                <w:highlight w:val="none"/>
                <w:u w:val="single"/>
              </w:rPr>
              <w:t>08</w:t>
            </w:r>
            <w:r>
              <w:rPr>
                <w:rFonts w:hint="eastAsia" w:ascii="宋体" w:hAnsi="宋体" w:eastAsia="宋体" w:cs="宋体"/>
                <w:color w:val="auto"/>
                <w:sz w:val="21"/>
                <w:szCs w:val="21"/>
                <w:highlight w:val="none"/>
              </w:rPr>
              <w:t>时</w:t>
            </w:r>
            <w:r>
              <w:rPr>
                <w:rFonts w:hint="eastAsia" w:ascii="宋体" w:hAnsi="宋体" w:eastAsia="宋体" w:cs="宋体"/>
                <w:color w:val="auto"/>
                <w:sz w:val="21"/>
                <w:szCs w:val="21"/>
                <w:highlight w:val="none"/>
                <w:u w:val="single"/>
              </w:rPr>
              <w:t>00</w:t>
            </w:r>
            <w:r>
              <w:rPr>
                <w:rFonts w:hint="eastAsia" w:ascii="宋体" w:hAnsi="宋体" w:eastAsia="宋体" w:cs="宋体"/>
                <w:color w:val="auto"/>
                <w:sz w:val="21"/>
                <w:szCs w:val="21"/>
                <w:highlight w:val="none"/>
              </w:rPr>
              <w:t>分到</w:t>
            </w:r>
            <w:r>
              <w:rPr>
                <w:rFonts w:hint="eastAsia" w:ascii="宋体" w:hAnsi="宋体" w:eastAsia="宋体" w:cs="宋体"/>
                <w:color w:val="auto"/>
                <w:sz w:val="21"/>
                <w:szCs w:val="21"/>
                <w:highlight w:val="none"/>
                <w:u w:val="single"/>
              </w:rPr>
              <w:t>12</w:t>
            </w:r>
            <w:r>
              <w:rPr>
                <w:rFonts w:hint="eastAsia" w:ascii="宋体" w:hAnsi="宋体" w:eastAsia="宋体" w:cs="宋体"/>
                <w:color w:val="auto"/>
                <w:sz w:val="21"/>
                <w:szCs w:val="21"/>
                <w:highlight w:val="none"/>
              </w:rPr>
              <w:t>时</w:t>
            </w:r>
            <w:r>
              <w:rPr>
                <w:rFonts w:hint="eastAsia" w:ascii="宋体" w:hAnsi="宋体" w:eastAsia="宋体" w:cs="宋体"/>
                <w:color w:val="auto"/>
                <w:sz w:val="21"/>
                <w:szCs w:val="21"/>
                <w:highlight w:val="none"/>
                <w:u w:val="single"/>
              </w:rPr>
              <w:t>00</w:t>
            </w:r>
            <w:r>
              <w:rPr>
                <w:rFonts w:hint="eastAsia" w:ascii="宋体" w:hAnsi="宋体" w:eastAsia="宋体" w:cs="宋体"/>
                <w:color w:val="auto"/>
                <w:sz w:val="21"/>
                <w:szCs w:val="21"/>
                <w:highlight w:val="none"/>
              </w:rPr>
              <w:t>分，</w:t>
            </w:r>
            <w:r>
              <w:rPr>
                <w:rFonts w:hint="eastAsia" w:ascii="宋体" w:hAnsi="宋体" w:eastAsia="宋体" w:cs="宋体"/>
                <w:color w:val="auto"/>
                <w:sz w:val="21"/>
                <w:szCs w:val="21"/>
                <w:highlight w:val="none"/>
                <w:u w:val="single"/>
              </w:rPr>
              <w:t>15</w:t>
            </w:r>
            <w:r>
              <w:rPr>
                <w:rFonts w:hint="eastAsia" w:ascii="宋体" w:hAnsi="宋体" w:eastAsia="宋体" w:cs="宋体"/>
                <w:color w:val="auto"/>
                <w:sz w:val="21"/>
                <w:szCs w:val="21"/>
                <w:highlight w:val="none"/>
              </w:rPr>
              <w:t>时</w:t>
            </w:r>
            <w:r>
              <w:rPr>
                <w:rFonts w:hint="eastAsia" w:ascii="宋体" w:hAnsi="宋体" w:eastAsia="宋体" w:cs="宋体"/>
                <w:color w:val="auto"/>
                <w:sz w:val="21"/>
                <w:szCs w:val="21"/>
                <w:highlight w:val="none"/>
                <w:u w:val="single"/>
              </w:rPr>
              <w:t>00</w:t>
            </w:r>
            <w:r>
              <w:rPr>
                <w:rFonts w:hint="eastAsia" w:ascii="宋体" w:hAnsi="宋体" w:eastAsia="宋体" w:cs="宋体"/>
                <w:color w:val="auto"/>
                <w:sz w:val="21"/>
                <w:szCs w:val="21"/>
                <w:highlight w:val="none"/>
              </w:rPr>
              <w:t>分到</w:t>
            </w:r>
            <w:r>
              <w:rPr>
                <w:rFonts w:hint="eastAsia" w:ascii="宋体" w:hAnsi="宋体" w:eastAsia="宋体" w:cs="宋体"/>
                <w:color w:val="auto"/>
                <w:sz w:val="21"/>
                <w:szCs w:val="21"/>
                <w:highlight w:val="none"/>
                <w:u w:val="single"/>
              </w:rPr>
              <w:t>18</w:t>
            </w:r>
            <w:r>
              <w:rPr>
                <w:rFonts w:hint="eastAsia" w:ascii="宋体" w:hAnsi="宋体" w:eastAsia="宋体" w:cs="宋体"/>
                <w:color w:val="auto"/>
                <w:sz w:val="21"/>
                <w:szCs w:val="21"/>
                <w:highlight w:val="none"/>
              </w:rPr>
              <w:t>时</w:t>
            </w:r>
            <w:r>
              <w:rPr>
                <w:rFonts w:hint="eastAsia" w:ascii="宋体" w:hAnsi="宋体" w:eastAsia="宋体" w:cs="宋体"/>
                <w:color w:val="auto"/>
                <w:sz w:val="21"/>
                <w:szCs w:val="21"/>
                <w:highlight w:val="none"/>
                <w:u w:val="single"/>
              </w:rPr>
              <w:t>00</w:t>
            </w:r>
            <w:r>
              <w:rPr>
                <w:rFonts w:hint="eastAsia" w:ascii="宋体" w:hAnsi="宋体" w:eastAsia="宋体" w:cs="宋体"/>
                <w:color w:val="auto"/>
                <w:sz w:val="21"/>
                <w:szCs w:val="21"/>
                <w:highlight w:val="none"/>
              </w:rPr>
              <w:t>分</w:t>
            </w:r>
          </w:p>
        </w:tc>
      </w:tr>
      <w:tr w14:paraId="7F688C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9" w:hRule="atLeast"/>
        </w:trPr>
        <w:tc>
          <w:tcPr>
            <w:tcW w:w="675" w:type="dxa"/>
            <w:noWrap w:val="0"/>
            <w:vAlign w:val="center"/>
          </w:tcPr>
          <w:p w14:paraId="0A1CA4CE">
            <w:pPr>
              <w:spacing w:line="40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38.3.1</w:t>
            </w:r>
          </w:p>
        </w:tc>
        <w:tc>
          <w:tcPr>
            <w:tcW w:w="2268" w:type="dxa"/>
            <w:noWrap w:val="0"/>
            <w:vAlign w:val="center"/>
          </w:tcPr>
          <w:p w14:paraId="38642DA3">
            <w:pPr>
              <w:spacing w:line="40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投诉受理方式</w:t>
            </w:r>
          </w:p>
        </w:tc>
        <w:tc>
          <w:tcPr>
            <w:tcW w:w="7297" w:type="dxa"/>
            <w:noWrap w:val="0"/>
            <w:vAlign w:val="center"/>
          </w:tcPr>
          <w:p w14:paraId="5EB9C45C">
            <w:pPr>
              <w:snapToGrid w:val="0"/>
              <w:spacing w:line="40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1、受理方式：纸质方式受理，投诉书正、副本（经过质疑的事项才可投诉）。</w:t>
            </w:r>
          </w:p>
          <w:p w14:paraId="35822826">
            <w:pPr>
              <w:snapToGrid w:val="0"/>
              <w:spacing w:line="40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2、邮寄地址：</w:t>
            </w:r>
          </w:p>
          <w:p w14:paraId="48A02C8E">
            <w:pPr>
              <w:snapToGrid w:val="0"/>
              <w:spacing w:line="40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名称：横州市财政局</w:t>
            </w:r>
          </w:p>
          <w:p w14:paraId="1C8203A1">
            <w:pPr>
              <w:snapToGrid w:val="0"/>
              <w:spacing w:line="40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地址：横州市横州镇柳明路22号</w:t>
            </w:r>
          </w:p>
          <w:p w14:paraId="4E0E12EB">
            <w:pPr>
              <w:snapToGrid w:val="0"/>
              <w:spacing w:line="40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联系电话：0771-7233567</w:t>
            </w:r>
          </w:p>
        </w:tc>
      </w:tr>
      <w:tr w14:paraId="57EC88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80" w:hRule="atLeast"/>
        </w:trPr>
        <w:tc>
          <w:tcPr>
            <w:tcW w:w="675" w:type="dxa"/>
            <w:vMerge w:val="restart"/>
            <w:noWrap w:val="0"/>
            <w:vAlign w:val="center"/>
          </w:tcPr>
          <w:p w14:paraId="5CFF2AE8">
            <w:pPr>
              <w:spacing w:line="40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40</w:t>
            </w:r>
          </w:p>
        </w:tc>
        <w:tc>
          <w:tcPr>
            <w:tcW w:w="2268" w:type="dxa"/>
            <w:noWrap w:val="0"/>
            <w:vAlign w:val="center"/>
          </w:tcPr>
          <w:p w14:paraId="79E59E41">
            <w:pPr>
              <w:spacing w:line="40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采购代理费支付方式</w:t>
            </w:r>
          </w:p>
        </w:tc>
        <w:tc>
          <w:tcPr>
            <w:tcW w:w="7297" w:type="dxa"/>
            <w:noWrap w:val="0"/>
            <w:vAlign w:val="center"/>
          </w:tcPr>
          <w:p w14:paraId="2B677B02">
            <w:pPr>
              <w:pStyle w:val="18"/>
              <w:snapToGrid w:val="0"/>
              <w:spacing w:line="40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☑本项目代理服务费由</w:t>
            </w:r>
            <w:r>
              <w:rPr>
                <w:rFonts w:hint="eastAsia" w:ascii="宋体" w:hAnsi="宋体" w:eastAsia="宋体" w:cs="宋体"/>
                <w:color w:val="auto"/>
                <w:sz w:val="21"/>
                <w:szCs w:val="21"/>
                <w:highlight w:val="none"/>
                <w:u w:val="single"/>
              </w:rPr>
              <w:t>中标人</w:t>
            </w:r>
            <w:r>
              <w:rPr>
                <w:rFonts w:hint="eastAsia" w:ascii="宋体" w:hAnsi="宋体" w:eastAsia="宋体" w:cs="宋体"/>
                <w:color w:val="auto"/>
                <w:sz w:val="21"/>
                <w:szCs w:val="21"/>
                <w:highlight w:val="none"/>
              </w:rPr>
              <w:t>在领取中标通知书前，一次性向采购代理机构支付。</w:t>
            </w:r>
          </w:p>
          <w:p w14:paraId="35934865">
            <w:pPr>
              <w:pStyle w:val="18"/>
              <w:snapToGrid w:val="0"/>
              <w:spacing w:line="40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□采购人支付。</w:t>
            </w:r>
          </w:p>
          <w:p w14:paraId="5AFDC859">
            <w:pPr>
              <w:pStyle w:val="18"/>
              <w:snapToGrid w:val="0"/>
              <w:spacing w:line="40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□本项目不收取代理服务费。</w:t>
            </w:r>
          </w:p>
        </w:tc>
      </w:tr>
      <w:tr w14:paraId="3A1D1B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trPr>
        <w:tc>
          <w:tcPr>
            <w:tcW w:w="675" w:type="dxa"/>
            <w:vMerge w:val="continue"/>
            <w:noWrap w:val="0"/>
            <w:vAlign w:val="center"/>
          </w:tcPr>
          <w:p w14:paraId="1D31383F">
            <w:pPr>
              <w:widowControl/>
              <w:spacing w:line="400" w:lineRule="exact"/>
              <w:jc w:val="left"/>
              <w:rPr>
                <w:rFonts w:hint="eastAsia" w:ascii="宋体" w:hAnsi="宋体" w:eastAsia="宋体" w:cs="宋体"/>
                <w:color w:val="auto"/>
                <w:sz w:val="21"/>
                <w:szCs w:val="21"/>
                <w:highlight w:val="none"/>
              </w:rPr>
            </w:pPr>
          </w:p>
        </w:tc>
        <w:tc>
          <w:tcPr>
            <w:tcW w:w="2268" w:type="dxa"/>
            <w:noWrap w:val="0"/>
            <w:vAlign w:val="center"/>
          </w:tcPr>
          <w:p w14:paraId="57C5055C">
            <w:pPr>
              <w:spacing w:line="40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采购代理费收取标准</w:t>
            </w:r>
          </w:p>
        </w:tc>
        <w:tc>
          <w:tcPr>
            <w:tcW w:w="7297" w:type="dxa"/>
            <w:noWrap w:val="0"/>
            <w:vAlign w:val="center"/>
          </w:tcPr>
          <w:p w14:paraId="7B5AB38F">
            <w:pPr>
              <w:pStyle w:val="18"/>
              <w:snapToGrid w:val="0"/>
              <w:spacing w:line="380" w:lineRule="exact"/>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lang w:val="en-US" w:eastAsia="zh-CN"/>
              </w:rPr>
              <w:t>代理服务费参照《国家计委关于印发&lt;招标代理服务收费管理暂行办法&gt;的通知》（计价格〔2002〕1980号）和《国家发展改革委员会办公厅关于招标代理服务收费有关问题的通知》（发改办价格〔2003〕857号）规定的标准计算</w:t>
            </w:r>
            <w:r>
              <w:rPr>
                <w:rFonts w:hint="eastAsia" w:ascii="宋体" w:hAnsi="宋体" w:eastAsia="宋体" w:cs="宋体"/>
                <w:color w:val="auto"/>
                <w:sz w:val="21"/>
                <w:szCs w:val="21"/>
                <w:highlight w:val="none"/>
              </w:rPr>
              <w:t>。</w:t>
            </w:r>
          </w:p>
        </w:tc>
      </w:tr>
      <w:tr w14:paraId="79F767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49" w:hRule="atLeast"/>
        </w:trPr>
        <w:tc>
          <w:tcPr>
            <w:tcW w:w="675" w:type="dxa"/>
            <w:vMerge w:val="continue"/>
            <w:noWrap w:val="0"/>
            <w:vAlign w:val="center"/>
          </w:tcPr>
          <w:p w14:paraId="5C05BB40">
            <w:pPr>
              <w:widowControl/>
              <w:spacing w:line="400" w:lineRule="exact"/>
              <w:jc w:val="left"/>
              <w:rPr>
                <w:rFonts w:hint="eastAsia" w:ascii="宋体" w:hAnsi="宋体" w:eastAsia="宋体" w:cs="宋体"/>
                <w:color w:val="auto"/>
                <w:sz w:val="21"/>
                <w:szCs w:val="21"/>
                <w:highlight w:val="none"/>
              </w:rPr>
            </w:pPr>
          </w:p>
        </w:tc>
        <w:tc>
          <w:tcPr>
            <w:tcW w:w="2268" w:type="dxa"/>
            <w:noWrap w:val="0"/>
            <w:vAlign w:val="center"/>
          </w:tcPr>
          <w:p w14:paraId="1B04A253">
            <w:pPr>
              <w:spacing w:line="40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代理服务费收款账户信息</w:t>
            </w:r>
          </w:p>
        </w:tc>
        <w:tc>
          <w:tcPr>
            <w:tcW w:w="7297" w:type="dxa"/>
            <w:noWrap w:val="0"/>
            <w:vAlign w:val="center"/>
          </w:tcPr>
          <w:p w14:paraId="2944D62D">
            <w:pPr>
              <w:pStyle w:val="18"/>
              <w:snapToGrid w:val="0"/>
              <w:spacing w:line="400" w:lineRule="exact"/>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开户名称：广西哲通项目管理有限公司</w:t>
            </w:r>
          </w:p>
          <w:p w14:paraId="57E87EA1">
            <w:pPr>
              <w:pStyle w:val="18"/>
              <w:snapToGrid w:val="0"/>
              <w:spacing w:line="400" w:lineRule="exact"/>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开户银行：中国银行广西自贸区南宁片区支行</w:t>
            </w:r>
          </w:p>
          <w:p w14:paraId="2AE29184">
            <w:pPr>
              <w:pStyle w:val="18"/>
              <w:snapToGrid w:val="0"/>
              <w:spacing w:line="40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银行账号：621081080118</w:t>
            </w:r>
          </w:p>
        </w:tc>
      </w:tr>
      <w:tr w14:paraId="336B32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noWrap w:val="0"/>
            <w:vAlign w:val="center"/>
          </w:tcPr>
          <w:p w14:paraId="56711B69">
            <w:pPr>
              <w:snapToGrid w:val="0"/>
              <w:spacing w:line="400" w:lineRule="exact"/>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41.1</w:t>
            </w:r>
          </w:p>
        </w:tc>
        <w:tc>
          <w:tcPr>
            <w:tcW w:w="2268" w:type="dxa"/>
            <w:noWrap w:val="0"/>
            <w:vAlign w:val="center"/>
          </w:tcPr>
          <w:p w14:paraId="3539F0F5">
            <w:pPr>
              <w:snapToGrid w:val="0"/>
              <w:spacing w:line="40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解释</w:t>
            </w:r>
          </w:p>
        </w:tc>
        <w:tc>
          <w:tcPr>
            <w:tcW w:w="7297" w:type="dxa"/>
            <w:noWrap w:val="0"/>
            <w:vAlign w:val="center"/>
          </w:tcPr>
          <w:p w14:paraId="58DEB257">
            <w:pPr>
              <w:snapToGrid w:val="0"/>
              <w:spacing w:line="400" w:lineRule="exact"/>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解释权：</w:t>
            </w:r>
            <w:r>
              <w:rPr>
                <w:rFonts w:hint="eastAsia" w:ascii="宋体" w:hAnsi="宋体" w:eastAsia="宋体" w:cs="宋体"/>
                <w:color w:val="auto"/>
                <w:sz w:val="21"/>
                <w:szCs w:val="21"/>
                <w:highlight w:val="none"/>
              </w:rPr>
              <w:t>构成本招标文件的各个组成文件应互为解释，互为说明；除招标文件中有特别规定外，仅适用于招标投标阶段的规定，按更正公告（澄清公告）、招标公告、采购需求、投标人须知、评标方法及评标标准、拟签订的合同文本、投标文件格式的先后顺序解释；同一组成文件中就同一事项的规定或者约定不一致的，以编排顺序在后者为准；同一组成文件不同版本之间有不一致的，以形成时间在后者为准；更正公告（澄清公告）与同步更新的招标文件不一致时以更正公告（澄清公告）为准。按本款前述规定仍不能形成结论的</w:t>
            </w:r>
            <w:r>
              <w:rPr>
                <w:rFonts w:hint="eastAsia" w:ascii="宋体" w:hAnsi="宋体" w:eastAsia="宋体" w:cs="宋体"/>
                <w:b/>
                <w:color w:val="auto"/>
                <w:sz w:val="21"/>
                <w:szCs w:val="21"/>
                <w:highlight w:val="none"/>
              </w:rPr>
              <w:t>，由采购人或者采购代理机构负责解释。</w:t>
            </w:r>
          </w:p>
          <w:p w14:paraId="438D9F85">
            <w:pPr>
              <w:snapToGrid w:val="0"/>
              <w:spacing w:line="400" w:lineRule="exact"/>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法律责任：</w:t>
            </w:r>
          </w:p>
          <w:p w14:paraId="69682EDF">
            <w:pPr>
              <w:snapToGrid w:val="0"/>
              <w:spacing w:line="40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本采购文件根据《中华人民共和国政府采购法》、《中华人民共和国民法典》；《中华人民共和国政府采购法实施条例》、《政府采购货物和服务招标投标管理办法》等有关法律、法规编制，参与本项目的各政府采购当事人依法享有上述法律法规所赋予的权利与义务。</w:t>
            </w:r>
          </w:p>
          <w:p w14:paraId="2448468B">
            <w:pPr>
              <w:spacing w:line="400" w:lineRule="exact"/>
              <w:rPr>
                <w:rFonts w:hint="eastAsia" w:ascii="宋体" w:hAnsi="宋体" w:eastAsia="宋体" w:cs="宋体"/>
                <w:color w:val="auto"/>
                <w:sz w:val="21"/>
                <w:szCs w:val="21"/>
                <w:highlight w:val="none"/>
              </w:rPr>
            </w:pPr>
            <w:r>
              <w:rPr>
                <w:rFonts w:hint="eastAsia" w:ascii="宋体" w:hAnsi="宋体" w:eastAsia="宋体" w:cs="宋体"/>
                <w:b/>
                <w:color w:val="auto"/>
                <w:sz w:val="21"/>
                <w:szCs w:val="21"/>
                <w:highlight w:val="none"/>
              </w:rPr>
              <w:t>2.本项目采购代理机构应严格按照</w:t>
            </w:r>
            <w:r>
              <w:rPr>
                <w:rFonts w:hint="eastAsia" w:ascii="宋体" w:hAnsi="宋体" w:eastAsia="宋体" w:cs="宋体"/>
                <w:b/>
                <w:color w:val="auto"/>
                <w:sz w:val="21"/>
                <w:szCs w:val="21"/>
                <w:highlight w:val="none"/>
                <w:lang w:eastAsia="zh-CN"/>
              </w:rPr>
              <w:t>广西政府采购云平台</w:t>
            </w:r>
            <w:r>
              <w:rPr>
                <w:rFonts w:hint="eastAsia" w:ascii="宋体" w:hAnsi="宋体" w:eastAsia="宋体" w:cs="宋体"/>
                <w:b/>
                <w:color w:val="auto"/>
                <w:sz w:val="21"/>
                <w:szCs w:val="21"/>
                <w:highlight w:val="none"/>
              </w:rPr>
              <w:t>项目采购全流程电子化电子开评标规程执行项目采购活动，代理机构在</w:t>
            </w:r>
            <w:r>
              <w:rPr>
                <w:rFonts w:hint="eastAsia" w:ascii="宋体" w:hAnsi="宋体" w:eastAsia="宋体" w:cs="宋体"/>
                <w:b/>
                <w:color w:val="auto"/>
                <w:sz w:val="21"/>
                <w:szCs w:val="21"/>
                <w:highlight w:val="none"/>
                <w:lang w:eastAsia="zh-CN"/>
              </w:rPr>
              <w:t>广西政府采购云平台</w:t>
            </w:r>
            <w:r>
              <w:rPr>
                <w:rFonts w:hint="eastAsia" w:ascii="宋体" w:hAnsi="宋体" w:eastAsia="宋体" w:cs="宋体"/>
                <w:b/>
                <w:color w:val="auto"/>
                <w:sz w:val="21"/>
                <w:szCs w:val="21"/>
                <w:highlight w:val="none"/>
              </w:rPr>
              <w:t>的“项目管理”—“采购文件管理”内开评标规则设置作为本采购文件的组成部分，截标之后不可更改，因代理机构开评标规则设置错误导致采购活动无法开展下去的情况，由代理机构负责解释并承担其后果。</w:t>
            </w:r>
          </w:p>
        </w:tc>
      </w:tr>
      <w:tr w14:paraId="57CDC3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noWrap w:val="0"/>
            <w:vAlign w:val="center"/>
          </w:tcPr>
          <w:p w14:paraId="5A5D4B43">
            <w:pPr>
              <w:snapToGrid w:val="0"/>
              <w:spacing w:line="400" w:lineRule="exact"/>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41.2</w:t>
            </w:r>
          </w:p>
        </w:tc>
        <w:tc>
          <w:tcPr>
            <w:tcW w:w="2268" w:type="dxa"/>
            <w:noWrap w:val="0"/>
            <w:vAlign w:val="center"/>
          </w:tcPr>
          <w:p w14:paraId="7A1A7D07">
            <w:pPr>
              <w:snapToGrid w:val="0"/>
              <w:spacing w:line="40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其他释义</w:t>
            </w:r>
          </w:p>
        </w:tc>
        <w:tc>
          <w:tcPr>
            <w:tcW w:w="7297" w:type="dxa"/>
            <w:noWrap w:val="0"/>
            <w:vAlign w:val="center"/>
          </w:tcPr>
          <w:p w14:paraId="67B36218">
            <w:pPr>
              <w:spacing w:line="400" w:lineRule="exact"/>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1.本招标文件中描述投标人的“公章”是指根据我国对公章的管理规定，用投标人法定主体行为名称制作的印章（含投标人通过指定电子化政府采购平台办理数字证书（CA认证）获得的以法定主体行为名称制作的电子印章），除本招标文件有特殊规定外，投标人的财务章、部门章、分公司章、工会章、合同章、投标专用章、业务专用章及银行的转账章、现金收讫章、现金付讫章等其他形式印章均不能代替公章。</w:t>
            </w:r>
          </w:p>
          <w:p w14:paraId="54CC4D00">
            <w:pPr>
              <w:pStyle w:val="18"/>
              <w:snapToGrid w:val="0"/>
              <w:spacing w:line="400" w:lineRule="exact"/>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2.投标人为其他组织或者自然人时，本招标文件规定的法定代表人指负责人或者自然人。本招标文件所称负责人是指参加投标的其他组织营业执照上的负责人，本招标文件所称自然人指参与投标的自然人本人。</w:t>
            </w:r>
          </w:p>
          <w:p w14:paraId="4C897C68">
            <w:pPr>
              <w:spacing w:line="400" w:lineRule="exact"/>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3.本招标文件中描述投标人的“签字”是指投标人的法定代表人或者委托代理人亲自在文件规定签署处亲笔写上个人的名字的行为（含投标人通过指定电子化政府采购平台办理数字证书（CA认证）获得的以投标人法定代表人或者委托代理人姓名制作的电子印章或手写签字），私章、签字章、印鉴、影印等其他形式均不能代替亲笔签字。</w:t>
            </w:r>
          </w:p>
          <w:p w14:paraId="08877796">
            <w:pPr>
              <w:pStyle w:val="18"/>
              <w:snapToGrid w:val="0"/>
              <w:spacing w:line="400" w:lineRule="exact"/>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4.自然人投标的，招标文件规定盖公章处由自然人摁手指指印。</w:t>
            </w:r>
          </w:p>
          <w:p w14:paraId="07E59DF1">
            <w:pPr>
              <w:spacing w:line="400" w:lineRule="exact"/>
              <w:jc w:val="left"/>
              <w:rPr>
                <w:rFonts w:hint="eastAsia" w:ascii="宋体" w:hAnsi="宋体" w:eastAsia="宋体" w:cs="宋体"/>
                <w:color w:val="auto"/>
                <w:sz w:val="21"/>
                <w:szCs w:val="21"/>
                <w:highlight w:val="none"/>
              </w:rPr>
            </w:pPr>
            <w:r>
              <w:rPr>
                <w:rFonts w:hint="eastAsia" w:ascii="宋体" w:hAnsi="宋体" w:eastAsia="宋体" w:cs="宋体"/>
                <w:b/>
                <w:bCs/>
                <w:color w:val="auto"/>
                <w:sz w:val="21"/>
                <w:szCs w:val="21"/>
                <w:highlight w:val="none"/>
              </w:rPr>
              <w:t>5.本招标文件所称的“以上”“以下”“以内”“届满”，包括本数；所称的“不满”“超过”“以外”，不包括本数。</w:t>
            </w:r>
          </w:p>
        </w:tc>
      </w:tr>
    </w:tbl>
    <w:p w14:paraId="77CCC47D">
      <w:pPr>
        <w:widowControl/>
        <w:spacing w:line="412" w:lineRule="auto"/>
        <w:jc w:val="left"/>
        <w:rPr>
          <w:rFonts w:hint="eastAsia" w:ascii="宋体" w:hAnsi="宋体" w:eastAsia="宋体" w:cs="宋体"/>
          <w:b/>
          <w:bCs/>
          <w:color w:val="auto"/>
          <w:sz w:val="32"/>
          <w:szCs w:val="32"/>
          <w:highlight w:val="none"/>
        </w:rPr>
        <w:sectPr>
          <w:pgSz w:w="11906" w:h="16838"/>
          <w:pgMar w:top="1134" w:right="1134" w:bottom="1134" w:left="1134" w:header="720" w:footer="720" w:gutter="0"/>
          <w:cols w:space="720" w:num="1"/>
          <w:docGrid w:type="lines" w:linePitch="331" w:charSpace="0"/>
        </w:sectPr>
      </w:pPr>
    </w:p>
    <w:p w14:paraId="26B62B39">
      <w:pPr>
        <w:pStyle w:val="3"/>
        <w:jc w:val="center"/>
        <w:rPr>
          <w:rFonts w:hint="eastAsia" w:ascii="宋体" w:hAnsi="宋体" w:eastAsia="宋体" w:cs="宋体"/>
          <w:color w:val="auto"/>
          <w:highlight w:val="none"/>
        </w:rPr>
      </w:pPr>
      <w:bookmarkStart w:id="6" w:name="_Toc25109"/>
      <w:r>
        <w:rPr>
          <w:rFonts w:hint="eastAsia" w:ascii="宋体" w:hAnsi="宋体" w:eastAsia="宋体" w:cs="宋体"/>
          <w:color w:val="auto"/>
          <w:highlight w:val="none"/>
        </w:rPr>
        <w:t>第二节投标人须知正文</w:t>
      </w:r>
      <w:bookmarkEnd w:id="6"/>
    </w:p>
    <w:p w14:paraId="5FEBCB62">
      <w:pPr>
        <w:pStyle w:val="4"/>
        <w:keepNext w:val="0"/>
        <w:keepLines w:val="0"/>
        <w:spacing w:line="400" w:lineRule="exact"/>
        <w:jc w:val="center"/>
        <w:rPr>
          <w:rFonts w:hint="eastAsia" w:ascii="宋体" w:hAnsi="宋体" w:eastAsia="宋体" w:cs="宋体"/>
          <w:color w:val="auto"/>
          <w:highlight w:val="none"/>
        </w:rPr>
      </w:pPr>
      <w:bookmarkStart w:id="7" w:name="_Toc24766"/>
      <w:r>
        <w:rPr>
          <w:rFonts w:hint="eastAsia" w:ascii="宋体" w:hAnsi="宋体" w:eastAsia="宋体" w:cs="宋体"/>
          <w:color w:val="auto"/>
          <w:highlight w:val="none"/>
        </w:rPr>
        <w:t>一、总则</w:t>
      </w:r>
      <w:bookmarkEnd w:id="7"/>
    </w:p>
    <w:p w14:paraId="437A1A7F">
      <w:pPr>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1.适用范围</w:t>
      </w:r>
    </w:p>
    <w:p w14:paraId="3D53FDA2">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1.1适用法律：本项目采购人、采购代理机构、投标人、评标委员会的相关行为均受《中华人民共和国政府采购法》、《中华人民共和国政府采购法实施条例》、《政府采购货物和服务招标投标管理办法》及本项目本级和上级财政部门政府采购有关规定的约束和保护。</w:t>
      </w:r>
    </w:p>
    <w:p w14:paraId="11E5C7B2">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1.2本招标文件</w:t>
      </w:r>
      <w:r>
        <w:rPr>
          <w:rFonts w:hint="eastAsia" w:ascii="宋体" w:hAnsi="宋体" w:eastAsia="宋体" w:cs="宋体"/>
          <w:color w:val="auto"/>
          <w:spacing w:val="-6"/>
          <w:szCs w:val="21"/>
          <w:highlight w:val="none"/>
        </w:rPr>
        <w:t>适用于本项目的所有采购程序和环节（法律、法规另有规定的，从其规定）。</w:t>
      </w:r>
    </w:p>
    <w:p w14:paraId="306C6B6B">
      <w:pPr>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2.定义</w:t>
      </w:r>
    </w:p>
    <w:p w14:paraId="317A17DA">
      <w:pPr>
        <w:spacing w:line="360" w:lineRule="auto"/>
        <w:ind w:firstLine="422" w:firstLineChars="200"/>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2.1“采购人”是指依法进行政府采购的国家机关、事业单位、团体组织。</w:t>
      </w:r>
    </w:p>
    <w:p w14:paraId="630BE2DD">
      <w:pPr>
        <w:spacing w:line="360" w:lineRule="auto"/>
        <w:ind w:firstLine="422" w:firstLineChars="200"/>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2.2“采购代理机构”指政府采购集中采购机构和集中采购机构以外的采购代理机构。</w:t>
      </w:r>
    </w:p>
    <w:p w14:paraId="43F9EF2D">
      <w:pPr>
        <w:spacing w:line="360" w:lineRule="auto"/>
        <w:ind w:firstLine="422" w:firstLineChars="200"/>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2.3“供应商”是指向采购人提供货物、工程或者服务的法人、其他组织或者自然人。</w:t>
      </w:r>
    </w:p>
    <w:p w14:paraId="55C2EB44">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2.4“投标人”是指响应招标、参加投标竞争的法人、非法人组织或者自然人。</w:t>
      </w:r>
    </w:p>
    <w:p w14:paraId="11012D5E">
      <w:pPr>
        <w:spacing w:line="360" w:lineRule="auto"/>
        <w:ind w:firstLine="422" w:firstLineChars="200"/>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2.5“服务”是指除货物和工程以外的其他政府采购对象。</w:t>
      </w:r>
    </w:p>
    <w:p w14:paraId="5AA1A75A">
      <w:pPr>
        <w:spacing w:line="360" w:lineRule="auto"/>
        <w:ind w:firstLine="422" w:firstLineChars="200"/>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2.6“书面形式”是指合同书、信件和数据电文（包括电报、电传、传真、短信、电子数据交换和电子邮件）等可以有形地表现所载内容的形式。</w:t>
      </w:r>
    </w:p>
    <w:p w14:paraId="7BB0F29A">
      <w:pPr>
        <w:spacing w:line="360" w:lineRule="auto"/>
        <w:ind w:firstLine="422" w:firstLineChars="200"/>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2.7“实质性要求”是指招标文件中已经指明不满足则投标无效的条款，或者不能负偏离的条款，或者采购需求中带“</w:t>
      </w:r>
      <w:r>
        <w:rPr>
          <w:rFonts w:hint="eastAsia" w:ascii="宋体" w:hAnsi="宋体" w:eastAsia="宋体" w:cs="宋体"/>
          <w:b/>
          <w:bCs/>
          <w:color w:val="auto"/>
          <w:szCs w:val="21"/>
          <w:highlight w:val="none"/>
        </w:rPr>
        <w:t>▲</w:t>
      </w:r>
      <w:r>
        <w:rPr>
          <w:rFonts w:hint="eastAsia" w:ascii="宋体" w:hAnsi="宋体" w:eastAsia="宋体" w:cs="宋体"/>
          <w:b/>
          <w:color w:val="auto"/>
          <w:szCs w:val="21"/>
          <w:highlight w:val="none"/>
        </w:rPr>
        <w:t>”的条款。</w:t>
      </w:r>
    </w:p>
    <w:p w14:paraId="54DF5D5E">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2.8“正偏离”，是指投标文件对招标文件“采购需求”中有关条款作出的响应优于条款要求并有利于采购人的情形。</w:t>
      </w:r>
    </w:p>
    <w:p w14:paraId="189BAED5">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2.9“负偏离”，是指投标文件对招标文件“采购需求”中有关条款作出的响应不满足条款要求，导致采购人要求不能得到满足的情形。</w:t>
      </w:r>
    </w:p>
    <w:p w14:paraId="3C57CBAD">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2.10“允许负偏离的条款”是指采购需求中的不属于“实质性要求”的条款。</w:t>
      </w:r>
    </w:p>
    <w:p w14:paraId="18B3CE75">
      <w:pPr>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3.投标人的资格要求</w:t>
      </w:r>
    </w:p>
    <w:p w14:paraId="6BA53636">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投标人的资格要求详见“招标公告”。</w:t>
      </w:r>
    </w:p>
    <w:p w14:paraId="1D5C6640">
      <w:pPr>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4.投标委托</w:t>
      </w:r>
    </w:p>
    <w:p w14:paraId="670E0146">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投标人代表参加投标活动过程中必须携带个人有效身份证件。如投标人代表不是法定代表人，须持有法定代表人授权委托书（正本用原件，副本用复印件，按第六章要求格式填写）。</w:t>
      </w:r>
    </w:p>
    <w:p w14:paraId="23815B8A">
      <w:pPr>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5.投标费用</w:t>
      </w:r>
    </w:p>
    <w:p w14:paraId="7EF24CFF">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投标费用：投标人应承担参与本次采购活动有关的所有费用，包括但不限于勘查现场、编制投标文件、参加澄清说明、签订合同等，不论投标结果如何，均应自行承担。</w:t>
      </w:r>
    </w:p>
    <w:p w14:paraId="58BEF6D9">
      <w:pPr>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6.联合体投标</w:t>
      </w:r>
    </w:p>
    <w:p w14:paraId="626932D0">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6.1本项目是否接受联合体投标，详见“投标人须知前附表”。</w:t>
      </w:r>
    </w:p>
    <w:p w14:paraId="49A0051B">
      <w:pPr>
        <w:spacing w:line="360" w:lineRule="auto"/>
        <w:ind w:firstLine="420" w:firstLineChars="200"/>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6.2如接受联合体投标，联合体投标要求详见“投标人须知前附表”。</w:t>
      </w:r>
    </w:p>
    <w:p w14:paraId="580F6A5D">
      <w:pPr>
        <w:spacing w:line="360" w:lineRule="auto"/>
        <w:ind w:firstLine="420" w:firstLineChars="200"/>
        <w:rPr>
          <w:rFonts w:hint="eastAsia" w:ascii="宋体" w:hAnsi="宋体" w:eastAsia="宋体" w:cs="宋体"/>
          <w:bCs/>
          <w:color w:val="auto"/>
          <w:sz w:val="24"/>
          <w:szCs w:val="21"/>
          <w:highlight w:val="none"/>
          <w:shd w:val="clear" w:color="auto" w:fill="FFFFFF"/>
        </w:rPr>
      </w:pPr>
      <w:r>
        <w:rPr>
          <w:rFonts w:hint="eastAsia" w:ascii="宋体" w:hAnsi="宋体" w:eastAsia="宋体" w:cs="宋体"/>
          <w:bCs/>
          <w:color w:val="auto"/>
          <w:szCs w:val="21"/>
          <w:highlight w:val="none"/>
        </w:rPr>
        <w:t>6.3根据《政府采购促进中小企业发展管理办法》（财库[2020]46号）第九条、《广西壮族自治区财政厅关于进一步发挥政府采购政策功能促进企业发展的通知》（桂财采〔2022〕30号）、</w:t>
      </w:r>
      <w:r>
        <w:rPr>
          <w:rFonts w:hint="eastAsia" w:ascii="宋体" w:hAnsi="宋体" w:eastAsia="宋体" w:cs="宋体"/>
          <w:color w:val="auto"/>
          <w:highlight w:val="none"/>
        </w:rPr>
        <w:t>《广西壮族自治区财政厅关于贯彻落实政府采购支持中小企业发展政策的通知》（桂财采〔2022〕31号）</w:t>
      </w:r>
      <w:r>
        <w:rPr>
          <w:rFonts w:hint="eastAsia" w:ascii="宋体" w:hAnsi="宋体" w:eastAsia="宋体" w:cs="宋体"/>
          <w:bCs/>
          <w:color w:val="auto"/>
          <w:szCs w:val="21"/>
          <w:highlight w:val="none"/>
        </w:rPr>
        <w:t>及《广西壮族自治区财政厅广西壮族自治区工业和信息化厅转发财政部工业和信息化部政府采购促进中小企业发展管理办法的通知》（桂财采〔2021〕70号）规定，接受大中型企业与小微企业组成联合体的采购项目，对于联合协议约定小微企业的合同份额占到合同总金额30%以上的，采购人、采购代理机构应当对联合体的报价给予4%-6%（工程项目为1%—2%）的扣除，用扣除后的价格参加评审。组成联合体的小微企业与联合体内其他企业、分包企业之间存在直接控股、管理关系的，不享受价格扣除优惠政策。</w:t>
      </w:r>
    </w:p>
    <w:p w14:paraId="65A70883">
      <w:pPr>
        <w:spacing w:line="360" w:lineRule="auto"/>
        <w:ind w:firstLine="480" w:firstLineChars="200"/>
        <w:rPr>
          <w:rFonts w:hint="eastAsia" w:ascii="宋体" w:hAnsi="宋体" w:eastAsia="宋体" w:cs="宋体"/>
          <w:color w:val="auto"/>
          <w:sz w:val="24"/>
          <w:highlight w:val="none"/>
          <w:lang w:eastAsia="zh-CN"/>
        </w:rPr>
      </w:pPr>
      <w:r>
        <w:rPr>
          <w:rFonts w:hint="eastAsia" w:ascii="宋体" w:hAnsi="宋体" w:eastAsia="宋体" w:cs="宋体"/>
          <w:color w:val="auto"/>
          <w:sz w:val="24"/>
          <w:highlight w:val="none"/>
        </w:rPr>
        <w:t>7.转包与分包</w:t>
      </w:r>
    </w:p>
    <w:p w14:paraId="53525124">
      <w:pPr>
        <w:spacing w:line="360" w:lineRule="auto"/>
        <w:ind w:firstLine="422" w:firstLineChars="200"/>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7.1本项目是否允许分包详见“投标人须知前附表”，本项目不允许违法分包。投标人根据招标文件的规定和采购项目的实际情况，拟在中标后将中标项目的非主体、非关键性工作分包的，应当在投标文件中载明分包承担主体，分包承担主体应当具备相应资质条件且不得再次分包。</w:t>
      </w:r>
    </w:p>
    <w:p w14:paraId="02F055E3">
      <w:pPr>
        <w:spacing w:line="360" w:lineRule="auto"/>
        <w:ind w:firstLine="420" w:firstLineChars="200"/>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7.2根据《政府采购促进中小企业发展管理办法》（财库[2020]46号）第九条及《广西壮族自治区财政厅关于进一步发挥政府采购政策功能促进企业发展的通知》（桂财采〔2022〕30号）、</w:t>
      </w:r>
      <w:r>
        <w:rPr>
          <w:rFonts w:hint="eastAsia" w:ascii="宋体" w:hAnsi="宋体" w:eastAsia="宋体" w:cs="宋体"/>
          <w:color w:val="auto"/>
          <w:highlight w:val="none"/>
        </w:rPr>
        <w:t>《广西壮族自治区财政厅关于贯彻落实政府采购支持中小企业发展政策的通知》（桂财采〔2022〕31号）</w:t>
      </w:r>
      <w:r>
        <w:rPr>
          <w:rFonts w:hint="eastAsia" w:ascii="宋体" w:hAnsi="宋体" w:eastAsia="宋体" w:cs="宋体"/>
          <w:bCs/>
          <w:color w:val="auto"/>
          <w:szCs w:val="21"/>
          <w:highlight w:val="none"/>
        </w:rPr>
        <w:t>规定，允许大中型企业向一家或者多家小微企业分包的采购项目，对于分包意向协议约定小微企业的合同份额占到合同总金额30%以上的，采购人、采购代理机构应当对大中型企业的报价给予4%-6%的扣除，用扣除后的价格参加评审。接受分包的小微企业与分包企业之间存在直接控股、管理关系的，不享受价格扣除优惠政策。</w:t>
      </w:r>
    </w:p>
    <w:p w14:paraId="47F11B7F">
      <w:pPr>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8.特别说明：</w:t>
      </w:r>
    </w:p>
    <w:p w14:paraId="3602E6D7">
      <w:pPr>
        <w:spacing w:line="360" w:lineRule="auto"/>
        <w:ind w:firstLine="422" w:firstLineChars="200"/>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8.1如果本招标文件要求投标人提供资格、信誉、荣誉、业绩与企业认证等材料的，则投标人所提供的以上材料必须为投标人所拥有。</w:t>
      </w:r>
    </w:p>
    <w:p w14:paraId="240F0ADB">
      <w:pPr>
        <w:spacing w:line="360" w:lineRule="auto"/>
        <w:ind w:firstLine="422" w:firstLineChars="200"/>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8.2投标人应仔细阅读招标文件的所有内容，按照招标文件的要求提交投标文件，并对所提供的全部资料的真实性承担法律责任。</w:t>
      </w:r>
    </w:p>
    <w:p w14:paraId="6FED1E69">
      <w:pPr>
        <w:spacing w:line="360" w:lineRule="auto"/>
        <w:ind w:firstLine="422" w:firstLineChars="200"/>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8.3投标人在投标活动中提供任何虚假材料，将报监管部门查处；中标后发现的，中标人须依照《中华人民共和国消费者权益保护法》规定赔偿采购人，且民事赔偿并不免除违法投标人的行政与刑事责任。</w:t>
      </w:r>
    </w:p>
    <w:p w14:paraId="3DDC7B98">
      <w:pPr>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9.回避与串通投标</w:t>
      </w:r>
    </w:p>
    <w:p w14:paraId="337038A7">
      <w:pPr>
        <w:spacing w:line="360" w:lineRule="auto"/>
        <w:ind w:firstLine="422" w:firstLineChars="200"/>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9.1在政府采购活动中，采购人员及相关人员与供应商有下列利害关系之一的，应当回避：</w:t>
      </w:r>
    </w:p>
    <w:p w14:paraId="0B208652">
      <w:pPr>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（1）参加采购活动前3年内与供应商存在劳动关系；</w:t>
      </w:r>
    </w:p>
    <w:p w14:paraId="1F6CFD65">
      <w:pPr>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（2）参加采购活动前3年内担任供应商的董事、监事；</w:t>
      </w:r>
    </w:p>
    <w:p w14:paraId="63A1160E">
      <w:pPr>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（3）参加采购活动前3年内是供应商的控股股东或者实际控制人；</w:t>
      </w:r>
    </w:p>
    <w:p w14:paraId="592349FB">
      <w:pPr>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（4）与供应商的法定代表人或者负责人有夫妻、直系血亲、三代以内旁系血亲或者近姻亲关系；</w:t>
      </w:r>
    </w:p>
    <w:p w14:paraId="7D6010C5">
      <w:pPr>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（5）与供应商有其他可能影响政府采购活动公平、公正进行的关系。</w:t>
      </w:r>
    </w:p>
    <w:p w14:paraId="007A86ED">
      <w:pPr>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供应商认为采购人员及相关人员与其他供应商有利害关系的，可以向采购人或者采购代理机构书面提出回避申请，并说明理由。采购人或者采购代理机构应当及时询问被申请回避人员，有利害关系的被申请回避人员应当回避。</w:t>
      </w:r>
    </w:p>
    <w:p w14:paraId="76A5C0C7">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9.2有下列情形之一的视为投标人相互串通投标，投标文件将被视为无效：</w:t>
      </w:r>
    </w:p>
    <w:p w14:paraId="207FAED5">
      <w:pPr>
        <w:spacing w:line="360" w:lineRule="auto"/>
        <w:ind w:firstLine="422" w:firstLineChars="200"/>
        <w:rPr>
          <w:rFonts w:hint="eastAsia" w:ascii="宋体" w:hAnsi="宋体" w:eastAsia="宋体" w:cs="宋体"/>
          <w:b/>
          <w:color w:val="auto"/>
          <w:highlight w:val="none"/>
        </w:rPr>
      </w:pPr>
      <w:r>
        <w:rPr>
          <w:rFonts w:hint="eastAsia" w:ascii="宋体" w:hAnsi="宋体" w:eastAsia="宋体" w:cs="宋体"/>
          <w:b/>
          <w:color w:val="auto"/>
          <w:highlight w:val="none"/>
        </w:rPr>
        <w:t>（1）不同投标人的投标文件由同一单位或者个人编制；或者不同投标人报名的IP地址一致的；或者编制标书硬件设备CPU编号、硬盘编号、网卡地址一致的情况。</w:t>
      </w:r>
    </w:p>
    <w:p w14:paraId="2F80A4C3">
      <w:pPr>
        <w:spacing w:line="360" w:lineRule="auto"/>
        <w:ind w:firstLine="422" w:firstLineChars="200"/>
        <w:rPr>
          <w:rFonts w:hint="eastAsia" w:ascii="宋体" w:hAnsi="宋体" w:eastAsia="宋体" w:cs="宋体"/>
          <w:b/>
          <w:color w:val="auto"/>
          <w:highlight w:val="none"/>
        </w:rPr>
      </w:pPr>
      <w:r>
        <w:rPr>
          <w:rFonts w:hint="eastAsia" w:ascii="宋体" w:hAnsi="宋体" w:eastAsia="宋体" w:cs="宋体"/>
          <w:b/>
          <w:color w:val="auto"/>
          <w:highlight w:val="none"/>
        </w:rPr>
        <w:t>（2）不同投标人委托同一单位或者个人办理投标事宜；</w:t>
      </w:r>
    </w:p>
    <w:p w14:paraId="751E3FB1">
      <w:pPr>
        <w:spacing w:line="360" w:lineRule="auto"/>
        <w:ind w:firstLine="422" w:firstLineChars="200"/>
        <w:rPr>
          <w:rFonts w:hint="eastAsia" w:ascii="宋体" w:hAnsi="宋体" w:eastAsia="宋体" w:cs="宋体"/>
          <w:b/>
          <w:color w:val="auto"/>
          <w:highlight w:val="none"/>
        </w:rPr>
      </w:pPr>
      <w:r>
        <w:rPr>
          <w:rFonts w:hint="eastAsia" w:ascii="宋体" w:hAnsi="宋体" w:eastAsia="宋体" w:cs="宋体"/>
          <w:b/>
          <w:color w:val="auto"/>
          <w:highlight w:val="none"/>
        </w:rPr>
        <w:t>（3）不同的投标人的投标文件载明的项目管理员为同一个人；</w:t>
      </w:r>
    </w:p>
    <w:p w14:paraId="7D0D5BC3">
      <w:pPr>
        <w:spacing w:line="360" w:lineRule="auto"/>
        <w:ind w:firstLine="422" w:firstLineChars="200"/>
        <w:rPr>
          <w:rFonts w:hint="eastAsia" w:ascii="宋体" w:hAnsi="宋体" w:eastAsia="宋体" w:cs="宋体"/>
          <w:b/>
          <w:color w:val="auto"/>
          <w:highlight w:val="none"/>
        </w:rPr>
      </w:pPr>
      <w:r>
        <w:rPr>
          <w:rFonts w:hint="eastAsia" w:ascii="宋体" w:hAnsi="宋体" w:eastAsia="宋体" w:cs="宋体"/>
          <w:b/>
          <w:color w:val="auto"/>
          <w:highlight w:val="none"/>
        </w:rPr>
        <w:t>（4）不同投标人的电子或纸质投标文件异常一致或者投标报价呈规律性差异；</w:t>
      </w:r>
    </w:p>
    <w:p w14:paraId="5D996414">
      <w:pPr>
        <w:spacing w:line="360" w:lineRule="auto"/>
        <w:ind w:firstLine="422" w:firstLineChars="200"/>
        <w:rPr>
          <w:rFonts w:hint="eastAsia" w:ascii="宋体" w:hAnsi="宋体" w:eastAsia="宋体" w:cs="宋体"/>
          <w:b/>
          <w:color w:val="auto"/>
          <w:highlight w:val="none"/>
        </w:rPr>
      </w:pPr>
      <w:r>
        <w:rPr>
          <w:rFonts w:hint="eastAsia" w:ascii="宋体" w:hAnsi="宋体" w:eastAsia="宋体" w:cs="宋体"/>
          <w:b/>
          <w:color w:val="auto"/>
          <w:highlight w:val="none"/>
        </w:rPr>
        <w:t>（5）不同投标人的纸质投标文件相互混装；</w:t>
      </w:r>
    </w:p>
    <w:p w14:paraId="34E52AFE">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9.3供应商有下列情形之一的，属于恶意串通行为，将报同级监督管理部门：</w:t>
      </w:r>
    </w:p>
    <w:p w14:paraId="7333A18E">
      <w:pPr>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（1）供应商直接或者间接从采购人或者采购代理机构处获得其他供应商的相关信息并修改其投标文件或者投标文件；</w:t>
      </w:r>
    </w:p>
    <w:p w14:paraId="028B04AB">
      <w:pPr>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（2）供应商按照采购人或者采购代理机构的授意撤换、修改投标文件或者投标文件；</w:t>
      </w:r>
    </w:p>
    <w:p w14:paraId="29755E78">
      <w:pPr>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（3）供应商之间协商报价、技术方案等投标文件或者投标文件的实质性内容；</w:t>
      </w:r>
    </w:p>
    <w:p w14:paraId="6269A1C8">
      <w:pPr>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（4）属于同一集团、协会、商会等组织成员的供应商按照该组织要求协同参加政府采购活动；</w:t>
      </w:r>
    </w:p>
    <w:p w14:paraId="1B958551">
      <w:pPr>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（5）供应商之间事先约定一致抬高或者压低投标报价，或者在招标项目中事先约定轮流以高价位或者低价位中标，或者事先约定由某一特定供应商中标，然后再参加投标；</w:t>
      </w:r>
    </w:p>
    <w:p w14:paraId="58113683">
      <w:pPr>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（6）供应商之间商定部分供应商放弃参加政府采购活动或者放弃中标；</w:t>
      </w:r>
    </w:p>
    <w:p w14:paraId="2F58EEFF">
      <w:pPr>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（7）供应商与采购人或者采购代理机构之间、供应商相互之间，为谋求特定供应商中标或者排斥其他供应商的其他串通行为。</w:t>
      </w:r>
    </w:p>
    <w:p w14:paraId="2356273C">
      <w:pPr>
        <w:pStyle w:val="18"/>
        <w:snapToGrid w:val="0"/>
        <w:spacing w:line="360" w:lineRule="auto"/>
        <w:ind w:left="2" w:leftChars="1" w:firstLine="422" w:firstLineChars="200"/>
        <w:rPr>
          <w:rFonts w:hint="eastAsia" w:ascii="宋体" w:hAnsi="宋体" w:eastAsia="宋体" w:cs="宋体"/>
          <w:b/>
          <w:color w:val="auto"/>
          <w:highlight w:val="none"/>
        </w:rPr>
      </w:pPr>
    </w:p>
    <w:p w14:paraId="50566566">
      <w:pPr>
        <w:pStyle w:val="4"/>
        <w:keepNext w:val="0"/>
        <w:keepLines w:val="0"/>
        <w:spacing w:line="400" w:lineRule="exact"/>
        <w:jc w:val="center"/>
        <w:rPr>
          <w:rFonts w:hint="eastAsia" w:ascii="宋体" w:hAnsi="宋体" w:eastAsia="宋体" w:cs="宋体"/>
          <w:color w:val="auto"/>
          <w:highlight w:val="none"/>
        </w:rPr>
      </w:pPr>
      <w:bookmarkStart w:id="8" w:name="_Toc20392"/>
      <w:r>
        <w:rPr>
          <w:rFonts w:hint="eastAsia" w:ascii="宋体" w:hAnsi="宋体" w:eastAsia="宋体" w:cs="宋体"/>
          <w:color w:val="auto"/>
          <w:highlight w:val="none"/>
        </w:rPr>
        <w:t>二、招标文件</w:t>
      </w:r>
      <w:bookmarkEnd w:id="8"/>
    </w:p>
    <w:p w14:paraId="149F816A">
      <w:pPr>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10.招标文件的组成</w:t>
      </w:r>
    </w:p>
    <w:p w14:paraId="02705817">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第一章招标公告；</w:t>
      </w:r>
    </w:p>
    <w:p w14:paraId="00E9609F">
      <w:pPr>
        <w:spacing w:line="360" w:lineRule="auto"/>
        <w:ind w:firstLine="420" w:firstLineChars="200"/>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rPr>
        <w:t>第二章采购需求；</w:t>
      </w:r>
    </w:p>
    <w:p w14:paraId="0AD94758">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第三章投标人须知；</w:t>
      </w:r>
    </w:p>
    <w:p w14:paraId="41B2EC02">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第四章评标方法及评标标准；</w:t>
      </w:r>
    </w:p>
    <w:p w14:paraId="43DF5FBA">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第五章拟签订的合同文本；</w:t>
      </w:r>
    </w:p>
    <w:p w14:paraId="760B3AE7">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第六章投标文件格式；</w:t>
      </w:r>
    </w:p>
    <w:p w14:paraId="3D47AB38">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第七章质疑、投诉材料格式</w:t>
      </w:r>
    </w:p>
    <w:p w14:paraId="768AD95B">
      <w:pPr>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根据本章第11.1项的规定对公开招标文件所做的澄清、修改，构成招标文件的组成部分。当公开招标文件与招标文件的澄清和修改就同一内容的表述不一致时，以最后澄清或修改公告为准。</w:t>
      </w:r>
    </w:p>
    <w:p w14:paraId="5B16F39B">
      <w:pPr>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11.招标文件的澄清、修改、现场考察和答疑会</w:t>
      </w:r>
    </w:p>
    <w:p w14:paraId="1EEBA679">
      <w:pPr>
        <w:spacing w:line="360" w:lineRule="auto"/>
        <w:ind w:firstLine="422" w:firstLineChars="200"/>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11.1采购人或者采购代理机构可以对已发出的招标文件进行必要的澄清或者修改，但不得改变采购标的和资格条件。澄清或者修改应当在原公告发布媒体上发布澄清公告。澄清或者修改的内容为招标文件的组成部分。</w:t>
      </w:r>
    </w:p>
    <w:p w14:paraId="2FF488ED">
      <w:pPr>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11.2投标人应认真审阅本公开招标文件，如有疑问，或发现其中有误或有要求不合理的，应在投标人须知前附表规定的</w:t>
      </w:r>
      <w:r>
        <w:rPr>
          <w:rFonts w:hint="eastAsia" w:ascii="宋体" w:hAnsi="宋体" w:eastAsia="宋体" w:cs="宋体"/>
          <w:color w:val="auto"/>
          <w:kern w:val="0"/>
          <w:szCs w:val="21"/>
          <w:highlight w:val="none"/>
        </w:rPr>
        <w:t>投标截止时间</w:t>
      </w:r>
      <w:r>
        <w:rPr>
          <w:rFonts w:hint="eastAsia" w:ascii="宋体" w:hAnsi="宋体" w:eastAsia="宋体" w:cs="宋体"/>
          <w:color w:val="auto"/>
          <w:highlight w:val="none"/>
        </w:rPr>
        <w:t>前以书面形式要求采购人或采购代理机构对招标文件予以澄清；否则，由此产生的后果由投标人自行负责。</w:t>
      </w:r>
    </w:p>
    <w:p w14:paraId="5760AA81">
      <w:pPr>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11.3采购人或者采购代理机构可以对已发出的招标文件进行必要的澄清或者修改。澄清或者修改的内容可能影响投标文件编制的，采购人或者采购代理机构应当在投标截止时间至少15日前，以书面形式通知(在“</w:t>
      </w:r>
      <w:r>
        <w:rPr>
          <w:rFonts w:hint="eastAsia" w:ascii="宋体" w:hAnsi="宋体" w:eastAsia="宋体" w:cs="宋体"/>
          <w:color w:val="auto"/>
          <w:szCs w:val="21"/>
          <w:highlight w:val="none"/>
        </w:rPr>
        <w:t>投标人须知前附表”</w:t>
      </w:r>
      <w:r>
        <w:rPr>
          <w:rFonts w:hint="eastAsia" w:ascii="宋体" w:hAnsi="宋体" w:eastAsia="宋体" w:cs="宋体"/>
          <w:color w:val="auto"/>
          <w:highlight w:val="none"/>
        </w:rPr>
        <w:t>规定的政府采购信息发布媒体上发布更正公告及平台短信通知)所有获取招标文件的潜在投标人；不足15日的，采购人或者采购代理机构应当顺延提交投标文件的截止时间。发出的澄清或者修改不影响投标文件编制的也应在截标前3日发出。</w:t>
      </w:r>
    </w:p>
    <w:p w14:paraId="7F6E56C5">
      <w:pPr>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11.4采购人和采购代理机构可以视采购具体情况，变更投标截止时间和开标时间，将变更时间将在“</w:t>
      </w:r>
      <w:r>
        <w:rPr>
          <w:rFonts w:hint="eastAsia" w:ascii="宋体" w:hAnsi="宋体" w:eastAsia="宋体" w:cs="宋体"/>
          <w:color w:val="auto"/>
          <w:szCs w:val="21"/>
          <w:highlight w:val="none"/>
        </w:rPr>
        <w:t>投标人须知前附表”</w:t>
      </w:r>
      <w:r>
        <w:rPr>
          <w:rFonts w:hint="eastAsia" w:ascii="宋体" w:hAnsi="宋体" w:eastAsia="宋体" w:cs="宋体"/>
          <w:color w:val="auto"/>
          <w:kern w:val="0"/>
          <w:szCs w:val="21"/>
          <w:highlight w:val="none"/>
        </w:rPr>
        <w:t>规定的政府采购信息发布媒体上</w:t>
      </w:r>
      <w:r>
        <w:rPr>
          <w:rFonts w:hint="eastAsia" w:ascii="宋体" w:hAnsi="宋体" w:eastAsia="宋体" w:cs="宋体"/>
          <w:color w:val="auto"/>
          <w:highlight w:val="none"/>
        </w:rPr>
        <w:t>发布更正公告。</w:t>
      </w:r>
    </w:p>
    <w:p w14:paraId="25BF9B7A">
      <w:pPr>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11.5采购人或者采购代理机构可以在招标文件提供期限截止后，组织已获取招标文件的潜在投标人现场考察或者召开开标前答疑会，具体详见“投标人须知前附表”。</w:t>
      </w:r>
    </w:p>
    <w:p w14:paraId="11A0A178">
      <w:pPr>
        <w:pStyle w:val="4"/>
        <w:keepNext w:val="0"/>
        <w:keepLines w:val="0"/>
        <w:spacing w:line="400" w:lineRule="exact"/>
        <w:jc w:val="center"/>
        <w:rPr>
          <w:rFonts w:hint="eastAsia" w:ascii="宋体" w:hAnsi="宋体" w:eastAsia="宋体" w:cs="宋体"/>
          <w:color w:val="auto"/>
          <w:highlight w:val="none"/>
        </w:rPr>
      </w:pPr>
      <w:bookmarkStart w:id="9" w:name="_Toc19751"/>
      <w:r>
        <w:rPr>
          <w:rFonts w:hint="eastAsia" w:ascii="宋体" w:hAnsi="宋体" w:eastAsia="宋体" w:cs="宋体"/>
          <w:color w:val="auto"/>
          <w:highlight w:val="none"/>
        </w:rPr>
        <w:t>三、投标文件的编制</w:t>
      </w:r>
      <w:bookmarkEnd w:id="9"/>
    </w:p>
    <w:p w14:paraId="0E7B3BA5">
      <w:pPr>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12.投标文件的编制原则</w:t>
      </w:r>
    </w:p>
    <w:p w14:paraId="4F9AE3DD">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12.1投标人必须按照招标文件的要求编制投标文件。投标文件必须对招标文件提出的要求和条件作出明确响应。</w:t>
      </w:r>
    </w:p>
    <w:p w14:paraId="7CEFCD44">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12.2投标人应根据自身实际情况如实响应招标文件，不得仅将招标文件内容简单复制粘贴作为投标响应，还应当提供相关证明材料，否则将作无效响应处理（定制采购项目不适用本条款）。对于重要技术条款或技术参数应当在投标文件中提供技术支持资料，技术支持资料以招标文件中规定的形式为准，否则将视为无效技术支持资料。</w:t>
      </w:r>
    </w:p>
    <w:p w14:paraId="49255AC2">
      <w:pPr>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13.投标文件的组成</w:t>
      </w:r>
    </w:p>
    <w:p w14:paraId="4B584E67">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13.1投标文件由报价文件、资格证明文件、商务文件、技术文件四部分组成。</w:t>
      </w:r>
    </w:p>
    <w:p w14:paraId="08E649E3">
      <w:pPr>
        <w:spacing w:line="360" w:lineRule="auto"/>
        <w:ind w:firstLine="420" w:firstLineChars="200"/>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（1）资格证明文件：具体材料见“投标人须知前附表”。</w:t>
      </w:r>
    </w:p>
    <w:p w14:paraId="6E25C611">
      <w:pPr>
        <w:spacing w:line="360" w:lineRule="auto"/>
        <w:ind w:firstLine="420" w:firstLineChars="200"/>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（2）商务文件：具体材料见“投标人须知前附表”。</w:t>
      </w:r>
    </w:p>
    <w:p w14:paraId="0742110A">
      <w:pPr>
        <w:spacing w:line="360" w:lineRule="auto"/>
        <w:ind w:firstLine="420" w:firstLineChars="200"/>
        <w:rPr>
          <w:rFonts w:hint="eastAsia" w:ascii="宋体" w:hAnsi="宋体" w:eastAsia="宋体" w:cs="宋体"/>
          <w:bCs/>
          <w:color w:val="auto"/>
          <w:szCs w:val="21"/>
          <w:highlight w:val="none"/>
          <w:lang w:eastAsia="zh-CN"/>
        </w:rPr>
      </w:pPr>
      <w:r>
        <w:rPr>
          <w:rFonts w:hint="eastAsia" w:ascii="宋体" w:hAnsi="宋体" w:eastAsia="宋体" w:cs="宋体"/>
          <w:bCs/>
          <w:color w:val="auto"/>
          <w:szCs w:val="21"/>
          <w:highlight w:val="none"/>
        </w:rPr>
        <w:t>（3）技术文件：具体材料见“投标人须知前附表”。</w:t>
      </w:r>
    </w:p>
    <w:p w14:paraId="6B3EC9D8">
      <w:pPr>
        <w:spacing w:line="360" w:lineRule="auto"/>
        <w:ind w:firstLine="420" w:firstLineChars="200"/>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（4）报价文件：具体材料见“投标人须知前附表”。</w:t>
      </w:r>
    </w:p>
    <w:p w14:paraId="0DD353CC">
      <w:pPr>
        <w:spacing w:line="360" w:lineRule="auto"/>
        <w:ind w:firstLine="420" w:firstLineChars="200"/>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13.2投标文件电子版：具体要求见本节19.投标文件编制。</w:t>
      </w:r>
    </w:p>
    <w:p w14:paraId="2E1492E5">
      <w:pPr>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14.投标文件的语言及计量</w:t>
      </w:r>
    </w:p>
    <w:p w14:paraId="640F6B3C">
      <w:pPr>
        <w:spacing w:line="360" w:lineRule="auto"/>
        <w:ind w:firstLine="420" w:firstLineChars="200"/>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14.1语言文字</w:t>
      </w:r>
    </w:p>
    <w:p w14:paraId="44C8C625">
      <w:pPr>
        <w:spacing w:line="360" w:lineRule="auto"/>
        <w:ind w:firstLine="420" w:firstLineChars="200"/>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投标文件以及投标人与采购人就有关投标事宜的所有来往函电，均应以中文书写（除专用术语外，与招标投标有关的语言均使用中文。必要时专用术语应附有中文注释）。投标人提交的支持文件和印刷的文献可以使用别的语言，但其相应内容应同时附中文翻译文本，在解释投标文件时以中文翻译文本为主。对不同文字文本投标文件的解释发生异议的，以中文文本为准。</w:t>
      </w:r>
    </w:p>
    <w:p w14:paraId="0FCAEECB">
      <w:pPr>
        <w:spacing w:line="360" w:lineRule="auto"/>
        <w:ind w:firstLine="420" w:firstLineChars="200"/>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14.2投标计量单位</w:t>
      </w:r>
    </w:p>
    <w:p w14:paraId="76CF7398">
      <w:pPr>
        <w:spacing w:line="360" w:lineRule="auto"/>
        <w:ind w:firstLine="420" w:firstLineChars="200"/>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招标文件已有明确规定的，使用招标文件规定的计量单位；招标文件没有规定的，应采用中华人民共和国法定计量单位，货币种类为人民币，否则视同未响应。</w:t>
      </w:r>
    </w:p>
    <w:p w14:paraId="3A18D887">
      <w:pPr>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15.投标</w:t>
      </w:r>
      <w:r>
        <w:rPr>
          <w:rFonts w:hint="eastAsia" w:ascii="宋体" w:hAnsi="宋体" w:eastAsia="宋体" w:cs="宋体"/>
          <w:color w:val="auto"/>
          <w:sz w:val="24"/>
          <w:highlight w:val="none"/>
          <w:lang w:val="en-US" w:eastAsia="zh-CN"/>
        </w:rPr>
        <w:t>文件提交</w:t>
      </w:r>
      <w:r>
        <w:rPr>
          <w:rFonts w:hint="eastAsia" w:ascii="宋体" w:hAnsi="宋体" w:eastAsia="宋体" w:cs="宋体"/>
          <w:color w:val="auto"/>
          <w:sz w:val="24"/>
          <w:highlight w:val="none"/>
        </w:rPr>
        <w:t>的风险</w:t>
      </w:r>
    </w:p>
    <w:p w14:paraId="1D513CF6">
      <w:pPr>
        <w:spacing w:line="360" w:lineRule="auto"/>
        <w:ind w:firstLine="420" w:firstLineChars="200"/>
        <w:rPr>
          <w:rFonts w:hint="eastAsia" w:ascii="宋体" w:hAnsi="宋体" w:eastAsia="宋体" w:cs="宋体"/>
          <w:b/>
          <w:bCs/>
          <w:color w:val="auto"/>
          <w:highlight w:val="none"/>
        </w:rPr>
      </w:pPr>
      <w:r>
        <w:rPr>
          <w:rFonts w:hint="eastAsia" w:ascii="宋体" w:hAnsi="宋体" w:eastAsia="宋体" w:cs="宋体"/>
          <w:color w:val="auto"/>
          <w:highlight w:val="none"/>
        </w:rPr>
        <w:t>投标文件分为资格文件、商务文件、技术文件、报价文件四部分（其中：商务文件与技术文件合并编辑成一个电子文档</w:t>
      </w:r>
      <w:r>
        <w:rPr>
          <w:rFonts w:hint="eastAsia" w:ascii="宋体" w:hAnsi="宋体" w:eastAsia="宋体" w:cs="宋体"/>
          <w:color w:val="auto"/>
          <w:highlight w:val="none"/>
          <w:lang w:eastAsia="zh-CN"/>
        </w:rPr>
        <w:t>）</w:t>
      </w:r>
      <w:r>
        <w:rPr>
          <w:rFonts w:hint="eastAsia" w:ascii="宋体" w:hAnsi="宋体" w:eastAsia="宋体" w:cs="宋体"/>
          <w:color w:val="auto"/>
          <w:highlight w:val="none"/>
        </w:rPr>
        <w:t>。各投标人在编制投标文件时请按照招标文件规定的编排格式进行，不按要求提交齐全的文件、混乱的编排导致投标文件被误读或评标委员会查找不到有效文件是造成投标人投标文件无效的风险。</w:t>
      </w:r>
      <w:r>
        <w:rPr>
          <w:rFonts w:hint="eastAsia" w:ascii="宋体" w:hAnsi="宋体" w:eastAsia="宋体" w:cs="宋体"/>
          <w:b/>
          <w:bCs/>
          <w:color w:val="auto"/>
          <w:highlight w:val="none"/>
        </w:rPr>
        <w:t>▲投标文件内容不齐全、未按规定的文件格式编制的、没有对招标文件作出实质性响应</w:t>
      </w:r>
      <w:r>
        <w:rPr>
          <w:rFonts w:hint="eastAsia" w:ascii="宋体" w:hAnsi="宋体" w:eastAsia="宋体" w:cs="宋体"/>
          <w:b/>
          <w:bCs/>
          <w:color w:val="auto"/>
          <w:highlight w:val="none"/>
          <w:lang w:eastAsia="zh-CN"/>
        </w:rPr>
        <w:t>，</w:t>
      </w:r>
      <w:r>
        <w:rPr>
          <w:rFonts w:hint="eastAsia" w:ascii="宋体" w:hAnsi="宋体" w:eastAsia="宋体" w:cs="宋体"/>
          <w:b/>
          <w:bCs/>
          <w:color w:val="auto"/>
          <w:highlight w:val="none"/>
        </w:rPr>
        <w:t>投标无效；</w:t>
      </w:r>
    </w:p>
    <w:p w14:paraId="7EDA765C">
      <w:pPr>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16.投标报价</w:t>
      </w:r>
    </w:p>
    <w:p w14:paraId="66898990">
      <w:pPr>
        <w:spacing w:line="360" w:lineRule="auto"/>
        <w:ind w:firstLine="420" w:firstLineChars="200"/>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16.1投标报价应</w:t>
      </w:r>
      <w:r>
        <w:rPr>
          <w:rFonts w:hint="eastAsia" w:ascii="宋体" w:hAnsi="宋体" w:eastAsia="宋体" w:cs="宋体"/>
          <w:bCs/>
          <w:color w:val="auto"/>
          <w:szCs w:val="20"/>
          <w:highlight w:val="none"/>
        </w:rPr>
        <w:t>按“第六章　投标文件格式”中“开标一览表”格式填写。</w:t>
      </w:r>
    </w:p>
    <w:p w14:paraId="06AE641F">
      <w:pPr>
        <w:spacing w:line="360" w:lineRule="auto"/>
        <w:ind w:firstLine="420" w:firstLineChars="200"/>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16.2投标报价具体包括内容详见“投标人须知前附表”。</w:t>
      </w:r>
    </w:p>
    <w:p w14:paraId="68CD8F69">
      <w:pPr>
        <w:spacing w:line="360" w:lineRule="auto"/>
        <w:ind w:firstLine="420" w:firstLineChars="200"/>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16.3投标人必须就所投每个分标的全部内容分别作完整唯一总价报价，不得存在漏项报价；投标人必须就所投分标的单项内容作唯一报价。</w:t>
      </w:r>
    </w:p>
    <w:p w14:paraId="68299C08">
      <w:pPr>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17.投标有效期</w:t>
      </w:r>
    </w:p>
    <w:p w14:paraId="0CD83352">
      <w:pPr>
        <w:spacing w:line="360" w:lineRule="auto"/>
        <w:ind w:firstLine="420" w:firstLineChars="200"/>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17.1投标有效期是指为保证采购人有足够的时间在开标后完成评标、定标、合同签订等工作而要求投标人提交的投标文件在一定时间内保持有效的期限。</w:t>
      </w:r>
    </w:p>
    <w:p w14:paraId="65586EA1">
      <w:pPr>
        <w:spacing w:line="360" w:lineRule="auto"/>
        <w:ind w:firstLine="420" w:firstLineChars="200"/>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17.2投标有效期应按规定的期限作出承诺，具体详见“投标人须知前附表”。</w:t>
      </w:r>
    </w:p>
    <w:p w14:paraId="2D286943">
      <w:pPr>
        <w:spacing w:line="360" w:lineRule="auto"/>
        <w:ind w:firstLine="420" w:firstLineChars="200"/>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17.3投标人的投标文件在投标有效期内均保持有效。</w:t>
      </w:r>
    </w:p>
    <w:p w14:paraId="2607CB73">
      <w:pPr>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18.投标保证金</w:t>
      </w:r>
    </w:p>
    <w:p w14:paraId="1F44DDD4">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见“投标人须知前附表”。</w:t>
      </w:r>
    </w:p>
    <w:p w14:paraId="0519D7D2">
      <w:pPr>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19.投标文件的编制</w:t>
      </w:r>
    </w:p>
    <w:p w14:paraId="330AA48C">
      <w:pPr>
        <w:spacing w:line="360" w:lineRule="auto"/>
        <w:ind w:firstLine="420" w:firstLineChars="200"/>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rPr>
        <w:t>19.1投标文件编制要求详见“投标人须知前附表”。投标人应按本招标文件规定的格式和顺序编制、装订投标文件并标注页码，投标文件内容不完整、编排混乱导致投标文件被误读、漏读或者查找不到相关内容的，由此引发的后果由投标人承担。</w:t>
      </w:r>
    </w:p>
    <w:p w14:paraId="7AB386F1">
      <w:pPr>
        <w:pStyle w:val="73"/>
        <w:snapToGrid w:val="0"/>
        <w:spacing w:before="0"/>
        <w:ind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19.2投标文件按照招标文件第六章格式要求在规定位置进行签署、盖章。投标人的投标文件未按照招标文件要求签署、盖章的，</w:t>
      </w:r>
      <w:r>
        <w:rPr>
          <w:rFonts w:hint="eastAsia" w:ascii="宋体" w:hAnsi="宋体" w:eastAsia="宋体" w:cs="宋体"/>
          <w:b/>
          <w:color w:val="auto"/>
          <w:sz w:val="21"/>
          <w:szCs w:val="21"/>
          <w:highlight w:val="none"/>
        </w:rPr>
        <w:t>其投标无效。</w:t>
      </w:r>
      <w:r>
        <w:rPr>
          <w:rFonts w:hint="eastAsia" w:ascii="宋体" w:hAnsi="宋体" w:eastAsia="宋体" w:cs="宋体"/>
          <w:color w:val="auto"/>
          <w:sz w:val="21"/>
          <w:szCs w:val="21"/>
          <w:highlight w:val="none"/>
        </w:rPr>
        <w:t>骑缝盖公章不视为在规定位置盖章。</w:t>
      </w:r>
    </w:p>
    <w:p w14:paraId="49BF05F0">
      <w:pPr>
        <w:pStyle w:val="73"/>
        <w:snapToGrid w:val="0"/>
        <w:spacing w:before="0"/>
        <w:ind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19.3为确保网上操作合法、有效和安全，投标人应当在投标截止时间前完成在</w:t>
      </w:r>
      <w:r>
        <w:rPr>
          <w:rFonts w:hint="eastAsia" w:ascii="宋体" w:hAnsi="宋体" w:eastAsia="宋体" w:cs="宋体"/>
          <w:color w:val="auto"/>
          <w:sz w:val="21"/>
          <w:szCs w:val="21"/>
          <w:highlight w:val="none"/>
          <w:lang w:eastAsia="zh-CN"/>
        </w:rPr>
        <w:t>广西政府采购云平台</w:t>
      </w:r>
      <w:r>
        <w:rPr>
          <w:rFonts w:hint="eastAsia" w:ascii="宋体" w:hAnsi="宋体" w:eastAsia="宋体" w:cs="宋体"/>
          <w:color w:val="auto"/>
          <w:sz w:val="21"/>
          <w:szCs w:val="21"/>
          <w:highlight w:val="none"/>
        </w:rPr>
        <w:t>的身份认证，确保在电子投标过程中能够对相关数据电文进行加密和使用电子签名。</w:t>
      </w:r>
    </w:p>
    <w:p w14:paraId="003B670A">
      <w:pPr>
        <w:spacing w:line="360" w:lineRule="auto"/>
        <w:ind w:firstLine="422" w:firstLineChars="200"/>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19.4投标文件中标注的投标人名称应与主体资格证明（如营业执照、事业单位法人证书、执业许可证、自然人身份证等）及公章一致，</w:t>
      </w:r>
      <w:r>
        <w:rPr>
          <w:rFonts w:hint="eastAsia" w:ascii="宋体" w:hAnsi="宋体" w:eastAsia="宋体" w:cs="宋体"/>
          <w:color w:val="auto"/>
          <w:szCs w:val="21"/>
          <w:highlight w:val="none"/>
        </w:rPr>
        <w:t>否则作无效投标处理</w:t>
      </w:r>
      <w:r>
        <w:rPr>
          <w:rFonts w:hint="eastAsia" w:ascii="宋体" w:hAnsi="宋体" w:eastAsia="宋体" w:cs="宋体"/>
          <w:b/>
          <w:color w:val="auto"/>
          <w:szCs w:val="21"/>
          <w:highlight w:val="none"/>
        </w:rPr>
        <w:t>。</w:t>
      </w:r>
    </w:p>
    <w:p w14:paraId="3300BB1A">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19.5投标文件应避免涂改、行间插字或者删除，</w:t>
      </w:r>
      <w:r>
        <w:rPr>
          <w:rFonts w:hint="eastAsia" w:ascii="宋体" w:hAnsi="宋体" w:eastAsia="宋体" w:cs="宋体"/>
          <w:b/>
          <w:color w:val="auto"/>
          <w:szCs w:val="21"/>
          <w:highlight w:val="none"/>
        </w:rPr>
        <w:t>否则其投标无效。</w:t>
      </w:r>
    </w:p>
    <w:p w14:paraId="51ED9A0C">
      <w:pPr>
        <w:spacing w:line="360" w:lineRule="auto"/>
        <w:ind w:firstLine="525" w:firstLineChars="250"/>
        <w:rPr>
          <w:rFonts w:hint="eastAsia" w:ascii="宋体" w:hAnsi="宋体" w:eastAsia="宋体" w:cs="宋体"/>
          <w:color w:val="auto"/>
          <w:highlight w:val="none"/>
        </w:rPr>
      </w:pPr>
      <w:r>
        <w:rPr>
          <w:rFonts w:hint="eastAsia" w:ascii="宋体" w:hAnsi="宋体" w:eastAsia="宋体" w:cs="宋体"/>
          <w:color w:val="auto"/>
          <w:highlight w:val="none"/>
        </w:rPr>
        <w:t>19.6对招标文件的实质性要求和条件作出响应是指投标人必须对招标文件中标注为实质性要求和条件的</w:t>
      </w:r>
      <w:r>
        <w:rPr>
          <w:rFonts w:hint="eastAsia" w:ascii="宋体" w:hAnsi="宋体" w:eastAsia="宋体" w:cs="宋体"/>
          <w:color w:val="auto"/>
          <w:szCs w:val="21"/>
          <w:highlight w:val="none"/>
        </w:rPr>
        <w:t>服务内容及要求</w:t>
      </w:r>
      <w:r>
        <w:rPr>
          <w:rFonts w:hint="eastAsia" w:ascii="宋体" w:hAnsi="宋体" w:eastAsia="宋体" w:cs="宋体"/>
          <w:color w:val="auto"/>
          <w:highlight w:val="none"/>
        </w:rPr>
        <w:t>、商务条款及其它内容</w:t>
      </w:r>
      <w:r>
        <w:rPr>
          <w:rFonts w:hint="eastAsia" w:ascii="宋体" w:hAnsi="宋体" w:eastAsia="宋体" w:cs="宋体"/>
          <w:b/>
          <w:color w:val="auto"/>
          <w:highlight w:val="none"/>
        </w:rPr>
        <w:t>作出满足或者优于原要求和条件的承诺</w:t>
      </w:r>
      <w:r>
        <w:rPr>
          <w:rFonts w:hint="eastAsia" w:ascii="宋体" w:hAnsi="宋体" w:eastAsia="宋体" w:cs="宋体"/>
          <w:color w:val="auto"/>
          <w:highlight w:val="none"/>
        </w:rPr>
        <w:t>。</w:t>
      </w:r>
    </w:p>
    <w:p w14:paraId="341A3455">
      <w:pPr>
        <w:spacing w:line="360" w:lineRule="auto"/>
        <w:ind w:firstLine="422" w:firstLineChars="200"/>
        <w:rPr>
          <w:rFonts w:hint="eastAsia" w:ascii="宋体" w:hAnsi="宋体" w:eastAsia="宋体" w:cs="宋体"/>
          <w:b/>
          <w:color w:val="auto"/>
          <w:szCs w:val="21"/>
          <w:highlight w:val="none"/>
          <w:u w:val="single"/>
        </w:rPr>
      </w:pPr>
      <w:r>
        <w:rPr>
          <w:rFonts w:hint="eastAsia" w:ascii="宋体" w:hAnsi="宋体" w:eastAsia="宋体" w:cs="宋体"/>
          <w:b/>
          <w:color w:val="auto"/>
          <w:szCs w:val="21"/>
          <w:highlight w:val="none"/>
          <w:u w:val="single"/>
        </w:rPr>
        <w:t>19.7本项目为南宁市全流程电子化项目，异常情况见“第二节投标人须知正文”中“四、24.2开标程序。</w:t>
      </w:r>
    </w:p>
    <w:p w14:paraId="6EAF4729">
      <w:pPr>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20.备份投标文件</w:t>
      </w:r>
    </w:p>
    <w:p w14:paraId="2BADEC7E">
      <w:pPr>
        <w:spacing w:line="360" w:lineRule="auto"/>
        <w:ind w:firstLine="420" w:firstLineChars="200"/>
        <w:rPr>
          <w:rFonts w:hint="eastAsia" w:ascii="宋体" w:hAnsi="宋体" w:eastAsia="宋体" w:cs="宋体"/>
          <w:color w:val="auto"/>
          <w:sz w:val="24"/>
          <w:highlight w:val="none"/>
        </w:rPr>
      </w:pPr>
      <w:r>
        <w:rPr>
          <w:rFonts w:hint="eastAsia" w:ascii="宋体" w:hAnsi="宋体" w:eastAsia="宋体" w:cs="宋体"/>
          <w:bCs/>
          <w:color w:val="auto"/>
          <w:szCs w:val="21"/>
          <w:highlight w:val="none"/>
        </w:rPr>
        <w:t>详见“投标人须知前附表”。</w:t>
      </w:r>
    </w:p>
    <w:p w14:paraId="474D6BF4">
      <w:pPr>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21.投标文件的提交</w:t>
      </w:r>
    </w:p>
    <w:p w14:paraId="17BF916D">
      <w:pPr>
        <w:spacing w:line="360" w:lineRule="auto"/>
        <w:ind w:firstLine="420" w:firstLineChars="200"/>
        <w:rPr>
          <w:rFonts w:hint="eastAsia" w:ascii="宋体" w:hAnsi="宋体" w:eastAsia="宋体" w:cs="宋体"/>
          <w:b/>
          <w:color w:val="auto"/>
          <w:highlight w:val="none"/>
          <w:lang w:eastAsia="zh-CN"/>
        </w:rPr>
      </w:pPr>
      <w:r>
        <w:rPr>
          <w:rFonts w:hint="eastAsia" w:ascii="宋体" w:hAnsi="宋体" w:eastAsia="宋体" w:cs="宋体"/>
          <w:bCs/>
          <w:color w:val="auto"/>
          <w:szCs w:val="21"/>
          <w:highlight w:val="none"/>
        </w:rPr>
        <w:t>21.1投标人必须在“投标人须知前附表”规定的投标文件接收时间和投标地点提交电子版投标文件。电子投标文件应在制作完成后，在投标截止时间前通过有效数字证书（CA认证锁）进行电子签章、加密，然后通过网络将加密的电子投标文件递交至“南宁市政采云平台”。</w:t>
      </w:r>
    </w:p>
    <w:p w14:paraId="3D904A43">
      <w:pPr>
        <w:spacing w:line="360" w:lineRule="auto"/>
        <w:ind w:firstLine="422" w:firstLineChars="200"/>
        <w:rPr>
          <w:rFonts w:hint="eastAsia" w:ascii="宋体" w:hAnsi="宋体" w:eastAsia="宋体" w:cs="宋体"/>
          <w:b/>
          <w:color w:val="auto"/>
          <w:szCs w:val="20"/>
          <w:highlight w:val="none"/>
        </w:rPr>
      </w:pPr>
      <w:r>
        <w:rPr>
          <w:rFonts w:hint="eastAsia" w:ascii="宋体" w:hAnsi="宋体" w:eastAsia="宋体" w:cs="宋体"/>
          <w:b/>
          <w:color w:val="auto"/>
          <w:szCs w:val="21"/>
          <w:highlight w:val="none"/>
        </w:rPr>
        <w:t>21.2未在规定时间内提交或者未按照招标文件要求密封或者标记的电子投标文件，</w:t>
      </w:r>
      <w:r>
        <w:rPr>
          <w:rFonts w:hint="eastAsia" w:ascii="宋体" w:hAnsi="宋体" w:eastAsia="宋体" w:cs="宋体"/>
          <w:b/>
          <w:color w:val="auto"/>
          <w:szCs w:val="21"/>
          <w:highlight w:val="none"/>
          <w:lang w:eastAsia="zh-CN"/>
        </w:rPr>
        <w:t>广西政府采购云平台</w:t>
      </w:r>
      <w:r>
        <w:rPr>
          <w:rFonts w:hint="eastAsia" w:ascii="宋体" w:hAnsi="宋体" w:eastAsia="宋体" w:cs="宋体"/>
          <w:b/>
          <w:color w:val="auto"/>
          <w:szCs w:val="21"/>
          <w:highlight w:val="none"/>
        </w:rPr>
        <w:t>将拒收。</w:t>
      </w:r>
    </w:p>
    <w:p w14:paraId="174D1451">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21.3电子版投标文件提交方式见“招标公告”中“四、提交投标文件截止时间、开标时间和地点”</w:t>
      </w:r>
      <w:r>
        <w:rPr>
          <w:rFonts w:hint="eastAsia" w:ascii="宋体" w:hAnsi="宋体" w:eastAsia="宋体" w:cs="宋体"/>
          <w:b/>
          <w:color w:val="auto"/>
          <w:szCs w:val="21"/>
          <w:highlight w:val="none"/>
        </w:rPr>
        <w:t>。</w:t>
      </w:r>
    </w:p>
    <w:p w14:paraId="5C1F3A83">
      <w:pPr>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22.投标文件的补充、修改、撤回与退回</w:t>
      </w:r>
    </w:p>
    <w:p w14:paraId="61968D2C">
      <w:pPr>
        <w:spacing w:line="360" w:lineRule="auto"/>
        <w:ind w:firstLine="420" w:firstLineChars="200"/>
        <w:rPr>
          <w:rFonts w:hint="eastAsia" w:ascii="宋体" w:hAnsi="宋体" w:eastAsia="宋体" w:cs="宋体"/>
          <w:color w:val="auto"/>
          <w:sz w:val="24"/>
          <w:highlight w:val="none"/>
        </w:rPr>
      </w:pPr>
      <w:r>
        <w:rPr>
          <w:rFonts w:hint="eastAsia" w:ascii="宋体" w:hAnsi="宋体" w:eastAsia="宋体" w:cs="宋体"/>
          <w:color w:val="auto"/>
          <w:szCs w:val="21"/>
          <w:highlight w:val="none"/>
        </w:rPr>
        <w:t>22.1供应商应当在投标截止时间前完成投标文件的传输递交，并可以补充、修改或者撤回投标文件。补充或者修改投标文件的，应当先行撤回原文件，补充、修改后重新传输递交。投标截止时间前未完成传输的，视为撤回投标文件。投标截止时间后递交的投标文件，</w:t>
      </w:r>
      <w:r>
        <w:rPr>
          <w:rFonts w:hint="eastAsia" w:ascii="宋体" w:hAnsi="宋体" w:eastAsia="宋体" w:cs="宋体"/>
          <w:color w:val="auto"/>
          <w:szCs w:val="21"/>
          <w:highlight w:val="none"/>
          <w:lang w:eastAsia="zh-CN"/>
        </w:rPr>
        <w:t>广西政府采购云平台</w:t>
      </w:r>
      <w:r>
        <w:rPr>
          <w:rFonts w:hint="eastAsia" w:ascii="宋体" w:hAnsi="宋体" w:eastAsia="宋体" w:cs="宋体"/>
          <w:color w:val="auto"/>
          <w:szCs w:val="21"/>
          <w:highlight w:val="none"/>
        </w:rPr>
        <w:t>将拒收。（补充、修改或者撤回方式见公告附件“电子投标文件制作与投送教程”）</w:t>
      </w:r>
    </w:p>
    <w:p w14:paraId="48CDF469">
      <w:pPr>
        <w:pStyle w:val="73"/>
        <w:spacing w:before="0"/>
        <w:ind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22.2</w:t>
      </w:r>
      <w:r>
        <w:rPr>
          <w:rFonts w:hint="eastAsia" w:ascii="宋体" w:hAnsi="宋体" w:eastAsia="宋体" w:cs="宋体"/>
          <w:color w:val="auto"/>
          <w:sz w:val="21"/>
          <w:szCs w:val="21"/>
          <w:highlight w:val="none"/>
          <w:lang w:eastAsia="zh-CN"/>
        </w:rPr>
        <w:t>广西政府采购云平台</w:t>
      </w:r>
      <w:r>
        <w:rPr>
          <w:rFonts w:hint="eastAsia" w:ascii="宋体" w:hAnsi="宋体" w:eastAsia="宋体" w:cs="宋体"/>
          <w:color w:val="auto"/>
          <w:sz w:val="21"/>
          <w:szCs w:val="21"/>
          <w:highlight w:val="none"/>
        </w:rPr>
        <w:t>收到投标文件，将妥善保存并即时向供应商发出确认回执通知。在投标截止时间前，除供应商补充、修改或者撤回投标文件外，任何单位和个人不得解密或提取投标文件。</w:t>
      </w:r>
    </w:p>
    <w:p w14:paraId="02415AAA">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22.3在投标截止时间止提交电子版投标文件的投标人不足3家时，电子版投标文件由代理机构在</w:t>
      </w:r>
      <w:r>
        <w:rPr>
          <w:rFonts w:hint="eastAsia" w:ascii="宋体" w:hAnsi="宋体" w:eastAsia="宋体" w:cs="宋体"/>
          <w:color w:val="auto"/>
          <w:szCs w:val="21"/>
          <w:highlight w:val="none"/>
          <w:lang w:eastAsia="zh-CN"/>
        </w:rPr>
        <w:t>广西政府采购云平台</w:t>
      </w:r>
      <w:r>
        <w:rPr>
          <w:rFonts w:hint="eastAsia" w:ascii="宋体" w:hAnsi="宋体" w:eastAsia="宋体" w:cs="宋体"/>
          <w:color w:val="auto"/>
          <w:szCs w:val="21"/>
          <w:highlight w:val="none"/>
        </w:rPr>
        <w:t>操作退回，除此之外采购人和采购代理机构对已提交的投标文件概不退回。</w:t>
      </w:r>
    </w:p>
    <w:p w14:paraId="3D1A8696">
      <w:pPr>
        <w:pStyle w:val="15"/>
        <w:snapToGrid w:val="0"/>
        <w:spacing w:line="400" w:lineRule="exact"/>
        <w:ind w:firstLine="739"/>
        <w:rPr>
          <w:rFonts w:hint="eastAsia" w:ascii="宋体" w:hAnsi="宋体" w:eastAsia="宋体" w:cs="宋体"/>
          <w:snapToGrid w:val="0"/>
          <w:color w:val="auto"/>
          <w:sz w:val="21"/>
          <w:szCs w:val="21"/>
          <w:highlight w:val="none"/>
        </w:rPr>
      </w:pPr>
    </w:p>
    <w:p w14:paraId="0FC43AA4">
      <w:pPr>
        <w:pStyle w:val="4"/>
        <w:keepNext w:val="0"/>
        <w:keepLines w:val="0"/>
        <w:spacing w:line="400" w:lineRule="exact"/>
        <w:jc w:val="center"/>
        <w:rPr>
          <w:rFonts w:hint="eastAsia" w:ascii="宋体" w:hAnsi="宋体" w:eastAsia="宋体" w:cs="宋体"/>
          <w:color w:val="auto"/>
          <w:highlight w:val="none"/>
        </w:rPr>
      </w:pPr>
      <w:bookmarkStart w:id="10" w:name="_Toc5409"/>
      <w:r>
        <w:rPr>
          <w:rFonts w:hint="eastAsia" w:ascii="宋体" w:hAnsi="宋体" w:eastAsia="宋体" w:cs="宋体"/>
          <w:color w:val="auto"/>
          <w:highlight w:val="none"/>
        </w:rPr>
        <w:t>四、开标</w:t>
      </w:r>
      <w:bookmarkEnd w:id="10"/>
    </w:p>
    <w:p w14:paraId="061A7132">
      <w:pPr>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23.开标时间和地点</w:t>
      </w:r>
    </w:p>
    <w:p w14:paraId="1D416D9F">
      <w:pPr>
        <w:spacing w:line="360" w:lineRule="auto"/>
        <w:ind w:firstLine="420" w:firstLineChars="200"/>
        <w:rPr>
          <w:rFonts w:hint="eastAsia" w:ascii="宋体" w:hAnsi="宋体" w:eastAsia="宋体" w:cs="宋体"/>
          <w:bCs/>
          <w:color w:val="auto"/>
          <w:highlight w:val="none"/>
        </w:rPr>
      </w:pPr>
      <w:r>
        <w:rPr>
          <w:rFonts w:hint="eastAsia" w:ascii="宋体" w:hAnsi="宋体" w:eastAsia="宋体" w:cs="宋体"/>
          <w:bCs/>
          <w:color w:val="auto"/>
          <w:highlight w:val="none"/>
        </w:rPr>
        <w:t>23.1开标时间及地点详见“投标人须知前附表”</w:t>
      </w:r>
    </w:p>
    <w:p w14:paraId="4170B108">
      <w:pPr>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23.2如</w:t>
      </w:r>
      <w:r>
        <w:rPr>
          <w:rFonts w:hint="eastAsia" w:ascii="宋体" w:hAnsi="宋体" w:eastAsia="宋体" w:cs="宋体"/>
          <w:bCs/>
          <w:color w:val="auto"/>
          <w:highlight w:val="none"/>
        </w:rPr>
        <w:t>投标人成功解密投标文件，但未在“</w:t>
      </w:r>
      <w:r>
        <w:rPr>
          <w:rFonts w:hint="eastAsia" w:ascii="宋体" w:hAnsi="宋体" w:eastAsia="宋体" w:cs="宋体"/>
          <w:bCs/>
          <w:color w:val="auto"/>
          <w:highlight w:val="none"/>
          <w:lang w:val="en-US" w:eastAsia="zh-CN"/>
        </w:rPr>
        <w:t>广西政府采购</w:t>
      </w:r>
      <w:r>
        <w:rPr>
          <w:rFonts w:hint="eastAsia" w:ascii="宋体" w:hAnsi="宋体" w:eastAsia="宋体" w:cs="宋体"/>
          <w:bCs/>
          <w:color w:val="auto"/>
          <w:highlight w:val="none"/>
        </w:rPr>
        <w:t>云</w:t>
      </w:r>
      <w:r>
        <w:rPr>
          <w:rFonts w:hint="eastAsia" w:ascii="宋体" w:hAnsi="宋体" w:eastAsia="宋体" w:cs="宋体"/>
          <w:bCs/>
          <w:color w:val="auto"/>
          <w:highlight w:val="none"/>
          <w:lang w:val="en-US" w:eastAsia="zh-CN"/>
        </w:rPr>
        <w:t>平台</w:t>
      </w:r>
      <w:r>
        <w:rPr>
          <w:rFonts w:hint="eastAsia" w:ascii="宋体" w:hAnsi="宋体" w:eastAsia="宋体" w:cs="宋体"/>
          <w:bCs/>
          <w:color w:val="auto"/>
          <w:highlight w:val="none"/>
        </w:rPr>
        <w:t>”电子开标大厅参加开标的，视同认可开标过程和结果，</w:t>
      </w:r>
      <w:r>
        <w:rPr>
          <w:rFonts w:hint="eastAsia" w:ascii="宋体" w:hAnsi="宋体" w:eastAsia="宋体" w:cs="宋体"/>
          <w:color w:val="auto"/>
          <w:highlight w:val="none"/>
        </w:rPr>
        <w:t>由此产生的后果由投标人自行负责。投标人不足3家的，不得开标。</w:t>
      </w:r>
    </w:p>
    <w:p w14:paraId="0E52B3AB">
      <w:pPr>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24.开标程序</w:t>
      </w:r>
    </w:p>
    <w:p w14:paraId="4CD70780">
      <w:pPr>
        <w:autoSpaceDE w:val="0"/>
        <w:autoSpaceDN w:val="0"/>
        <w:adjustRightInd w:val="0"/>
        <w:spacing w:line="440" w:lineRule="exact"/>
        <w:ind w:firstLine="420" w:firstLineChars="200"/>
        <w:rPr>
          <w:rFonts w:hint="eastAsia" w:ascii="宋体" w:hAnsi="宋体" w:eastAsia="宋体" w:cs="宋体"/>
          <w:color w:val="auto"/>
          <w:kern w:val="0"/>
          <w:szCs w:val="21"/>
          <w:highlight w:val="none"/>
        </w:rPr>
      </w:pPr>
      <w:r>
        <w:rPr>
          <w:rFonts w:hint="eastAsia" w:ascii="宋体" w:hAnsi="宋体" w:eastAsia="宋体" w:cs="宋体"/>
          <w:bCs/>
          <w:color w:val="auto"/>
          <w:szCs w:val="21"/>
          <w:highlight w:val="none"/>
        </w:rPr>
        <w:t>24.1</w:t>
      </w:r>
      <w:r>
        <w:rPr>
          <w:rFonts w:hint="eastAsia" w:ascii="宋体" w:hAnsi="宋体" w:eastAsia="宋体" w:cs="宋体"/>
          <w:color w:val="auto"/>
          <w:kern w:val="0"/>
          <w:szCs w:val="21"/>
          <w:highlight w:val="none"/>
        </w:rPr>
        <w:t>开标形式：</w:t>
      </w:r>
    </w:p>
    <w:p w14:paraId="2D191D19">
      <w:pPr>
        <w:autoSpaceDE w:val="0"/>
        <w:autoSpaceDN w:val="0"/>
        <w:adjustRightInd w:val="0"/>
        <w:spacing w:line="440" w:lineRule="exact"/>
        <w:ind w:firstLine="420" w:firstLineChars="200"/>
        <w:rPr>
          <w:rFonts w:hint="eastAsia" w:ascii="宋体" w:hAnsi="宋体" w:eastAsia="宋体" w:cs="宋体"/>
          <w:bCs/>
          <w:color w:val="auto"/>
          <w:szCs w:val="21"/>
          <w:highlight w:val="none"/>
        </w:rPr>
      </w:pPr>
      <w:r>
        <w:rPr>
          <w:rFonts w:hint="eastAsia" w:ascii="宋体" w:hAnsi="宋体" w:eastAsia="宋体" w:cs="宋体"/>
          <w:color w:val="auto"/>
          <w:szCs w:val="21"/>
          <w:highlight w:val="none"/>
        </w:rPr>
        <w:t>（1）</w:t>
      </w:r>
      <w:r>
        <w:rPr>
          <w:rFonts w:hint="eastAsia" w:ascii="宋体" w:hAnsi="宋体" w:eastAsia="宋体" w:cs="宋体"/>
          <w:bCs/>
          <w:color w:val="auto"/>
          <w:szCs w:val="21"/>
          <w:highlight w:val="none"/>
        </w:rPr>
        <w:t>开标的准备工作由采购代理机构负责落实，采购代理机构必须基于</w:t>
      </w:r>
      <w:r>
        <w:rPr>
          <w:rFonts w:hint="eastAsia" w:ascii="宋体" w:hAnsi="宋体" w:eastAsia="宋体" w:cs="宋体"/>
          <w:bCs/>
          <w:color w:val="auto"/>
          <w:szCs w:val="21"/>
          <w:highlight w:val="none"/>
          <w:lang w:eastAsia="zh-CN"/>
        </w:rPr>
        <w:t>广西政府采购云平台</w:t>
      </w:r>
      <w:r>
        <w:rPr>
          <w:rFonts w:hint="eastAsia" w:ascii="宋体" w:hAnsi="宋体" w:eastAsia="宋体" w:cs="宋体"/>
          <w:bCs/>
          <w:color w:val="auto"/>
          <w:szCs w:val="21"/>
          <w:highlight w:val="none"/>
        </w:rPr>
        <w:t>选取评审专家，如采购代理机构未按规定选取专家的，视为本次开评标无效，应当重新采购；</w:t>
      </w:r>
    </w:p>
    <w:p w14:paraId="4BDBD0DB">
      <w:pPr>
        <w:autoSpaceDE w:val="0"/>
        <w:autoSpaceDN w:val="0"/>
        <w:adjustRightInd w:val="0"/>
        <w:spacing w:line="440" w:lineRule="exact"/>
        <w:ind w:firstLine="420" w:firstLineChars="200"/>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（2）采购代理机构将按照招标文件规定的时间通过</w:t>
      </w:r>
      <w:r>
        <w:rPr>
          <w:rFonts w:hint="eastAsia" w:ascii="宋体" w:hAnsi="宋体" w:eastAsia="宋体" w:cs="宋体"/>
          <w:bCs/>
          <w:color w:val="auto"/>
          <w:szCs w:val="21"/>
          <w:highlight w:val="none"/>
          <w:lang w:eastAsia="zh-CN"/>
        </w:rPr>
        <w:t>广西政府采购云平台</w:t>
      </w:r>
      <w:r>
        <w:rPr>
          <w:rFonts w:hint="eastAsia" w:ascii="宋体" w:hAnsi="宋体" w:eastAsia="宋体" w:cs="宋体"/>
          <w:bCs/>
          <w:color w:val="auto"/>
          <w:szCs w:val="21"/>
          <w:highlight w:val="none"/>
        </w:rPr>
        <w:t>组织线上开标活动、开启投标文件，所有供应商均应当准时在线参加。投标人如不参加开标大会的，视同认可开标结果，事后不得对采购相关人员、开标过程和开标结果提出异议，同时投标人因未在线参加开标而导致投标文件无法按时解密等一切后果由投标人自己承担。</w:t>
      </w:r>
    </w:p>
    <w:p w14:paraId="113CB8F6">
      <w:pPr>
        <w:autoSpaceDE w:val="0"/>
        <w:autoSpaceDN w:val="0"/>
        <w:adjustRightInd w:val="0"/>
        <w:spacing w:line="440" w:lineRule="exact"/>
        <w:ind w:firstLine="420" w:firstLineChars="200"/>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24.2开标程序：</w:t>
      </w:r>
    </w:p>
    <w:p w14:paraId="31450C66">
      <w:pPr>
        <w:pStyle w:val="18"/>
        <w:snapToGrid w:val="0"/>
        <w:spacing w:line="440" w:lineRule="exact"/>
        <w:ind w:firstLine="422" w:firstLineChars="200"/>
        <w:rPr>
          <w:rFonts w:hint="eastAsia" w:ascii="宋体" w:hAnsi="宋体" w:eastAsia="宋体" w:cs="宋体"/>
          <w:color w:val="auto"/>
          <w:szCs w:val="21"/>
          <w:highlight w:val="none"/>
        </w:rPr>
      </w:pPr>
      <w:r>
        <w:rPr>
          <w:rFonts w:hint="eastAsia" w:ascii="宋体" w:hAnsi="宋体" w:eastAsia="宋体" w:cs="宋体"/>
          <w:b/>
          <w:color w:val="auto"/>
          <w:szCs w:val="21"/>
          <w:highlight w:val="none"/>
        </w:rPr>
        <w:t>（1）解密电子投标文件。</w:t>
      </w:r>
      <w:r>
        <w:rPr>
          <w:rFonts w:hint="eastAsia" w:ascii="宋体" w:hAnsi="宋体" w:eastAsia="宋体" w:cs="宋体"/>
          <w:b/>
          <w:color w:val="auto"/>
          <w:szCs w:val="21"/>
          <w:highlight w:val="none"/>
          <w:lang w:eastAsia="zh-CN"/>
        </w:rPr>
        <w:t>广西政府采购云平台</w:t>
      </w:r>
      <w:r>
        <w:rPr>
          <w:rFonts w:hint="eastAsia" w:ascii="宋体" w:hAnsi="宋体" w:eastAsia="宋体" w:cs="宋体"/>
          <w:color w:val="auto"/>
          <w:szCs w:val="21"/>
          <w:highlight w:val="none"/>
        </w:rPr>
        <w:t>按开标时间自动提取所有投标文件。采购代理机构依托</w:t>
      </w:r>
      <w:r>
        <w:rPr>
          <w:rFonts w:hint="eastAsia" w:ascii="宋体" w:hAnsi="宋体" w:eastAsia="宋体" w:cs="宋体"/>
          <w:color w:val="auto"/>
          <w:szCs w:val="21"/>
          <w:highlight w:val="none"/>
          <w:lang w:eastAsia="zh-CN"/>
        </w:rPr>
        <w:t>广西政府采购云平台</w:t>
      </w:r>
      <w:r>
        <w:rPr>
          <w:rFonts w:hint="eastAsia" w:ascii="宋体" w:hAnsi="宋体" w:eastAsia="宋体" w:cs="宋体"/>
          <w:color w:val="auto"/>
          <w:szCs w:val="21"/>
          <w:highlight w:val="none"/>
        </w:rPr>
        <w:t>向各投标人发出电子加密投标文件【开始解密】通知，由投标人按招标文件规定的时间内自行进行投标文件解密。投标人的法定代表人或其委托代理人</w:t>
      </w:r>
      <w:r>
        <w:rPr>
          <w:rFonts w:hint="eastAsia" w:ascii="宋体" w:hAnsi="宋体" w:eastAsia="宋体" w:cs="宋体"/>
          <w:b/>
          <w:color w:val="auto"/>
          <w:szCs w:val="21"/>
          <w:highlight w:val="none"/>
        </w:rPr>
        <w:t>须携带加密时所用的CA锁准时登录到</w:t>
      </w:r>
      <w:r>
        <w:rPr>
          <w:rFonts w:hint="eastAsia" w:ascii="宋体" w:hAnsi="宋体" w:eastAsia="宋体" w:cs="宋体"/>
          <w:b/>
          <w:color w:val="auto"/>
          <w:szCs w:val="21"/>
          <w:highlight w:val="none"/>
          <w:lang w:eastAsia="zh-CN"/>
        </w:rPr>
        <w:t>广西政府采购云平台</w:t>
      </w:r>
      <w:r>
        <w:rPr>
          <w:rFonts w:hint="eastAsia" w:ascii="宋体" w:hAnsi="宋体" w:eastAsia="宋体" w:cs="宋体"/>
          <w:b/>
          <w:color w:val="auto"/>
          <w:szCs w:val="21"/>
          <w:highlight w:val="none"/>
        </w:rPr>
        <w:t>电子开标大厅签到并对电子投标文件解密</w:t>
      </w:r>
      <w:r>
        <w:rPr>
          <w:rFonts w:hint="eastAsia" w:ascii="宋体" w:hAnsi="宋体" w:eastAsia="宋体" w:cs="宋体"/>
          <w:color w:val="auto"/>
          <w:szCs w:val="21"/>
          <w:highlight w:val="none"/>
        </w:rPr>
        <w:t>。开标后5分钟投标人还未进行解密的，代理机构要通知投标人。通知后，投标文件仍未按时解密，或者投标人没预留联系方式或预留联系方式无效，导致代理机构无法联系到投标人进行解密的，</w:t>
      </w:r>
      <w:r>
        <w:rPr>
          <w:rFonts w:hint="eastAsia" w:ascii="宋体" w:hAnsi="宋体" w:eastAsia="宋体" w:cs="宋体"/>
          <w:b/>
          <w:color w:val="auto"/>
          <w:szCs w:val="21"/>
          <w:highlight w:val="none"/>
        </w:rPr>
        <w:t>均视为无效投标。</w:t>
      </w:r>
    </w:p>
    <w:p w14:paraId="16767285">
      <w:pPr>
        <w:pStyle w:val="18"/>
        <w:snapToGrid w:val="0"/>
        <w:spacing w:line="440" w:lineRule="exact"/>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（解密</w:t>
      </w:r>
      <w:r>
        <w:rPr>
          <w:rFonts w:hint="eastAsia" w:ascii="宋体" w:hAnsi="宋体" w:eastAsia="宋体" w:cs="宋体"/>
          <w:bCs/>
          <w:color w:val="auto"/>
          <w:szCs w:val="21"/>
          <w:highlight w:val="none"/>
        </w:rPr>
        <w:t>异常情况处理：详见本章</w:t>
      </w:r>
      <w:r>
        <w:rPr>
          <w:rFonts w:hint="eastAsia" w:ascii="宋体" w:hAnsi="宋体" w:eastAsia="宋体" w:cs="宋体"/>
          <w:color w:val="auto"/>
          <w:highlight w:val="none"/>
        </w:rPr>
        <w:t>29.3电子交易活动的中止。</w:t>
      </w:r>
      <w:r>
        <w:rPr>
          <w:rFonts w:hint="eastAsia" w:ascii="宋体" w:hAnsi="宋体" w:eastAsia="宋体" w:cs="宋体"/>
          <w:color w:val="auto"/>
          <w:szCs w:val="21"/>
          <w:highlight w:val="none"/>
        </w:rPr>
        <w:t>）</w:t>
      </w:r>
    </w:p>
    <w:p w14:paraId="0565F91E">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w:t>
      </w:r>
      <w:r>
        <w:rPr>
          <w:rFonts w:hint="eastAsia" w:ascii="宋体" w:hAnsi="宋体" w:eastAsia="宋体" w:cs="宋体"/>
          <w:b/>
          <w:color w:val="auto"/>
          <w:szCs w:val="21"/>
          <w:highlight w:val="none"/>
        </w:rPr>
        <w:t>电子唱标。</w:t>
      </w:r>
      <w:r>
        <w:rPr>
          <w:rFonts w:hint="eastAsia" w:ascii="宋体" w:hAnsi="宋体" w:eastAsia="宋体" w:cs="宋体"/>
          <w:color w:val="auto"/>
          <w:szCs w:val="21"/>
          <w:highlight w:val="none"/>
        </w:rPr>
        <w:t>投标文件解密结束，各投标供应商报价均在</w:t>
      </w:r>
      <w:r>
        <w:rPr>
          <w:rFonts w:hint="eastAsia" w:ascii="宋体" w:hAnsi="宋体" w:eastAsia="宋体" w:cs="宋体"/>
          <w:color w:val="auto"/>
          <w:szCs w:val="21"/>
          <w:highlight w:val="none"/>
          <w:lang w:eastAsia="zh-CN"/>
        </w:rPr>
        <w:t>广西政府采购云平台</w:t>
      </w:r>
      <w:r>
        <w:rPr>
          <w:rFonts w:hint="eastAsia" w:ascii="宋体" w:hAnsi="宋体" w:eastAsia="宋体" w:cs="宋体"/>
          <w:color w:val="auto"/>
          <w:szCs w:val="21"/>
          <w:highlight w:val="none"/>
        </w:rPr>
        <w:t>远程不见面开标大厅展示；</w:t>
      </w:r>
    </w:p>
    <w:p w14:paraId="459F1B06">
      <w:pPr>
        <w:spacing w:line="360" w:lineRule="auto"/>
        <w:ind w:firstLine="420" w:firstLineChars="200"/>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w:t>
      </w:r>
      <w:r>
        <w:rPr>
          <w:rFonts w:hint="eastAsia" w:ascii="宋体" w:hAnsi="宋体" w:eastAsia="宋体" w:cs="宋体"/>
          <w:bCs/>
          <w:color w:val="auto"/>
          <w:szCs w:val="21"/>
          <w:highlight w:val="none"/>
          <w:lang w:val="en-US" w:eastAsia="zh-CN"/>
        </w:rPr>
        <w:t>3</w:t>
      </w:r>
      <w:r>
        <w:rPr>
          <w:rFonts w:hint="eastAsia" w:ascii="宋体" w:hAnsi="宋体" w:eastAsia="宋体" w:cs="宋体"/>
          <w:bCs/>
          <w:color w:val="auto"/>
          <w:szCs w:val="21"/>
          <w:highlight w:val="none"/>
        </w:rPr>
        <w:t>）开标过程由采购代理机构如实记录，并电子留痕，由参加电子开标的各投标人代表对电子开标记录在开标记录公布后15分钟内进行当场校核及勘误，并线上确认，未确认的视同认可开标结果。</w:t>
      </w:r>
    </w:p>
    <w:p w14:paraId="1D5B03AC">
      <w:pPr>
        <w:spacing w:line="360" w:lineRule="auto"/>
        <w:ind w:firstLine="420" w:firstLineChars="200"/>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w:t>
      </w:r>
      <w:r>
        <w:rPr>
          <w:rFonts w:hint="eastAsia" w:ascii="宋体" w:hAnsi="宋体" w:eastAsia="宋体" w:cs="宋体"/>
          <w:bCs/>
          <w:color w:val="auto"/>
          <w:szCs w:val="21"/>
          <w:highlight w:val="none"/>
          <w:lang w:val="en-US" w:eastAsia="zh-CN"/>
        </w:rPr>
        <w:t>4</w:t>
      </w:r>
      <w:r>
        <w:rPr>
          <w:rFonts w:hint="eastAsia" w:ascii="宋体" w:hAnsi="宋体" w:eastAsia="宋体" w:cs="宋体"/>
          <w:bCs/>
          <w:color w:val="auto"/>
          <w:szCs w:val="21"/>
          <w:highlight w:val="none"/>
        </w:rPr>
        <w:t>）投标人代表对开标过程和开标记录有疑义，以及认为采购人、采购代理机构相关工作人员有需要回避的情形的，应当场提出在线询问或者回避申请。采购人、采购代理机构对投标人代表提出的询问或者回避申请应当及时处理。</w:t>
      </w:r>
    </w:p>
    <w:p w14:paraId="3E4B36C2">
      <w:pPr>
        <w:spacing w:line="360" w:lineRule="auto"/>
        <w:ind w:firstLine="420" w:firstLineChars="200"/>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w:t>
      </w:r>
      <w:r>
        <w:rPr>
          <w:rFonts w:hint="eastAsia" w:ascii="宋体" w:hAnsi="宋体" w:eastAsia="宋体" w:cs="宋体"/>
          <w:bCs/>
          <w:color w:val="auto"/>
          <w:szCs w:val="21"/>
          <w:highlight w:val="none"/>
          <w:lang w:val="en-US" w:eastAsia="zh-CN"/>
        </w:rPr>
        <w:t>5</w:t>
      </w:r>
      <w:r>
        <w:rPr>
          <w:rFonts w:hint="eastAsia" w:ascii="宋体" w:hAnsi="宋体" w:eastAsia="宋体" w:cs="宋体"/>
          <w:bCs/>
          <w:color w:val="auto"/>
          <w:szCs w:val="21"/>
          <w:highlight w:val="none"/>
        </w:rPr>
        <w:t>）开标结束。</w:t>
      </w:r>
    </w:p>
    <w:p w14:paraId="242FC481">
      <w:pPr>
        <w:pStyle w:val="18"/>
        <w:snapToGrid w:val="0"/>
        <w:spacing w:line="440" w:lineRule="exact"/>
        <w:ind w:firstLine="422" w:firstLineChars="200"/>
        <w:rPr>
          <w:rFonts w:hint="eastAsia" w:ascii="宋体" w:hAnsi="宋体" w:eastAsia="宋体" w:cs="宋体"/>
          <w:color w:val="auto"/>
          <w:szCs w:val="21"/>
          <w:highlight w:val="none"/>
        </w:rPr>
      </w:pPr>
      <w:r>
        <w:rPr>
          <w:rFonts w:hint="eastAsia" w:ascii="宋体" w:hAnsi="宋体" w:eastAsia="宋体" w:cs="宋体"/>
          <w:b/>
          <w:bCs/>
          <w:color w:val="auto"/>
          <w:szCs w:val="21"/>
          <w:highlight w:val="none"/>
        </w:rPr>
        <w:t>特别说明：</w:t>
      </w:r>
      <w:r>
        <w:rPr>
          <w:rFonts w:hint="eastAsia" w:ascii="宋体" w:hAnsi="宋体" w:eastAsia="宋体" w:cs="宋体"/>
          <w:color w:val="auto"/>
          <w:szCs w:val="21"/>
          <w:highlight w:val="none"/>
        </w:rPr>
        <w:t>如遇</w:t>
      </w:r>
      <w:r>
        <w:rPr>
          <w:rFonts w:hint="eastAsia" w:ascii="宋体" w:hAnsi="宋体" w:eastAsia="宋体" w:cs="宋体"/>
          <w:color w:val="auto"/>
          <w:szCs w:val="21"/>
          <w:highlight w:val="none"/>
          <w:lang w:eastAsia="zh-CN"/>
        </w:rPr>
        <w:t>广西政府采购云平台</w:t>
      </w:r>
      <w:r>
        <w:rPr>
          <w:rFonts w:hint="eastAsia" w:ascii="宋体" w:hAnsi="宋体" w:eastAsia="宋体" w:cs="宋体"/>
          <w:color w:val="auto"/>
          <w:szCs w:val="21"/>
          <w:highlight w:val="none"/>
        </w:rPr>
        <w:t>电子化开标或评审程序调整的，按调整后执行。</w:t>
      </w:r>
    </w:p>
    <w:p w14:paraId="14515C95">
      <w:pPr>
        <w:pStyle w:val="18"/>
        <w:snapToGrid w:val="0"/>
        <w:spacing w:line="400" w:lineRule="exact"/>
        <w:ind w:left="689" w:leftChars="228" w:hanging="210" w:hangingChars="100"/>
        <w:rPr>
          <w:rFonts w:hint="eastAsia" w:ascii="宋体" w:hAnsi="宋体" w:eastAsia="宋体" w:cs="宋体"/>
          <w:color w:val="auto"/>
          <w:highlight w:val="none"/>
        </w:rPr>
      </w:pPr>
    </w:p>
    <w:p w14:paraId="6ED1E161">
      <w:pPr>
        <w:pStyle w:val="4"/>
        <w:keepNext w:val="0"/>
        <w:keepLines w:val="0"/>
        <w:spacing w:line="400" w:lineRule="exact"/>
        <w:jc w:val="center"/>
        <w:rPr>
          <w:rFonts w:hint="eastAsia" w:ascii="宋体" w:hAnsi="宋体" w:eastAsia="宋体" w:cs="宋体"/>
          <w:color w:val="auto"/>
          <w:highlight w:val="none"/>
        </w:rPr>
      </w:pPr>
      <w:bookmarkStart w:id="11" w:name="_Toc24129"/>
      <w:r>
        <w:rPr>
          <w:rFonts w:hint="eastAsia" w:ascii="宋体" w:hAnsi="宋体" w:eastAsia="宋体" w:cs="宋体"/>
          <w:color w:val="auto"/>
          <w:highlight w:val="none"/>
        </w:rPr>
        <w:t>五、资格审查</w:t>
      </w:r>
      <w:bookmarkEnd w:id="11"/>
    </w:p>
    <w:p w14:paraId="5E8B9FDB">
      <w:pPr>
        <w:pStyle w:val="6"/>
        <w:keepNext w:val="0"/>
        <w:keepLines w:val="0"/>
        <w:spacing w:before="0" w:after="0" w:line="360" w:lineRule="auto"/>
        <w:ind w:firstLine="482"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25.资格审查</w:t>
      </w:r>
    </w:p>
    <w:p w14:paraId="78430FA7">
      <w:pPr>
        <w:spacing w:line="360" w:lineRule="auto"/>
        <w:ind w:firstLine="422" w:firstLineChars="200"/>
        <w:rPr>
          <w:rFonts w:hint="eastAsia" w:ascii="宋体" w:hAnsi="宋体" w:eastAsia="宋体" w:cs="宋体"/>
          <w:b/>
          <w:bCs/>
          <w:color w:val="auto"/>
          <w:szCs w:val="20"/>
          <w:highlight w:val="none"/>
        </w:rPr>
      </w:pPr>
      <w:r>
        <w:rPr>
          <w:rFonts w:hint="eastAsia" w:ascii="宋体" w:hAnsi="宋体" w:eastAsia="宋体" w:cs="宋体"/>
          <w:b/>
          <w:bCs/>
          <w:color w:val="auto"/>
          <w:szCs w:val="20"/>
          <w:highlight w:val="none"/>
        </w:rPr>
        <w:t>25.1开标结束后，采购人或采购机构依法通过电子投标文件对投标人的资格进行线上审查。</w:t>
      </w:r>
    </w:p>
    <w:p w14:paraId="574BC9F7">
      <w:pPr>
        <w:spacing w:line="360" w:lineRule="auto"/>
        <w:ind w:firstLine="422" w:firstLineChars="200"/>
        <w:rPr>
          <w:rFonts w:hint="eastAsia" w:ascii="宋体" w:hAnsi="宋体" w:eastAsia="宋体" w:cs="宋体"/>
          <w:b/>
          <w:bCs/>
          <w:color w:val="auto"/>
          <w:szCs w:val="20"/>
          <w:highlight w:val="none"/>
        </w:rPr>
      </w:pPr>
      <w:r>
        <w:rPr>
          <w:rFonts w:hint="eastAsia" w:ascii="宋体" w:hAnsi="宋体" w:eastAsia="宋体" w:cs="宋体"/>
          <w:b/>
          <w:bCs/>
          <w:color w:val="auto"/>
          <w:szCs w:val="20"/>
          <w:highlight w:val="none"/>
        </w:rPr>
        <w:t>25.2采购人或采购机构依据法律法规和招标文件的规定，对投标人的基本资格条件、特定资格条件进行审查。</w:t>
      </w:r>
    </w:p>
    <w:p w14:paraId="7A6DD4C4">
      <w:pPr>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25.3资格审查标准为本“招标文件”中“投标人须知前附表”13.1点载明对投标人资格要求的条件。本项目资格审查采用合格制，凡符合招标文件规定的投标人资格要求的投标人均通过资格审查。</w:t>
      </w:r>
    </w:p>
    <w:p w14:paraId="6695A5E5">
      <w:pPr>
        <w:spacing w:line="360" w:lineRule="auto"/>
        <w:ind w:firstLine="422" w:firstLineChars="200"/>
        <w:rPr>
          <w:rFonts w:hint="eastAsia" w:ascii="宋体" w:hAnsi="宋体" w:eastAsia="宋体" w:cs="宋体"/>
          <w:b/>
          <w:bCs/>
          <w:color w:val="auto"/>
          <w:szCs w:val="20"/>
          <w:highlight w:val="none"/>
        </w:rPr>
      </w:pPr>
      <w:r>
        <w:rPr>
          <w:rFonts w:hint="eastAsia" w:ascii="宋体" w:hAnsi="宋体" w:eastAsia="宋体" w:cs="宋体"/>
          <w:b/>
          <w:bCs/>
          <w:color w:val="auto"/>
          <w:szCs w:val="20"/>
          <w:highlight w:val="none"/>
        </w:rPr>
        <w:t>25.4投标人有下列情形之一的，资格审查不通过，作无效投标处理：</w:t>
      </w:r>
    </w:p>
    <w:p w14:paraId="6B7DBFA1">
      <w:pPr>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（1）不具备招标文件中规定的资格要求的；（注：其中信用查询规则见“投标人须知前附表”，</w:t>
      </w:r>
      <w:r>
        <w:rPr>
          <w:rFonts w:hint="eastAsia" w:ascii="宋体" w:hAnsi="宋体" w:eastAsia="宋体" w:cs="宋体"/>
          <w:color w:val="auto"/>
          <w:highlight w:val="none"/>
          <w:lang w:eastAsia="zh-CN"/>
        </w:rPr>
        <w:t>广西政府采购云平台</w:t>
      </w:r>
      <w:r>
        <w:rPr>
          <w:rFonts w:hint="eastAsia" w:ascii="宋体" w:hAnsi="宋体" w:eastAsia="宋体" w:cs="宋体"/>
          <w:color w:val="auto"/>
          <w:highlight w:val="none"/>
        </w:rPr>
        <w:t>已与“信用中国”平台做接口，审查专家可直接在线查询）</w:t>
      </w:r>
    </w:p>
    <w:p w14:paraId="773D5F52">
      <w:pPr>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（2）投标文件未提供任一项“投标人须知前附表”资格证明文件规定的“必须提供”的文件资料的；</w:t>
      </w:r>
    </w:p>
    <w:p w14:paraId="53E16606">
      <w:pPr>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（3）投标文件提供的资格证明文件出现任一项不符合“投标人须知前附表”资格证明文件规定的“必须提供”的文件资料要求或者无效的。</w:t>
      </w:r>
    </w:p>
    <w:p w14:paraId="7A9D4693">
      <w:pPr>
        <w:pStyle w:val="6"/>
        <w:keepNext w:val="0"/>
        <w:keepLines w:val="0"/>
        <w:spacing w:before="0" w:after="0" w:line="360" w:lineRule="auto"/>
        <w:ind w:firstLine="420" w:firstLineChars="200"/>
        <w:rPr>
          <w:rFonts w:hint="eastAsia" w:ascii="宋体" w:hAnsi="宋体" w:eastAsia="宋体" w:cs="宋体"/>
          <w:b w:val="0"/>
          <w:bCs w:val="0"/>
          <w:color w:val="auto"/>
          <w:sz w:val="21"/>
          <w:szCs w:val="20"/>
          <w:highlight w:val="none"/>
        </w:rPr>
      </w:pPr>
      <w:r>
        <w:rPr>
          <w:rFonts w:hint="eastAsia" w:ascii="宋体" w:hAnsi="宋体" w:eastAsia="宋体" w:cs="宋体"/>
          <w:b w:val="0"/>
          <w:bCs w:val="0"/>
          <w:color w:val="auto"/>
          <w:sz w:val="21"/>
          <w:szCs w:val="20"/>
          <w:highlight w:val="none"/>
        </w:rPr>
        <w:t>25.5资格审查的合格投标人不足3家的，不得评标。</w:t>
      </w:r>
    </w:p>
    <w:p w14:paraId="2FBC8D7A">
      <w:pPr>
        <w:pStyle w:val="4"/>
        <w:keepNext w:val="0"/>
        <w:keepLines w:val="0"/>
        <w:spacing w:line="360" w:lineRule="auto"/>
        <w:jc w:val="center"/>
        <w:rPr>
          <w:rFonts w:hint="eastAsia" w:ascii="宋体" w:hAnsi="宋体" w:eastAsia="宋体" w:cs="宋体"/>
          <w:color w:val="auto"/>
          <w:highlight w:val="none"/>
        </w:rPr>
      </w:pPr>
      <w:bookmarkStart w:id="12" w:name="_Toc14438"/>
      <w:r>
        <w:rPr>
          <w:rFonts w:hint="eastAsia" w:ascii="宋体" w:hAnsi="宋体" w:eastAsia="宋体" w:cs="宋体"/>
          <w:color w:val="auto"/>
          <w:highlight w:val="none"/>
        </w:rPr>
        <w:t>六、评标</w:t>
      </w:r>
      <w:bookmarkEnd w:id="12"/>
    </w:p>
    <w:p w14:paraId="7BA1F750">
      <w:pPr>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26.组建评标委员会</w:t>
      </w:r>
    </w:p>
    <w:p w14:paraId="6D5BD5C4">
      <w:pPr>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评标委员会由采购人代表和评审专家组成，人数为5人以上单数，其中评审专家不得少于成员总数的三分之二。</w:t>
      </w:r>
    </w:p>
    <w:p w14:paraId="61ADA342">
      <w:pPr>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参加过采购项目前期咨询论证的专家，不得参加该采购项目的评审活动。</w:t>
      </w:r>
    </w:p>
    <w:p w14:paraId="5DDD9D43">
      <w:pPr>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27.评标的依据</w:t>
      </w:r>
    </w:p>
    <w:p w14:paraId="1E284CFA">
      <w:pPr>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评标委员会以招标文件为依据对投标文件进行评审，“第四章评标方法和评标标准”没有规定的方法、评审因素和标准，不作为评标依据。</w:t>
      </w:r>
    </w:p>
    <w:p w14:paraId="3851B555">
      <w:pPr>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28.评标原则</w:t>
      </w:r>
    </w:p>
    <w:p w14:paraId="614CE755">
      <w:pPr>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28.1评标原则。评标委员会评标时必须公平、公正、客观，不带任何倾向性和启发性；不得向外界透露任何与评标有关的内容；任何单位和个人不得干扰、影响评标的正常进行；评标委员会及有关工作人员不得私下与投标人接触，不得收受利害关系人的财物或者其他好处。</w:t>
      </w:r>
    </w:p>
    <w:p w14:paraId="56870AC4">
      <w:pPr>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28.2评委表决。在评标过程中出现法律法规和招标文件均没有明确规定的情形时，由评标委员会现场协商解决，协商不一致的，由全体评委投票表决，以得票率二分之一以上专家的意见为准并由采购代理机构作记录。</w:t>
      </w:r>
    </w:p>
    <w:p w14:paraId="6DFC1B68">
      <w:pPr>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28.3评标的保密。采购人、采购代理机构应当采取必要措施，保证评标在严格保密（封闭式评标）的情况下进行。除采购人代表、评标现场组织人员外，采购人的其他工作人员以及与评标工作无关的人员不得进入评标现场。有关人员对评标情况以及在评标过程中获悉的国家秘密、商业秘密负有保密责任。</w:t>
      </w:r>
    </w:p>
    <w:p w14:paraId="6D6D6DB6">
      <w:pPr>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28.4评标过程的监控。本项目电子评标过程实行网上留痕、全程录音、录像监控，投标人在评标过程中所进行的试图影响评标结果的不公正活动，可能导致其投标按无效处理。</w:t>
      </w:r>
    </w:p>
    <w:p w14:paraId="08135DE4">
      <w:pPr>
        <w:widowControl/>
        <w:spacing w:line="560" w:lineRule="exact"/>
        <w:ind w:firstLine="420" w:firstLineChars="200"/>
        <w:jc w:val="left"/>
        <w:textAlignment w:val="baseline"/>
        <w:rPr>
          <w:rFonts w:hint="eastAsia" w:ascii="宋体" w:hAnsi="宋体" w:eastAsia="宋体" w:cs="宋体"/>
          <w:color w:val="auto"/>
          <w:highlight w:val="none"/>
        </w:rPr>
      </w:pPr>
      <w:r>
        <w:rPr>
          <w:rFonts w:hint="eastAsia" w:ascii="宋体" w:hAnsi="宋体" w:eastAsia="宋体" w:cs="宋体"/>
          <w:color w:val="auto"/>
          <w:highlight w:val="none"/>
        </w:rPr>
        <w:t>28.5评标委员会发现招标文件存在歧义、重大缺陷导致评标工作无法进行，或者招标文件内容违反国家有关强制性规定的，应当停止评标工作，与采购人或者采购代理机构沟通并作书面记录。采购人或者采购代理机构确认后，应当修改招标文件，重新组织采购活动。</w:t>
      </w:r>
    </w:p>
    <w:p w14:paraId="32AA4838">
      <w:pPr>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29.评标方法及评标标准</w:t>
      </w:r>
    </w:p>
    <w:p w14:paraId="42C9BA3F">
      <w:pPr>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29.1本项目的评标方法详见“投标人须知前附表”。</w:t>
      </w:r>
    </w:p>
    <w:p w14:paraId="3360B1EE">
      <w:pPr>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29.2评标委员会按照</w:t>
      </w:r>
      <w:r>
        <w:rPr>
          <w:rFonts w:hint="eastAsia" w:ascii="宋体" w:hAnsi="宋体" w:eastAsia="宋体" w:cs="宋体"/>
          <w:b/>
          <w:color w:val="auto"/>
          <w:highlight w:val="none"/>
        </w:rPr>
        <w:t>“第四章评标方法和评标标准”</w:t>
      </w:r>
      <w:r>
        <w:rPr>
          <w:rFonts w:hint="eastAsia" w:ascii="宋体" w:hAnsi="宋体" w:eastAsia="宋体" w:cs="宋体"/>
          <w:color w:val="auto"/>
          <w:highlight w:val="none"/>
        </w:rPr>
        <w:t>规定的方法、评审因素、标准和程序对投标文件进行评审。</w:t>
      </w:r>
    </w:p>
    <w:p w14:paraId="46D5EEEC">
      <w:pPr>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29.3电子交易活动的中止。采购过程中出现以下情形，导致电子交易平台无法正常运行，或者无法保证电子交易的公平、公正和安全时，采购机构可中止电子交易活动：</w:t>
      </w:r>
    </w:p>
    <w:p w14:paraId="33C857F6">
      <w:pPr>
        <w:spacing w:line="360" w:lineRule="auto"/>
        <w:ind w:firstLine="420" w:firstLineChars="200"/>
        <w:rPr>
          <w:rFonts w:hint="eastAsia" w:ascii="宋体" w:hAnsi="宋体" w:eastAsia="宋体" w:cs="宋体"/>
          <w:color w:val="auto"/>
          <w:highlight w:val="none"/>
          <w:lang w:eastAsia="zh-CN"/>
        </w:rPr>
      </w:pPr>
      <w:r>
        <w:rPr>
          <w:rFonts w:hint="eastAsia" w:ascii="宋体" w:hAnsi="宋体" w:eastAsia="宋体" w:cs="宋体"/>
          <w:color w:val="auto"/>
          <w:highlight w:val="none"/>
        </w:rPr>
        <w:t>（1）电子交易平台发生故障而无法登录访问的；</w:t>
      </w:r>
    </w:p>
    <w:p w14:paraId="67E888D1">
      <w:pPr>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（2）电子交易平台应用或数据库出现错误，不能进行正常操作的；</w:t>
      </w:r>
    </w:p>
    <w:p w14:paraId="46A7AE7B">
      <w:pPr>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（3）电子交易平台发现严重安全漏洞，有潜在泄密危险的；</w:t>
      </w:r>
    </w:p>
    <w:p w14:paraId="340A3262">
      <w:pPr>
        <w:spacing w:line="360" w:lineRule="auto"/>
        <w:ind w:firstLine="420" w:firstLineChars="200"/>
        <w:rPr>
          <w:rFonts w:hint="eastAsia" w:ascii="宋体" w:hAnsi="宋体" w:eastAsia="宋体" w:cs="宋体"/>
          <w:color w:val="auto"/>
          <w:highlight w:val="none"/>
          <w:lang w:eastAsia="zh-CN"/>
        </w:rPr>
      </w:pPr>
      <w:r>
        <w:rPr>
          <w:rFonts w:hint="eastAsia" w:ascii="宋体" w:hAnsi="宋体" w:eastAsia="宋体" w:cs="宋体"/>
          <w:color w:val="auto"/>
          <w:highlight w:val="none"/>
        </w:rPr>
        <w:t>（4）病毒发作导致不能进行正常操作的；</w:t>
      </w:r>
    </w:p>
    <w:p w14:paraId="3871AA21">
      <w:pPr>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（4）其他无法保证电子交易的公平、公正和安全的情况。</w:t>
      </w:r>
    </w:p>
    <w:p w14:paraId="6261567E">
      <w:pPr>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29.4出现以上情形，不影响采购公平、公正性的，采购组织机构可以待上述情形消除后继续组织电子交易活动；影响或可能影响采购公平、公正性的，经采购代理机构确认后，应当重新采购。采购代理机构必须对原有的资料及信息作出妥善保密处理，并报财政部门备案。</w:t>
      </w:r>
    </w:p>
    <w:p w14:paraId="2E2C2749">
      <w:pPr>
        <w:pStyle w:val="18"/>
        <w:snapToGrid w:val="0"/>
        <w:spacing w:line="400" w:lineRule="exact"/>
        <w:ind w:firstLine="420" w:firstLineChars="200"/>
        <w:rPr>
          <w:rFonts w:hint="eastAsia" w:ascii="宋体" w:hAnsi="宋体" w:eastAsia="宋体" w:cs="宋体"/>
          <w:color w:val="auto"/>
          <w:highlight w:val="none"/>
        </w:rPr>
      </w:pPr>
    </w:p>
    <w:p w14:paraId="7A048FFA">
      <w:pPr>
        <w:pStyle w:val="4"/>
        <w:keepNext w:val="0"/>
        <w:keepLines w:val="0"/>
        <w:spacing w:line="400" w:lineRule="exact"/>
        <w:jc w:val="center"/>
        <w:rPr>
          <w:rFonts w:hint="eastAsia" w:ascii="宋体" w:hAnsi="宋体" w:eastAsia="宋体" w:cs="宋体"/>
          <w:color w:val="auto"/>
          <w:highlight w:val="none"/>
        </w:rPr>
      </w:pPr>
      <w:bookmarkStart w:id="13" w:name="_Toc32600"/>
      <w:r>
        <w:rPr>
          <w:rFonts w:hint="eastAsia" w:ascii="宋体" w:hAnsi="宋体" w:eastAsia="宋体" w:cs="宋体"/>
          <w:color w:val="auto"/>
          <w:highlight w:val="none"/>
        </w:rPr>
        <w:t>七、中标和合同</w:t>
      </w:r>
      <w:bookmarkEnd w:id="13"/>
    </w:p>
    <w:p w14:paraId="703AC91C">
      <w:pPr>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30.确定中标人</w:t>
      </w:r>
    </w:p>
    <w:p w14:paraId="7F884A8A">
      <w:pPr>
        <w:spacing w:line="360" w:lineRule="auto"/>
        <w:ind w:firstLine="422" w:firstLineChars="200"/>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30.1本项目授权评标委员会直接按第四章“评标方法及标准”的规定排列中标候选人顺序，并依照次序确定中标人。</w:t>
      </w:r>
    </w:p>
    <w:p w14:paraId="70E72ACC">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30.2采购人、采购代理机构认为供应商对采购过程、中标结果提出的质疑成立且影响或者可能影响中标结果的，合格供应商符合法定数量时，可以从合格的中标候选人中另行确定中标人的，应当依法另行确定中标人；否则应当重新开展采购活动。</w:t>
      </w:r>
    </w:p>
    <w:p w14:paraId="79E34626">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30.3中标供应商无正当理由拒签合同的，根据《中华人民共和国政府采购法》第七十七条第一款规定处理。</w:t>
      </w:r>
    </w:p>
    <w:p w14:paraId="1F67FD37">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30.4根据《中华人民共和国民法典》</w:t>
      </w:r>
      <w:r>
        <w:rPr>
          <w:rFonts w:hint="eastAsia" w:ascii="宋体" w:hAnsi="宋体" w:eastAsia="宋体" w:cs="宋体"/>
          <w:color w:val="auto"/>
          <w:sz w:val="19"/>
          <w:szCs w:val="19"/>
          <w:highlight w:val="none"/>
        </w:rPr>
        <w:t>第五百六十三条</w:t>
      </w:r>
      <w:r>
        <w:rPr>
          <w:rFonts w:hint="eastAsia" w:ascii="宋体" w:hAnsi="宋体" w:eastAsia="宋体" w:cs="宋体"/>
          <w:color w:val="auto"/>
          <w:szCs w:val="21"/>
          <w:highlight w:val="none"/>
        </w:rPr>
        <w:t>，因不可抗力致使不能实现合同目的的，当事人可以解除合同。</w:t>
      </w:r>
    </w:p>
    <w:p w14:paraId="410C6EEF">
      <w:pPr>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31.结果公告</w:t>
      </w:r>
    </w:p>
    <w:p w14:paraId="319E41E4">
      <w:pPr>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szCs w:val="21"/>
          <w:highlight w:val="none"/>
        </w:rPr>
        <w:t>31.1</w:t>
      </w:r>
      <w:r>
        <w:rPr>
          <w:rFonts w:hint="eastAsia" w:ascii="宋体" w:hAnsi="宋体" w:eastAsia="宋体" w:cs="宋体"/>
          <w:color w:val="auto"/>
          <w:highlight w:val="none"/>
        </w:rPr>
        <w:t>在中标供应商确定之日起2个工作日内，由采购代理机构</w:t>
      </w:r>
      <w:r>
        <w:rPr>
          <w:rFonts w:hint="eastAsia" w:ascii="宋体" w:hAnsi="宋体" w:eastAsia="宋体" w:cs="宋体"/>
          <w:b/>
          <w:color w:val="auto"/>
          <w:szCs w:val="21"/>
          <w:highlight w:val="none"/>
        </w:rPr>
        <w:t>在招标公告发布媒体上</w:t>
      </w:r>
      <w:r>
        <w:rPr>
          <w:rFonts w:hint="eastAsia" w:ascii="宋体" w:hAnsi="宋体" w:eastAsia="宋体" w:cs="宋体"/>
          <w:color w:val="auto"/>
          <w:highlight w:val="none"/>
        </w:rPr>
        <w:t>发布中标结果公告，中标结果公告期限为1个工作日，发布中标结果公告的同时向中标供应商发出中标通知书。</w:t>
      </w:r>
      <w:r>
        <w:rPr>
          <w:rFonts w:hint="eastAsia" w:ascii="宋体" w:hAnsi="宋体" w:eastAsia="宋体" w:cs="宋体"/>
          <w:b/>
          <w:color w:val="auto"/>
          <w:szCs w:val="21"/>
          <w:highlight w:val="none"/>
        </w:rPr>
        <w:t>采购代理机构发出中标通知书前，应当对中标人信用进行核实，对列入失信被执行人、重大税收违法案件当事人名单、政府采购严重违法失信行为记录名单及其他不符合《中华人民共和国政府采购法》第二十二条规定条件的投标人，取消其中标资格，并确定排名第二的中标候选人为中标人。</w:t>
      </w:r>
      <w:r>
        <w:rPr>
          <w:rFonts w:hint="eastAsia" w:ascii="宋体" w:hAnsi="宋体" w:eastAsia="宋体" w:cs="宋体"/>
          <w:color w:val="auto"/>
          <w:szCs w:val="21"/>
          <w:highlight w:val="none"/>
        </w:rPr>
        <w:t>排名第二的中标候选人因前款规定的同样原因被取消中标资格的，授权的评标委员会可以确定排名第三的中标候选人为中标人，以此类推。</w:t>
      </w:r>
    </w:p>
    <w:p w14:paraId="72CC2097">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以上信息查询记录及相关证据与采购文件一并保存。</w:t>
      </w:r>
    </w:p>
    <w:p w14:paraId="280D7A0D">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31.2中小企业在政府采购活动过程中，请根据企业的真实情况出具《中小企业声明函》。依法享受中小企业优惠政策的，采购人或者采购代理机构在公告中标结果时，同时公告其《中小企业声明函》，接受社会监督。</w:t>
      </w:r>
    </w:p>
    <w:p w14:paraId="4F4996C7">
      <w:pPr>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32.发出中标通知书</w:t>
      </w:r>
    </w:p>
    <w:p w14:paraId="2E9AB250">
      <w:pPr>
        <w:spacing w:line="360" w:lineRule="auto"/>
        <w:ind w:firstLine="422" w:firstLineChars="200"/>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32.1在发布中标公告的同时，采购代理机构向中标人通过</w:t>
      </w:r>
      <w:r>
        <w:rPr>
          <w:rFonts w:hint="eastAsia" w:ascii="宋体" w:hAnsi="宋体" w:eastAsia="宋体" w:cs="宋体"/>
          <w:b/>
          <w:color w:val="auto"/>
          <w:szCs w:val="21"/>
          <w:highlight w:val="none"/>
          <w:lang w:eastAsia="zh-CN"/>
        </w:rPr>
        <w:t>广西政府采购云平台</w:t>
      </w:r>
      <w:r>
        <w:rPr>
          <w:rFonts w:hint="eastAsia" w:ascii="宋体" w:hAnsi="宋体" w:eastAsia="宋体" w:cs="宋体"/>
          <w:b/>
          <w:color w:val="auto"/>
          <w:szCs w:val="21"/>
          <w:highlight w:val="none"/>
        </w:rPr>
        <w:t>发出电子中标通知书。</w:t>
      </w:r>
    </w:p>
    <w:p w14:paraId="0BD4CEF6">
      <w:pPr>
        <w:spacing w:line="360" w:lineRule="auto"/>
        <w:ind w:firstLine="422" w:firstLineChars="200"/>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32.2对未通过资格审查的投标人，采购人或采购机构应当告知其未通过的原因；采用综合评分办法评审的，采购人或采购机构还应当告知未中标人本人的评审得分与排序。</w:t>
      </w:r>
    </w:p>
    <w:p w14:paraId="2F70ED42">
      <w:pPr>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33.无义务解释未中标原因</w:t>
      </w:r>
    </w:p>
    <w:p w14:paraId="45F4A38D">
      <w:pPr>
        <w:spacing w:line="360" w:lineRule="auto"/>
        <w:ind w:firstLine="422" w:firstLineChars="200"/>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采购代理机构无义务向未中标的投标人解释未中标原因和退还投标文件。</w:t>
      </w:r>
    </w:p>
    <w:p w14:paraId="7CB41D7D">
      <w:pPr>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34.合同授予标准</w:t>
      </w:r>
    </w:p>
    <w:p w14:paraId="080A121F">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合同将授予被确定实质上响应招标文件要求，具备履行合同能力的中标人（招标文件另有约定多名中标人的除外）。</w:t>
      </w:r>
    </w:p>
    <w:p w14:paraId="414EF9F7">
      <w:pPr>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35.履约保证金</w:t>
      </w:r>
    </w:p>
    <w:p w14:paraId="0ED8C9AC">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见“投标人须知前附表”。</w:t>
      </w:r>
    </w:p>
    <w:p w14:paraId="59ADD564">
      <w:pPr>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36.签订合同</w:t>
      </w:r>
    </w:p>
    <w:p w14:paraId="243F8DDB">
      <w:pPr>
        <w:pStyle w:val="73"/>
        <w:snapToGrid w:val="0"/>
        <w:spacing w:before="0"/>
        <w:ind w:firstLine="422"/>
        <w:rPr>
          <w:rFonts w:hint="eastAsia" w:ascii="宋体" w:hAnsi="宋体" w:eastAsia="宋体" w:cs="宋体"/>
          <w:color w:val="auto"/>
          <w:kern w:val="0"/>
          <w:sz w:val="21"/>
          <w:szCs w:val="21"/>
          <w:highlight w:val="none"/>
          <w:lang w:val="zh-CN"/>
        </w:rPr>
      </w:pPr>
      <w:r>
        <w:rPr>
          <w:rFonts w:hint="eastAsia" w:ascii="宋体" w:hAnsi="宋体" w:eastAsia="宋体" w:cs="宋体"/>
          <w:b/>
          <w:color w:val="auto"/>
          <w:sz w:val="21"/>
          <w:szCs w:val="21"/>
          <w:highlight w:val="none"/>
        </w:rPr>
        <w:t>36.1中标人领取电子中标通知书后，</w:t>
      </w:r>
      <w:r>
        <w:rPr>
          <w:rFonts w:hint="eastAsia" w:ascii="宋体" w:hAnsi="宋体" w:eastAsia="宋体" w:cs="宋体"/>
          <w:color w:val="auto"/>
          <w:kern w:val="0"/>
          <w:sz w:val="21"/>
          <w:szCs w:val="21"/>
          <w:highlight w:val="none"/>
          <w:lang w:val="zh-CN"/>
        </w:rPr>
        <w:t>按规定的日期、时间、地点，由法定代表人或其授权代表与采购人代表签订电子采购合同。如中标人为联合体的，由联合体成员各方法定代表人或其授权代表与采购人代表签订合同，签订携带资料详见“投标人须知前附表”。</w:t>
      </w:r>
    </w:p>
    <w:p w14:paraId="20D519F0">
      <w:pPr>
        <w:pStyle w:val="73"/>
        <w:snapToGrid w:val="0"/>
        <w:spacing w:before="0"/>
        <w:ind w:firstLine="420"/>
        <w:rPr>
          <w:rFonts w:hint="eastAsia" w:ascii="宋体" w:hAnsi="宋体" w:eastAsia="宋体" w:cs="宋体"/>
          <w:color w:val="auto"/>
          <w:kern w:val="0"/>
          <w:sz w:val="21"/>
          <w:szCs w:val="21"/>
          <w:highlight w:val="none"/>
          <w:lang w:val="zh-CN"/>
        </w:rPr>
      </w:pPr>
      <w:r>
        <w:rPr>
          <w:rFonts w:hint="eastAsia" w:ascii="宋体" w:hAnsi="宋体" w:eastAsia="宋体" w:cs="宋体"/>
          <w:color w:val="auto"/>
          <w:kern w:val="0"/>
          <w:sz w:val="21"/>
          <w:szCs w:val="21"/>
          <w:highlight w:val="none"/>
          <w:lang w:val="zh-CN"/>
        </w:rPr>
        <w:t>36.2</w:t>
      </w:r>
      <w:r>
        <w:rPr>
          <w:rFonts w:hint="eastAsia" w:ascii="宋体" w:hAnsi="宋体" w:eastAsia="宋体" w:cs="宋体"/>
          <w:color w:val="auto"/>
          <w:sz w:val="21"/>
          <w:szCs w:val="21"/>
          <w:highlight w:val="none"/>
        </w:rPr>
        <w:t>采购合同由采购人与中标供应商根据招标文件、投标文件等内容通过政府采购电子交易平台在线签订，自动备案。</w:t>
      </w:r>
    </w:p>
    <w:p w14:paraId="0A2E8A39">
      <w:pPr>
        <w:pStyle w:val="73"/>
        <w:snapToGrid w:val="0"/>
        <w:spacing w:before="0"/>
        <w:ind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36.3签订合同时间：按中标通知书规定的时间与采购人签订合同（最长不能超过25日）。</w:t>
      </w:r>
    </w:p>
    <w:p w14:paraId="5D94B9D0">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36.4中标人拒绝与采购人签订合同的，采购人可以按照评审报告推荐的中标候选人名单排序，确定下一候选人为中标人，也可以重新开展政府采购活动。如采购人无正当理由拒签合同的，给中标供应商造成损失的，中标供应商可追究采购人承担相应的法律责任。</w:t>
      </w:r>
    </w:p>
    <w:p w14:paraId="616FEE46">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36.5政府采购合同是政府采购项目验收的依据，中标供应商和采购人应当按照采购合同约定的各自的权利和义务全面履行合同。任何一方当事人在履行合同过程中均不得擅自变更、中止或终止合同。政府采购合同继续履行将损害国家利益和社会公共利益的，双方当事人应当变更、中止或终止合同。有过错的一方应当承担赔偿责任，双方都有过错的，各自承担相应的责任。</w:t>
      </w:r>
    </w:p>
    <w:p w14:paraId="68A3307E">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36.6采购人或中标供应商不得单方面向合同另一方提出任何招标文件没有约定的条件或不合理的要求，作为签订合同的条件；也不得协商另行订立背离招标文件和合同实质性内容的协议。</w:t>
      </w:r>
    </w:p>
    <w:p w14:paraId="12A33003">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36.7如签订合同并生效后，供应商无故拒绝或延期，除按照合同条款处理外，将承担相应的法律责任。</w:t>
      </w:r>
    </w:p>
    <w:p w14:paraId="25DB6AC9">
      <w:pPr>
        <w:spacing w:line="360" w:lineRule="auto"/>
        <w:ind w:firstLine="422" w:firstLineChars="200"/>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36.8采购人需追加与合同标的相同的货物或者服务的，在不改变原合同条款且已报财政部门批准落实资金的前提下，可从原中标供应商处添购，所签订的补充添置合同的采购资金总额不超过原采购合同金额的10%。</w:t>
      </w:r>
    </w:p>
    <w:p w14:paraId="1E3BAC0D">
      <w:pPr>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37.政府采购合同公告</w:t>
      </w:r>
    </w:p>
    <w:p w14:paraId="543575C2">
      <w:pPr>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采购人或者受托采购代理机构应当自政府采购合同签订之日起2个工作日内，将政府采购合同</w:t>
      </w:r>
      <w:r>
        <w:rPr>
          <w:rFonts w:hint="eastAsia" w:ascii="宋体" w:hAnsi="宋体" w:eastAsia="宋体" w:cs="宋体"/>
          <w:bCs/>
          <w:color w:val="auto"/>
          <w:highlight w:val="none"/>
        </w:rPr>
        <w:t>在以下媒体上发布</w:t>
      </w:r>
      <w:r>
        <w:rPr>
          <w:rFonts w:hint="eastAsia" w:ascii="宋体" w:hAnsi="宋体" w:eastAsia="宋体" w:cs="宋体"/>
          <w:color w:val="auto"/>
          <w:kern w:val="0"/>
          <w:szCs w:val="21"/>
          <w:highlight w:val="none"/>
        </w:rPr>
        <w:t>“广西政府采购网”（http://zfcg.gxzf.gov.cn）</w:t>
      </w:r>
      <w:r>
        <w:rPr>
          <w:rFonts w:hint="eastAsia" w:ascii="宋体" w:hAnsi="宋体" w:eastAsia="宋体" w:cs="宋体"/>
          <w:color w:val="auto"/>
          <w:highlight w:val="none"/>
        </w:rPr>
        <w:t>上公告，但政府采购合同中涉及国家秘密、商业秘密的内容除外。</w:t>
      </w:r>
    </w:p>
    <w:p w14:paraId="79B6F4B3">
      <w:pPr>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38.询问、质疑和投诉</w:t>
      </w:r>
    </w:p>
    <w:p w14:paraId="73604C47">
      <w:pPr>
        <w:spacing w:line="360" w:lineRule="auto"/>
        <w:ind w:firstLine="422" w:firstLineChars="200"/>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38.1询问</w:t>
      </w:r>
    </w:p>
    <w:p w14:paraId="2BF93DDC">
      <w:pPr>
        <w:spacing w:line="360" w:lineRule="auto"/>
        <w:ind w:firstLine="420" w:firstLineChars="200"/>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38.1.1供应商在开标前对政府采购活动事项有疑问的，可以向采购人或采购代理机构项目负责人提出询问。</w:t>
      </w:r>
    </w:p>
    <w:p w14:paraId="4DECDEFC">
      <w:pPr>
        <w:spacing w:line="360" w:lineRule="auto"/>
        <w:ind w:firstLine="420" w:firstLineChars="200"/>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38.1.2采购人或采购人委托的采购代理机构自受理询问之日起3个工作日内对供应商依法提出的询问作出答复，</w:t>
      </w:r>
      <w:r>
        <w:rPr>
          <w:rFonts w:hint="eastAsia" w:ascii="宋体" w:hAnsi="宋体" w:eastAsia="宋体" w:cs="宋体"/>
          <w:color w:val="auto"/>
          <w:highlight w:val="none"/>
        </w:rPr>
        <w:t>但答复内容不得涉及商业秘密</w:t>
      </w:r>
      <w:r>
        <w:rPr>
          <w:rFonts w:hint="eastAsia" w:ascii="宋体" w:hAnsi="宋体" w:eastAsia="宋体" w:cs="宋体"/>
          <w:bCs/>
          <w:color w:val="auto"/>
          <w:szCs w:val="21"/>
          <w:highlight w:val="none"/>
        </w:rPr>
        <w:t>。</w:t>
      </w:r>
    </w:p>
    <w:p w14:paraId="512C9ED8">
      <w:pPr>
        <w:spacing w:line="360" w:lineRule="auto"/>
        <w:ind w:firstLine="420" w:firstLineChars="200"/>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38.1.3询问事项可能影响中标、成交结果的，采购人应当暂停签订合同，已经签订合同的，应当中止履行合同。</w:t>
      </w:r>
    </w:p>
    <w:p w14:paraId="7F8C1A98">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38.2质疑</w:t>
      </w:r>
    </w:p>
    <w:p w14:paraId="184BAB15">
      <w:pPr>
        <w:spacing w:line="360" w:lineRule="auto"/>
        <w:ind w:firstLine="420" w:firstLineChars="200"/>
        <w:rPr>
          <w:rFonts w:hint="eastAsia" w:ascii="宋体" w:hAnsi="宋体" w:eastAsia="宋体" w:cs="宋体"/>
          <w:b/>
          <w:color w:val="auto"/>
          <w:szCs w:val="21"/>
          <w:highlight w:val="none"/>
          <w:lang w:eastAsia="zh-CN"/>
        </w:rPr>
      </w:pPr>
      <w:r>
        <w:rPr>
          <w:rFonts w:hint="eastAsia" w:ascii="宋体" w:hAnsi="宋体" w:eastAsia="宋体" w:cs="宋体"/>
          <w:color w:val="auto"/>
          <w:szCs w:val="21"/>
          <w:highlight w:val="none"/>
        </w:rPr>
        <w:t>38.2.1</w:t>
      </w:r>
      <w:r>
        <w:rPr>
          <w:rFonts w:hint="eastAsia" w:ascii="宋体" w:hAnsi="宋体" w:eastAsia="宋体" w:cs="宋体"/>
          <w:b/>
          <w:color w:val="auto"/>
          <w:szCs w:val="21"/>
          <w:highlight w:val="none"/>
        </w:rPr>
        <w:t>供应商认为招标文件、采购过程或者中标结果使自己的合法权益受到损害的，必须在知道或者应知其权益受到损害之日起7个工作日内，以书面形式向采购人、采购代理机构提出质疑，质疑有效期结束后，采购人或采购代理机构不再受理该项目质疑。采购人、采购代理机构接收质疑函的方式、联系部门、联系电话和通讯地址等信息详见“投标人须知前附表”。具体质疑起算时间及处理方式如下：</w:t>
      </w:r>
    </w:p>
    <w:p w14:paraId="205DB502">
      <w:pPr>
        <w:spacing w:line="360" w:lineRule="auto"/>
        <w:ind w:firstLine="420" w:firstLineChars="200"/>
        <w:rPr>
          <w:rFonts w:hint="eastAsia" w:ascii="宋体" w:hAnsi="宋体" w:eastAsia="宋体" w:cs="宋体"/>
          <w:bCs/>
          <w:color w:val="auto"/>
          <w:highlight w:val="none"/>
        </w:rPr>
      </w:pPr>
      <w:r>
        <w:rPr>
          <w:rFonts w:hint="eastAsia" w:ascii="宋体" w:hAnsi="宋体" w:eastAsia="宋体" w:cs="宋体"/>
          <w:bCs/>
          <w:color w:val="auto"/>
          <w:highlight w:val="none"/>
        </w:rPr>
        <w:t>（1）潜在供应商依法获取公开招标文件后，认为采购文件使自己的权益受到损害的，应当在公开招标文件公告期限届满之日起7个工作日内提出质疑。</w:t>
      </w:r>
      <w:r>
        <w:rPr>
          <w:rFonts w:hint="eastAsia" w:ascii="宋体" w:hAnsi="宋体" w:eastAsia="宋体" w:cs="宋体"/>
          <w:color w:val="auto"/>
          <w:highlight w:val="none"/>
        </w:rPr>
        <w:t>委托代理协议无特殊约定的，</w:t>
      </w:r>
      <w:r>
        <w:rPr>
          <w:rFonts w:hint="eastAsia" w:ascii="宋体" w:hAnsi="宋体" w:eastAsia="宋体" w:cs="宋体"/>
          <w:bCs/>
          <w:color w:val="auto"/>
          <w:highlight w:val="none"/>
        </w:rPr>
        <w:t>对公开招标文件中采购需求（含资格要求、采购预算和评分办法）的质疑由采购人受理并负责答复；对公开招标文件中的采购执行程序的质疑由采购代理机构受理并负责答复。</w:t>
      </w:r>
    </w:p>
    <w:p w14:paraId="58D626BE">
      <w:pPr>
        <w:spacing w:line="360" w:lineRule="auto"/>
        <w:ind w:firstLine="420" w:firstLineChars="200"/>
        <w:rPr>
          <w:rFonts w:hint="eastAsia" w:ascii="宋体" w:hAnsi="宋体" w:eastAsia="宋体" w:cs="宋体"/>
          <w:bCs/>
          <w:color w:val="auto"/>
          <w:highlight w:val="none"/>
        </w:rPr>
      </w:pPr>
      <w:r>
        <w:rPr>
          <w:rFonts w:hint="eastAsia" w:ascii="宋体" w:hAnsi="宋体" w:eastAsia="宋体" w:cs="宋体"/>
          <w:bCs/>
          <w:color w:val="auto"/>
          <w:highlight w:val="none"/>
        </w:rPr>
        <w:t>（2）供应商认为采购过程使自己的权益受到损害的，应当在各采购程序环节结束之日起7个工作日内提出质疑。对采购过程中资格审查、符合性审查等具体评审情况的质疑应向采购人或代理机构提出，由采购人或代理机构受理并负责答复；对采购过程中采购执行程序的质疑由采购代理机构受理并负责答复。</w:t>
      </w:r>
    </w:p>
    <w:p w14:paraId="61F74B9C">
      <w:pPr>
        <w:spacing w:line="360" w:lineRule="auto"/>
        <w:ind w:firstLine="420" w:firstLineChars="200"/>
        <w:rPr>
          <w:rFonts w:hint="eastAsia" w:ascii="宋体" w:hAnsi="宋体" w:eastAsia="宋体" w:cs="宋体"/>
          <w:bCs/>
          <w:color w:val="auto"/>
          <w:highlight w:val="none"/>
        </w:rPr>
      </w:pPr>
      <w:r>
        <w:rPr>
          <w:rFonts w:hint="eastAsia" w:ascii="宋体" w:hAnsi="宋体" w:eastAsia="宋体" w:cs="宋体"/>
          <w:bCs/>
          <w:color w:val="auto"/>
          <w:highlight w:val="none"/>
        </w:rPr>
        <w:t>（3）供应商认为中标或者成交结果使自己的权益受到损害的，应当在中标或者成交结果公告期限届满之日起7个工作日内提出质疑，由采购人受理并负责答复。</w:t>
      </w:r>
    </w:p>
    <w:p w14:paraId="06531B0A">
      <w:pPr>
        <w:spacing w:line="360" w:lineRule="auto"/>
        <w:ind w:firstLine="422" w:firstLineChars="200"/>
        <w:rPr>
          <w:rFonts w:hint="eastAsia" w:ascii="宋体" w:hAnsi="宋体" w:eastAsia="宋体" w:cs="宋体"/>
          <w:bCs/>
          <w:color w:val="auto"/>
          <w:szCs w:val="21"/>
          <w:highlight w:val="none"/>
        </w:rPr>
      </w:pPr>
      <w:r>
        <w:rPr>
          <w:rFonts w:hint="eastAsia" w:ascii="宋体" w:hAnsi="宋体" w:eastAsia="宋体" w:cs="宋体"/>
          <w:b/>
          <w:bCs/>
          <w:color w:val="auto"/>
          <w:szCs w:val="21"/>
          <w:highlight w:val="none"/>
        </w:rPr>
        <w:t>38.2.2</w:t>
      </w:r>
      <w:r>
        <w:rPr>
          <w:rFonts w:hint="eastAsia" w:ascii="宋体" w:hAnsi="宋体" w:eastAsia="宋体" w:cs="宋体"/>
          <w:bCs/>
          <w:color w:val="auto"/>
          <w:szCs w:val="21"/>
          <w:highlight w:val="none"/>
        </w:rPr>
        <w:t>供应商质疑实行实名制，其质疑应当有具体的质疑事项及事实根据，质疑应当坚持依法依规、诚实信用原则，不得进行虚假、恶意质疑。</w:t>
      </w:r>
    </w:p>
    <w:p w14:paraId="4B6C4000">
      <w:pPr>
        <w:spacing w:line="360" w:lineRule="auto"/>
        <w:ind w:firstLine="422" w:firstLineChars="200"/>
        <w:rPr>
          <w:rFonts w:hint="eastAsia" w:ascii="宋体" w:hAnsi="宋体" w:eastAsia="宋体" w:cs="宋体"/>
          <w:bCs/>
          <w:color w:val="auto"/>
          <w:highlight w:val="none"/>
        </w:rPr>
      </w:pPr>
      <w:r>
        <w:rPr>
          <w:rFonts w:hint="eastAsia" w:ascii="宋体" w:hAnsi="宋体" w:eastAsia="宋体" w:cs="宋体"/>
          <w:b/>
          <w:bCs/>
          <w:color w:val="auto"/>
          <w:highlight w:val="none"/>
        </w:rPr>
        <w:t>38.2.3</w:t>
      </w:r>
      <w:r>
        <w:rPr>
          <w:rFonts w:hint="eastAsia" w:ascii="宋体" w:hAnsi="宋体" w:eastAsia="宋体" w:cs="宋体"/>
          <w:bCs/>
          <w:color w:val="auto"/>
          <w:highlight w:val="none"/>
        </w:rPr>
        <w:t>质疑供应商可以委托代理人办理质疑事务。委托代理人应熟悉相关业务情况。代理人办理质疑事务时，除提交质疑书外，还应当提交质疑供应商的授权委托书和委托代理人身份证明复印件</w:t>
      </w:r>
      <w:r>
        <w:rPr>
          <w:rFonts w:hint="eastAsia" w:ascii="宋体" w:hAnsi="宋体" w:eastAsia="宋体" w:cs="宋体"/>
          <w:color w:val="auto"/>
          <w:highlight w:val="none"/>
        </w:rPr>
        <w:t>。</w:t>
      </w:r>
    </w:p>
    <w:p w14:paraId="15167862">
      <w:pPr>
        <w:spacing w:line="360" w:lineRule="auto"/>
        <w:ind w:firstLine="422" w:firstLineChars="200"/>
        <w:rPr>
          <w:rFonts w:hint="eastAsia" w:ascii="宋体" w:hAnsi="宋体" w:eastAsia="宋体" w:cs="宋体"/>
          <w:b/>
          <w:bCs/>
          <w:color w:val="auto"/>
          <w:highlight w:val="none"/>
        </w:rPr>
      </w:pPr>
      <w:r>
        <w:rPr>
          <w:rFonts w:hint="eastAsia" w:ascii="宋体" w:hAnsi="宋体" w:eastAsia="宋体" w:cs="宋体"/>
          <w:b/>
          <w:bCs/>
          <w:color w:val="auto"/>
          <w:highlight w:val="none"/>
        </w:rPr>
        <w:t>38.2.4质疑供应商提起质疑应当符合下列条件：</w:t>
      </w:r>
    </w:p>
    <w:p w14:paraId="4EBF4813">
      <w:pPr>
        <w:spacing w:line="360" w:lineRule="auto"/>
        <w:ind w:firstLine="420" w:firstLineChars="200"/>
        <w:rPr>
          <w:rFonts w:hint="eastAsia" w:ascii="宋体" w:hAnsi="宋体" w:eastAsia="宋体" w:cs="宋体"/>
          <w:bCs/>
          <w:color w:val="auto"/>
          <w:highlight w:val="none"/>
        </w:rPr>
      </w:pPr>
      <w:r>
        <w:rPr>
          <w:rFonts w:hint="eastAsia" w:ascii="宋体" w:hAnsi="宋体" w:eastAsia="宋体" w:cs="宋体"/>
          <w:bCs/>
          <w:color w:val="auto"/>
          <w:highlight w:val="none"/>
        </w:rPr>
        <w:t>（1）质疑供应商是参与所质疑</w:t>
      </w:r>
      <w:r>
        <w:rPr>
          <w:rFonts w:hint="eastAsia" w:ascii="宋体" w:hAnsi="宋体" w:eastAsia="宋体" w:cs="宋体"/>
          <w:bCs/>
          <w:color w:val="auto"/>
          <w:szCs w:val="21"/>
          <w:highlight w:val="none"/>
        </w:rPr>
        <w:t>项目</w:t>
      </w:r>
      <w:r>
        <w:rPr>
          <w:rFonts w:hint="eastAsia" w:ascii="宋体" w:hAnsi="宋体" w:eastAsia="宋体" w:cs="宋体"/>
          <w:bCs/>
          <w:color w:val="auto"/>
          <w:highlight w:val="none"/>
        </w:rPr>
        <w:t>采购活动的供应商（潜在供应商已依法获取可之一的采购文件的，可以对该采购文件质疑）；</w:t>
      </w:r>
    </w:p>
    <w:p w14:paraId="6690C12D">
      <w:pPr>
        <w:spacing w:line="360" w:lineRule="auto"/>
        <w:ind w:firstLine="420" w:firstLineChars="200"/>
        <w:rPr>
          <w:rFonts w:hint="eastAsia" w:ascii="宋体" w:hAnsi="宋体" w:eastAsia="宋体" w:cs="宋体"/>
          <w:bCs/>
          <w:color w:val="auto"/>
          <w:highlight w:val="none"/>
        </w:rPr>
      </w:pPr>
      <w:r>
        <w:rPr>
          <w:rFonts w:hint="eastAsia" w:ascii="宋体" w:hAnsi="宋体" w:eastAsia="宋体" w:cs="宋体"/>
          <w:bCs/>
          <w:color w:val="auto"/>
          <w:highlight w:val="none"/>
        </w:rPr>
        <w:t>（2）质疑函内容符合本章第38.2.5项的规定；</w:t>
      </w:r>
    </w:p>
    <w:p w14:paraId="29A588F1">
      <w:pPr>
        <w:spacing w:line="360" w:lineRule="auto"/>
        <w:ind w:firstLine="420" w:firstLineChars="200"/>
        <w:rPr>
          <w:rFonts w:hint="eastAsia" w:ascii="宋体" w:hAnsi="宋体" w:eastAsia="宋体" w:cs="宋体"/>
          <w:bCs/>
          <w:color w:val="auto"/>
          <w:highlight w:val="none"/>
        </w:rPr>
      </w:pPr>
      <w:r>
        <w:rPr>
          <w:rFonts w:hint="eastAsia" w:ascii="宋体" w:hAnsi="宋体" w:eastAsia="宋体" w:cs="宋体"/>
          <w:bCs/>
          <w:color w:val="auto"/>
          <w:highlight w:val="none"/>
        </w:rPr>
        <w:t>（3）在质疑有效期限内提起质疑；</w:t>
      </w:r>
    </w:p>
    <w:p w14:paraId="0570FCCE">
      <w:pPr>
        <w:spacing w:line="360" w:lineRule="auto"/>
        <w:ind w:firstLine="420" w:firstLineChars="200"/>
        <w:rPr>
          <w:rFonts w:hint="eastAsia" w:ascii="宋体" w:hAnsi="宋体" w:eastAsia="宋体" w:cs="宋体"/>
          <w:bCs/>
          <w:color w:val="auto"/>
          <w:highlight w:val="none"/>
        </w:rPr>
      </w:pPr>
      <w:r>
        <w:rPr>
          <w:rFonts w:hint="eastAsia" w:ascii="宋体" w:hAnsi="宋体" w:eastAsia="宋体" w:cs="宋体"/>
          <w:bCs/>
          <w:color w:val="auto"/>
          <w:highlight w:val="none"/>
        </w:rPr>
        <w:t>（4）属于所质疑的采购人或采购人委托的采购代理机构组织的采购活动；</w:t>
      </w:r>
    </w:p>
    <w:p w14:paraId="1076F632">
      <w:pPr>
        <w:spacing w:line="360" w:lineRule="auto"/>
        <w:ind w:firstLine="420" w:firstLineChars="200"/>
        <w:rPr>
          <w:rFonts w:hint="eastAsia" w:ascii="宋体" w:hAnsi="宋体" w:eastAsia="宋体" w:cs="宋体"/>
          <w:bCs/>
          <w:color w:val="auto"/>
          <w:highlight w:val="none"/>
          <w:lang w:eastAsia="zh-CN"/>
        </w:rPr>
      </w:pPr>
      <w:r>
        <w:rPr>
          <w:rFonts w:hint="eastAsia" w:ascii="宋体" w:hAnsi="宋体" w:eastAsia="宋体" w:cs="宋体"/>
          <w:bCs/>
          <w:color w:val="auto"/>
          <w:highlight w:val="none"/>
        </w:rPr>
        <w:t>（5）同一质疑事项未经采购人或采购人委托的采购代理机构质疑处理；</w:t>
      </w:r>
    </w:p>
    <w:p w14:paraId="66C819F7">
      <w:pPr>
        <w:spacing w:line="360" w:lineRule="auto"/>
        <w:ind w:firstLine="420" w:firstLineChars="200"/>
        <w:rPr>
          <w:rFonts w:hint="eastAsia" w:ascii="宋体" w:hAnsi="宋体" w:eastAsia="宋体" w:cs="宋体"/>
          <w:bCs/>
          <w:color w:val="auto"/>
          <w:highlight w:val="none"/>
        </w:rPr>
      </w:pPr>
      <w:r>
        <w:rPr>
          <w:rFonts w:hint="eastAsia" w:ascii="宋体" w:hAnsi="宋体" w:eastAsia="宋体" w:cs="宋体"/>
          <w:bCs/>
          <w:color w:val="auto"/>
          <w:highlight w:val="none"/>
        </w:rPr>
        <w:t>（6）供应商对同一采购程序环节的质疑应当在质疑有效期内一次性提出；</w:t>
      </w:r>
    </w:p>
    <w:p w14:paraId="4BCB0626">
      <w:pPr>
        <w:spacing w:line="360" w:lineRule="auto"/>
        <w:ind w:firstLine="420" w:firstLineChars="200"/>
        <w:rPr>
          <w:rFonts w:hint="eastAsia" w:ascii="宋体" w:hAnsi="宋体" w:eastAsia="宋体" w:cs="宋体"/>
          <w:bCs/>
          <w:color w:val="auto"/>
          <w:highlight w:val="none"/>
        </w:rPr>
      </w:pPr>
      <w:r>
        <w:rPr>
          <w:rFonts w:hint="eastAsia" w:ascii="宋体" w:hAnsi="宋体" w:eastAsia="宋体" w:cs="宋体"/>
          <w:bCs/>
          <w:color w:val="auto"/>
          <w:highlight w:val="none"/>
        </w:rPr>
        <w:t>（7）供应商提交质疑应当提交必要的证明材料，证明材料应以合法手段取得；</w:t>
      </w:r>
    </w:p>
    <w:p w14:paraId="157DE1D8">
      <w:pPr>
        <w:spacing w:line="360" w:lineRule="auto"/>
        <w:ind w:firstLine="420" w:firstLineChars="200"/>
        <w:rPr>
          <w:rFonts w:hint="eastAsia" w:ascii="宋体" w:hAnsi="宋体" w:eastAsia="宋体" w:cs="宋体"/>
          <w:color w:val="auto"/>
          <w:highlight w:val="none"/>
        </w:rPr>
      </w:pPr>
      <w:r>
        <w:rPr>
          <w:rFonts w:hint="eastAsia" w:ascii="宋体" w:hAnsi="宋体" w:eastAsia="宋体" w:cs="宋体"/>
          <w:bCs/>
          <w:color w:val="auto"/>
          <w:highlight w:val="none"/>
        </w:rPr>
        <w:t>（8）财政部门规定的其他条件。</w:t>
      </w:r>
    </w:p>
    <w:p w14:paraId="662D9DFE">
      <w:pPr>
        <w:spacing w:line="360" w:lineRule="auto"/>
        <w:ind w:firstLine="420" w:firstLineChars="200"/>
        <w:rPr>
          <w:rFonts w:hint="eastAsia" w:ascii="宋体" w:hAnsi="宋体" w:eastAsia="宋体" w:cs="宋体"/>
          <w:b/>
          <w:color w:val="auto"/>
          <w:szCs w:val="21"/>
          <w:highlight w:val="none"/>
        </w:rPr>
      </w:pPr>
      <w:r>
        <w:rPr>
          <w:rFonts w:hint="eastAsia" w:ascii="宋体" w:hAnsi="宋体" w:eastAsia="宋体" w:cs="宋体"/>
          <w:color w:val="auto"/>
          <w:szCs w:val="21"/>
          <w:highlight w:val="none"/>
        </w:rPr>
        <w:t>38.2.5</w:t>
      </w:r>
      <w:r>
        <w:rPr>
          <w:rFonts w:hint="eastAsia" w:ascii="宋体" w:hAnsi="宋体" w:eastAsia="宋体" w:cs="宋体"/>
          <w:bCs/>
          <w:color w:val="auto"/>
          <w:highlight w:val="none"/>
        </w:rPr>
        <w:t>供应商提出质疑应当提交质疑函和必要的证明材料，针对同一采购程序环节的质疑必须在法定质疑期内一次性提出。质疑函应当包括下列内容（质疑函格式后附）：</w:t>
      </w:r>
    </w:p>
    <w:p w14:paraId="652A39CD">
      <w:pPr>
        <w:spacing w:line="360" w:lineRule="auto"/>
        <w:ind w:firstLine="420" w:firstLineChars="200"/>
        <w:rPr>
          <w:rFonts w:hint="eastAsia" w:ascii="宋体" w:hAnsi="宋体" w:eastAsia="宋体" w:cs="宋体"/>
          <w:bCs/>
          <w:color w:val="auto"/>
          <w:highlight w:val="none"/>
        </w:rPr>
      </w:pPr>
      <w:r>
        <w:rPr>
          <w:rFonts w:hint="eastAsia" w:ascii="宋体" w:hAnsi="宋体" w:eastAsia="宋体" w:cs="宋体"/>
          <w:bCs/>
          <w:color w:val="auto"/>
          <w:highlight w:val="none"/>
        </w:rPr>
        <w:t>（1）供应商的姓名或者名称、地址、邮编、联系人及联系电话；</w:t>
      </w:r>
    </w:p>
    <w:p w14:paraId="3141345E">
      <w:pPr>
        <w:spacing w:line="360" w:lineRule="auto"/>
        <w:ind w:firstLine="420" w:firstLineChars="200"/>
        <w:rPr>
          <w:rFonts w:hint="eastAsia" w:ascii="宋体" w:hAnsi="宋体" w:eastAsia="宋体" w:cs="宋体"/>
          <w:bCs/>
          <w:color w:val="auto"/>
          <w:highlight w:val="none"/>
        </w:rPr>
      </w:pPr>
      <w:r>
        <w:rPr>
          <w:rFonts w:hint="eastAsia" w:ascii="宋体" w:hAnsi="宋体" w:eastAsia="宋体" w:cs="宋体"/>
          <w:bCs/>
          <w:color w:val="auto"/>
          <w:highlight w:val="none"/>
        </w:rPr>
        <w:t>（2）质疑项目的名称、编号；</w:t>
      </w:r>
    </w:p>
    <w:p w14:paraId="2B871C05">
      <w:pPr>
        <w:spacing w:line="360" w:lineRule="auto"/>
        <w:ind w:firstLine="420" w:firstLineChars="200"/>
        <w:rPr>
          <w:rFonts w:hint="eastAsia" w:ascii="宋体" w:hAnsi="宋体" w:eastAsia="宋体" w:cs="宋体"/>
          <w:bCs/>
          <w:color w:val="auto"/>
          <w:highlight w:val="none"/>
        </w:rPr>
      </w:pPr>
      <w:r>
        <w:rPr>
          <w:rFonts w:hint="eastAsia" w:ascii="宋体" w:hAnsi="宋体" w:eastAsia="宋体" w:cs="宋体"/>
          <w:bCs/>
          <w:color w:val="auto"/>
          <w:highlight w:val="none"/>
        </w:rPr>
        <w:t>（3）具体、明确的质疑事项和与质疑事项相关的请求；</w:t>
      </w:r>
    </w:p>
    <w:p w14:paraId="38457ACE">
      <w:pPr>
        <w:spacing w:line="360" w:lineRule="auto"/>
        <w:ind w:firstLine="420" w:firstLineChars="200"/>
        <w:rPr>
          <w:rFonts w:hint="eastAsia" w:ascii="宋体" w:hAnsi="宋体" w:eastAsia="宋体" w:cs="宋体"/>
          <w:bCs/>
          <w:color w:val="auto"/>
          <w:highlight w:val="none"/>
        </w:rPr>
      </w:pPr>
      <w:r>
        <w:rPr>
          <w:rFonts w:hint="eastAsia" w:ascii="宋体" w:hAnsi="宋体" w:eastAsia="宋体" w:cs="宋体"/>
          <w:bCs/>
          <w:color w:val="auto"/>
          <w:highlight w:val="none"/>
        </w:rPr>
        <w:t>（4）事实依据（列明权益受到损害的事实和理由）；</w:t>
      </w:r>
    </w:p>
    <w:p w14:paraId="4C967500">
      <w:pPr>
        <w:spacing w:line="360" w:lineRule="auto"/>
        <w:ind w:firstLine="420" w:firstLineChars="200"/>
        <w:rPr>
          <w:rFonts w:hint="eastAsia" w:ascii="宋体" w:hAnsi="宋体" w:eastAsia="宋体" w:cs="宋体"/>
          <w:bCs/>
          <w:color w:val="auto"/>
          <w:highlight w:val="none"/>
        </w:rPr>
      </w:pPr>
      <w:r>
        <w:rPr>
          <w:rFonts w:hint="eastAsia" w:ascii="宋体" w:hAnsi="宋体" w:eastAsia="宋体" w:cs="宋体"/>
          <w:bCs/>
          <w:color w:val="auto"/>
          <w:highlight w:val="none"/>
        </w:rPr>
        <w:t>（5）必要的法律依据；</w:t>
      </w:r>
    </w:p>
    <w:p w14:paraId="18013DA0">
      <w:pPr>
        <w:spacing w:line="360" w:lineRule="auto"/>
        <w:ind w:firstLine="420" w:firstLineChars="200"/>
        <w:rPr>
          <w:rFonts w:hint="eastAsia" w:ascii="宋体" w:hAnsi="宋体" w:eastAsia="宋体" w:cs="宋体"/>
          <w:bCs/>
          <w:color w:val="auto"/>
          <w:highlight w:val="none"/>
        </w:rPr>
      </w:pPr>
      <w:r>
        <w:rPr>
          <w:rFonts w:hint="eastAsia" w:ascii="宋体" w:hAnsi="宋体" w:eastAsia="宋体" w:cs="宋体"/>
          <w:bCs/>
          <w:color w:val="auto"/>
          <w:highlight w:val="none"/>
        </w:rPr>
        <w:t>（6）提出质疑的日期。</w:t>
      </w:r>
    </w:p>
    <w:p w14:paraId="3DDCABD0">
      <w:pPr>
        <w:spacing w:line="360" w:lineRule="auto"/>
        <w:ind w:firstLine="420" w:firstLineChars="200"/>
        <w:rPr>
          <w:rFonts w:hint="eastAsia" w:ascii="宋体" w:hAnsi="宋体" w:eastAsia="宋体" w:cs="宋体"/>
          <w:bCs/>
          <w:color w:val="auto"/>
          <w:highlight w:val="none"/>
        </w:rPr>
      </w:pPr>
      <w:r>
        <w:rPr>
          <w:rFonts w:hint="eastAsia" w:ascii="宋体" w:hAnsi="宋体" w:eastAsia="宋体" w:cs="宋体"/>
          <w:bCs/>
          <w:color w:val="auto"/>
          <w:highlight w:val="none"/>
        </w:rPr>
        <w:t>供应商为自然人的，应当由本人签字；供应商为法人或者其他组织的，应当由法定代表人、主要负责人，或者其委托代理人签字或者盖章，并加盖公章。</w:t>
      </w:r>
    </w:p>
    <w:p w14:paraId="50ACD7CD">
      <w:pPr>
        <w:spacing w:line="360" w:lineRule="auto"/>
        <w:ind w:firstLine="422" w:firstLineChars="200"/>
        <w:rPr>
          <w:rFonts w:hint="eastAsia" w:ascii="宋体" w:hAnsi="宋体" w:eastAsia="宋体" w:cs="宋体"/>
          <w:b/>
          <w:color w:val="auto"/>
          <w:szCs w:val="20"/>
          <w:highlight w:val="none"/>
        </w:rPr>
      </w:pPr>
      <w:r>
        <w:rPr>
          <w:rFonts w:hint="eastAsia" w:ascii="宋体" w:hAnsi="宋体" w:eastAsia="宋体" w:cs="宋体"/>
          <w:b/>
          <w:color w:val="auto"/>
          <w:szCs w:val="20"/>
          <w:highlight w:val="none"/>
        </w:rPr>
        <w:t>38.2.6采购人或采购人委托的采购代理机构在收到质疑函后7个工作日内作出答复，并以书面形式通知质疑供应商及其他有关供应商。对不符合质疑条件的质疑，答复不予受理，并说明理由；对符合质疑条件的质疑，对质疑事项作出答复</w:t>
      </w:r>
    </w:p>
    <w:p w14:paraId="15E38E82">
      <w:pPr>
        <w:spacing w:line="360" w:lineRule="auto"/>
        <w:ind w:firstLine="420" w:firstLineChars="200"/>
        <w:rPr>
          <w:rFonts w:hint="eastAsia" w:ascii="宋体" w:hAnsi="宋体" w:eastAsia="宋体" w:cs="宋体"/>
          <w:bCs/>
          <w:color w:val="auto"/>
          <w:szCs w:val="21"/>
          <w:highlight w:val="none"/>
        </w:rPr>
      </w:pPr>
      <w:r>
        <w:rPr>
          <w:rFonts w:hint="eastAsia" w:ascii="宋体" w:hAnsi="宋体" w:eastAsia="宋体" w:cs="宋体"/>
          <w:color w:val="auto"/>
          <w:szCs w:val="21"/>
          <w:highlight w:val="none"/>
        </w:rPr>
        <w:t>3</w:t>
      </w:r>
      <w:r>
        <w:rPr>
          <w:rFonts w:hint="eastAsia" w:ascii="宋体" w:hAnsi="宋体" w:eastAsia="宋体" w:cs="宋体"/>
          <w:bCs/>
          <w:color w:val="auto"/>
          <w:szCs w:val="21"/>
          <w:highlight w:val="none"/>
        </w:rPr>
        <w:t>8.2.7采购人、采购代理机构认为供应商质疑不成立，或者成立但未对中标结果构成影响的，继续开展采购活动；认为供应商质疑成立且影响或者可能影响中标结果的，按照下列情况处理：</w:t>
      </w:r>
    </w:p>
    <w:p w14:paraId="6E79AC9C">
      <w:pPr>
        <w:spacing w:line="360" w:lineRule="auto"/>
        <w:ind w:firstLine="420" w:firstLineChars="200"/>
        <w:rPr>
          <w:rFonts w:hint="eastAsia" w:ascii="宋体" w:hAnsi="宋体" w:eastAsia="宋体" w:cs="宋体"/>
          <w:bCs/>
          <w:color w:val="auto"/>
          <w:highlight w:val="none"/>
        </w:rPr>
      </w:pPr>
      <w:r>
        <w:rPr>
          <w:rFonts w:hint="eastAsia" w:ascii="宋体" w:hAnsi="宋体" w:eastAsia="宋体" w:cs="宋体"/>
          <w:bCs/>
          <w:color w:val="auto"/>
          <w:highlight w:val="none"/>
        </w:rPr>
        <w:t>　　（一）对招标文件提出的质疑，依法通过澄清或者修改可以继续开展采购活动的，澄清或者修改招标文件后继续开展采购活动；否则应当修改招标文件后重新开展采购活动。</w:t>
      </w:r>
    </w:p>
    <w:p w14:paraId="1ED4EAE1">
      <w:pPr>
        <w:spacing w:line="360" w:lineRule="auto"/>
        <w:ind w:firstLine="420" w:firstLineChars="200"/>
        <w:rPr>
          <w:rFonts w:hint="eastAsia" w:ascii="宋体" w:hAnsi="宋体" w:eastAsia="宋体" w:cs="宋体"/>
          <w:bCs/>
          <w:color w:val="auto"/>
          <w:highlight w:val="none"/>
        </w:rPr>
      </w:pPr>
      <w:r>
        <w:rPr>
          <w:rFonts w:hint="eastAsia" w:ascii="宋体" w:hAnsi="宋体" w:eastAsia="宋体" w:cs="宋体"/>
          <w:bCs/>
          <w:color w:val="auto"/>
          <w:highlight w:val="none"/>
        </w:rPr>
        <w:t>　　（二）对采购过程、中标结果提出的质疑，合格供应商符合法定数量时，可以从合格的中标候选人中另行确定中标供应商的，应当依法另行确定中标供应商；否则应当重新开展采购活动。</w:t>
      </w:r>
    </w:p>
    <w:p w14:paraId="63C4F96B">
      <w:pPr>
        <w:spacing w:line="360" w:lineRule="auto"/>
        <w:ind w:firstLine="420" w:firstLineChars="200"/>
        <w:rPr>
          <w:rFonts w:hint="eastAsia" w:ascii="宋体" w:hAnsi="宋体" w:eastAsia="宋体" w:cs="宋体"/>
          <w:bCs/>
          <w:color w:val="auto"/>
          <w:highlight w:val="none"/>
        </w:rPr>
      </w:pPr>
      <w:r>
        <w:rPr>
          <w:rFonts w:hint="eastAsia" w:ascii="宋体" w:hAnsi="宋体" w:eastAsia="宋体" w:cs="宋体"/>
          <w:bCs/>
          <w:color w:val="auto"/>
          <w:highlight w:val="none"/>
        </w:rPr>
        <w:t>质疑答复导致中标结果改变的，采购人或者采购代理机构应当将有关情况书面报告本级财政部门。</w:t>
      </w:r>
    </w:p>
    <w:p w14:paraId="6665015F">
      <w:pPr>
        <w:spacing w:line="360" w:lineRule="auto"/>
        <w:ind w:firstLine="422" w:firstLineChars="200"/>
        <w:rPr>
          <w:rFonts w:hint="eastAsia" w:ascii="宋体" w:hAnsi="宋体" w:eastAsia="宋体" w:cs="宋体"/>
          <w:b/>
          <w:color w:val="auto"/>
          <w:highlight w:val="none"/>
        </w:rPr>
      </w:pPr>
      <w:r>
        <w:rPr>
          <w:rFonts w:hint="eastAsia" w:ascii="宋体" w:hAnsi="宋体" w:eastAsia="宋体" w:cs="宋体"/>
          <w:b/>
          <w:color w:val="auto"/>
          <w:highlight w:val="none"/>
        </w:rPr>
        <w:t>38.3投诉</w:t>
      </w:r>
    </w:p>
    <w:p w14:paraId="36794534">
      <w:pPr>
        <w:spacing w:line="360" w:lineRule="auto"/>
        <w:ind w:firstLine="422" w:firstLineChars="200"/>
        <w:rPr>
          <w:rFonts w:hint="eastAsia" w:ascii="宋体" w:hAnsi="宋体" w:eastAsia="宋体" w:cs="宋体"/>
          <w:bCs/>
          <w:color w:val="auto"/>
          <w:highlight w:val="none"/>
        </w:rPr>
      </w:pPr>
      <w:r>
        <w:rPr>
          <w:rFonts w:hint="eastAsia" w:ascii="宋体" w:hAnsi="宋体" w:eastAsia="宋体" w:cs="宋体"/>
          <w:b/>
          <w:color w:val="auto"/>
          <w:highlight w:val="none"/>
        </w:rPr>
        <w:t>38.3</w:t>
      </w:r>
      <w:r>
        <w:rPr>
          <w:rFonts w:hint="eastAsia" w:ascii="宋体" w:hAnsi="宋体" w:eastAsia="宋体" w:cs="宋体"/>
          <w:bCs/>
          <w:color w:val="auto"/>
          <w:highlight w:val="none"/>
        </w:rPr>
        <w:t>.</w:t>
      </w:r>
      <w:r>
        <w:rPr>
          <w:rFonts w:hint="eastAsia" w:ascii="宋体" w:hAnsi="宋体" w:eastAsia="宋体" w:cs="宋体"/>
          <w:b/>
          <w:bCs/>
          <w:color w:val="auto"/>
          <w:highlight w:val="none"/>
        </w:rPr>
        <w:t>1</w:t>
      </w:r>
      <w:r>
        <w:rPr>
          <w:rFonts w:hint="eastAsia" w:ascii="宋体" w:hAnsi="宋体" w:eastAsia="宋体" w:cs="宋体"/>
          <w:bCs/>
          <w:color w:val="auto"/>
          <w:highlight w:val="none"/>
        </w:rPr>
        <w:t>供应商认为采购文件、采购过程、中标和成交结果使自己的合法权益受到损害的，应当首先依法向采购人或采购人委托的</w:t>
      </w:r>
      <w:r>
        <w:rPr>
          <w:rFonts w:hint="eastAsia" w:ascii="宋体" w:hAnsi="宋体" w:eastAsia="宋体" w:cs="宋体"/>
          <w:color w:val="auto"/>
          <w:highlight w:val="none"/>
        </w:rPr>
        <w:t>采购代理机构</w:t>
      </w:r>
      <w:r>
        <w:rPr>
          <w:rFonts w:hint="eastAsia" w:ascii="宋体" w:hAnsi="宋体" w:eastAsia="宋体" w:cs="宋体"/>
          <w:bCs/>
          <w:color w:val="auto"/>
          <w:highlight w:val="none"/>
        </w:rPr>
        <w:t>提出质疑。对采购人、</w:t>
      </w:r>
      <w:r>
        <w:rPr>
          <w:rFonts w:hint="eastAsia" w:ascii="宋体" w:hAnsi="宋体" w:eastAsia="宋体" w:cs="宋体"/>
          <w:color w:val="auto"/>
          <w:highlight w:val="none"/>
        </w:rPr>
        <w:t>采购代理机构</w:t>
      </w:r>
      <w:r>
        <w:rPr>
          <w:rFonts w:hint="eastAsia" w:ascii="宋体" w:hAnsi="宋体" w:eastAsia="宋体" w:cs="宋体"/>
          <w:bCs/>
          <w:color w:val="auto"/>
          <w:highlight w:val="none"/>
        </w:rPr>
        <w:t>的答复不满意，或者采购人、</w:t>
      </w:r>
      <w:r>
        <w:rPr>
          <w:rFonts w:hint="eastAsia" w:ascii="宋体" w:hAnsi="宋体" w:eastAsia="宋体" w:cs="宋体"/>
          <w:color w:val="auto"/>
          <w:highlight w:val="none"/>
        </w:rPr>
        <w:t>采购代理机构</w:t>
      </w:r>
      <w:r>
        <w:rPr>
          <w:rFonts w:hint="eastAsia" w:ascii="宋体" w:hAnsi="宋体" w:eastAsia="宋体" w:cs="宋体"/>
          <w:bCs/>
          <w:color w:val="auto"/>
          <w:highlight w:val="none"/>
        </w:rPr>
        <w:t>未在规定期限内做出答复的，供应商可以在答复期满后15个工作日内向南宁市政府采购监督管理部门提起投诉，投诉方式见“投标人须知前附表”。</w:t>
      </w:r>
    </w:p>
    <w:p w14:paraId="6F17478A">
      <w:pPr>
        <w:spacing w:line="360" w:lineRule="auto"/>
        <w:ind w:firstLine="422" w:firstLineChars="200"/>
        <w:rPr>
          <w:rFonts w:hint="eastAsia" w:ascii="宋体" w:hAnsi="宋体" w:eastAsia="宋体" w:cs="宋体"/>
          <w:bCs/>
          <w:color w:val="auto"/>
          <w:highlight w:val="none"/>
        </w:rPr>
      </w:pPr>
      <w:r>
        <w:rPr>
          <w:rFonts w:hint="eastAsia" w:ascii="宋体" w:hAnsi="宋体" w:eastAsia="宋体" w:cs="宋体"/>
          <w:b/>
          <w:color w:val="auto"/>
          <w:highlight w:val="none"/>
        </w:rPr>
        <w:t>38.3.2</w:t>
      </w:r>
      <w:r>
        <w:rPr>
          <w:rFonts w:hint="eastAsia" w:ascii="宋体" w:hAnsi="宋体" w:eastAsia="宋体" w:cs="宋体"/>
          <w:color w:val="auto"/>
          <w:highlight w:val="none"/>
        </w:rPr>
        <w:t>投诉人投诉时，应当提交投诉书，并按照被投诉采购人、采购代理机构和与投诉事项有关的供应商数量提供投诉书的副本。投诉书</w:t>
      </w:r>
      <w:r>
        <w:rPr>
          <w:rFonts w:hint="eastAsia" w:ascii="宋体" w:hAnsi="宋体" w:eastAsia="宋体" w:cs="宋体"/>
          <w:color w:val="auto"/>
          <w:szCs w:val="21"/>
          <w:highlight w:val="none"/>
        </w:rPr>
        <w:t>应当包括下列主要内容</w:t>
      </w:r>
      <w:r>
        <w:rPr>
          <w:rFonts w:hint="eastAsia" w:ascii="宋体" w:hAnsi="宋体" w:eastAsia="宋体" w:cs="宋体"/>
          <w:color w:val="auto"/>
          <w:highlight w:val="none"/>
        </w:rPr>
        <w:t>（如材料中有外文资料应同时附上对应的中文译本）</w:t>
      </w:r>
      <w:r>
        <w:rPr>
          <w:rFonts w:hint="eastAsia" w:ascii="宋体" w:hAnsi="宋体" w:eastAsia="宋体" w:cs="宋体"/>
          <w:bCs/>
          <w:color w:val="auto"/>
          <w:highlight w:val="none"/>
        </w:rPr>
        <w:t>（投诉书格式后附）</w:t>
      </w:r>
      <w:r>
        <w:rPr>
          <w:rFonts w:hint="eastAsia" w:ascii="宋体" w:hAnsi="宋体" w:eastAsia="宋体" w:cs="宋体"/>
          <w:color w:val="auto"/>
          <w:szCs w:val="21"/>
          <w:highlight w:val="none"/>
        </w:rPr>
        <w:t>：</w:t>
      </w:r>
    </w:p>
    <w:p w14:paraId="6FF2BB13">
      <w:pPr>
        <w:spacing w:line="360" w:lineRule="auto"/>
        <w:ind w:firstLine="420" w:firstLineChars="200"/>
        <w:rPr>
          <w:rFonts w:hint="eastAsia" w:ascii="宋体" w:hAnsi="宋体" w:eastAsia="宋体" w:cs="宋体"/>
          <w:color w:val="auto"/>
          <w:highlight w:val="none"/>
          <w:lang w:eastAsia="zh-CN"/>
        </w:rPr>
      </w:pPr>
      <w:r>
        <w:rPr>
          <w:rFonts w:hint="eastAsia" w:ascii="宋体" w:hAnsi="宋体" w:eastAsia="宋体" w:cs="宋体"/>
          <w:color w:val="auto"/>
          <w:highlight w:val="none"/>
        </w:rPr>
        <w:t>（1）投诉人和被投诉人的名称、地址、邮编、联系人及联系电话等；</w:t>
      </w:r>
    </w:p>
    <w:p w14:paraId="79D6A51A">
      <w:pPr>
        <w:spacing w:line="360" w:lineRule="auto"/>
        <w:ind w:firstLine="420" w:firstLineChars="200"/>
        <w:rPr>
          <w:rFonts w:hint="eastAsia" w:ascii="宋体" w:hAnsi="宋体" w:eastAsia="宋体" w:cs="宋体"/>
          <w:color w:val="auto"/>
          <w:highlight w:val="none"/>
          <w:lang w:eastAsia="zh-CN"/>
        </w:rPr>
      </w:pPr>
      <w:r>
        <w:rPr>
          <w:rFonts w:hint="eastAsia" w:ascii="宋体" w:hAnsi="宋体" w:eastAsia="宋体" w:cs="宋体"/>
          <w:color w:val="auto"/>
          <w:highlight w:val="none"/>
        </w:rPr>
        <w:t>（2）质疑和质疑答复情况及相关证明材料；</w:t>
      </w:r>
    </w:p>
    <w:p w14:paraId="7F0C2E2B">
      <w:pPr>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（3）具体、明确的投诉事项和与投诉事项相关的投诉请求；</w:t>
      </w:r>
    </w:p>
    <w:p w14:paraId="57139A49">
      <w:pPr>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（4）事实依据；</w:t>
      </w:r>
    </w:p>
    <w:p w14:paraId="23072483">
      <w:pPr>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（5）法律依据；</w:t>
      </w:r>
    </w:p>
    <w:p w14:paraId="4332F96F">
      <w:pPr>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（6）提起投诉的日期。</w:t>
      </w:r>
    </w:p>
    <w:p w14:paraId="3C7752A1">
      <w:pPr>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（7）附件材料：营业执照副本内页复印件（要求证件有效并清晰反映企业法人经营范围；近期连续三个月依法缴纳税收和在职职工社会保障资金证明材料（复印件）。</w:t>
      </w:r>
      <w:r>
        <w:rPr>
          <w:rFonts w:hint="eastAsia" w:ascii="宋体" w:hAnsi="宋体" w:eastAsia="宋体" w:cs="宋体"/>
          <w:color w:val="auto"/>
          <w:highlight w:val="none"/>
        </w:rPr>
        <w:tab/>
      </w:r>
    </w:p>
    <w:p w14:paraId="36949074">
      <w:pPr>
        <w:spacing w:line="360" w:lineRule="auto"/>
        <w:ind w:firstLine="422" w:firstLineChars="200"/>
        <w:rPr>
          <w:rFonts w:hint="eastAsia" w:ascii="宋体" w:hAnsi="宋体" w:eastAsia="宋体" w:cs="宋体"/>
          <w:bCs/>
          <w:color w:val="auto"/>
          <w:highlight w:val="none"/>
        </w:rPr>
      </w:pPr>
      <w:r>
        <w:rPr>
          <w:rFonts w:hint="eastAsia" w:ascii="宋体" w:hAnsi="宋体" w:eastAsia="宋体" w:cs="宋体"/>
          <w:b/>
          <w:color w:val="auto"/>
          <w:highlight w:val="none"/>
        </w:rPr>
        <w:t>38.3.3</w:t>
      </w:r>
      <w:r>
        <w:rPr>
          <w:rFonts w:hint="eastAsia" w:ascii="宋体" w:hAnsi="宋体" w:eastAsia="宋体" w:cs="宋体"/>
          <w:color w:val="auto"/>
          <w:highlight w:val="none"/>
        </w:rPr>
        <w:t>投诉人可以委托代理人办理投诉事务。</w:t>
      </w:r>
      <w:r>
        <w:rPr>
          <w:rFonts w:hint="eastAsia" w:ascii="宋体" w:hAnsi="宋体" w:eastAsia="宋体" w:cs="宋体"/>
          <w:bCs/>
          <w:color w:val="auto"/>
          <w:highlight w:val="none"/>
        </w:rPr>
        <w:t>委托代理人应熟悉相关业务情况。</w:t>
      </w:r>
      <w:r>
        <w:rPr>
          <w:rFonts w:hint="eastAsia" w:ascii="宋体" w:hAnsi="宋体" w:eastAsia="宋体" w:cs="宋体"/>
          <w:color w:val="auto"/>
          <w:highlight w:val="none"/>
        </w:rPr>
        <w:t>代理人办理投诉事务时，除提交投诉书外，还应当提交投诉人的授权委托书和委托代理人身份证明复印件。</w:t>
      </w:r>
    </w:p>
    <w:p w14:paraId="1D4903B1">
      <w:pPr>
        <w:spacing w:line="360" w:lineRule="auto"/>
        <w:ind w:firstLine="422" w:firstLineChars="200"/>
        <w:rPr>
          <w:rFonts w:hint="eastAsia" w:ascii="宋体" w:hAnsi="宋体" w:eastAsia="宋体" w:cs="宋体"/>
          <w:color w:val="auto"/>
          <w:highlight w:val="none"/>
        </w:rPr>
      </w:pPr>
      <w:r>
        <w:rPr>
          <w:rFonts w:hint="eastAsia" w:ascii="宋体" w:hAnsi="宋体" w:eastAsia="宋体" w:cs="宋体"/>
          <w:b/>
          <w:color w:val="auto"/>
          <w:highlight w:val="none"/>
        </w:rPr>
        <w:t>38.3.4</w:t>
      </w:r>
      <w:r>
        <w:rPr>
          <w:rFonts w:hint="eastAsia" w:ascii="宋体" w:hAnsi="宋体" w:eastAsia="宋体" w:cs="宋体"/>
          <w:color w:val="auto"/>
          <w:highlight w:val="none"/>
        </w:rPr>
        <w:t>投诉人提起投诉应当符合下列条件：</w:t>
      </w:r>
    </w:p>
    <w:p w14:paraId="79211871">
      <w:pPr>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（1）投诉人是参与所投诉政府采购活动的供应商；</w:t>
      </w:r>
    </w:p>
    <w:p w14:paraId="14D90274">
      <w:pPr>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（2）提起投诉前已依法进行质疑；</w:t>
      </w:r>
    </w:p>
    <w:p w14:paraId="713EC706">
      <w:pPr>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（3）投诉书内容符合本章第38.3.2项的规定；</w:t>
      </w:r>
    </w:p>
    <w:p w14:paraId="6F281ABE">
      <w:pPr>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（4）在投诉有效期限内提起投诉；</w:t>
      </w:r>
    </w:p>
    <w:p w14:paraId="03BB7A9F">
      <w:pPr>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（5）属于南宁市政府采购监督管理部门管辖；</w:t>
      </w:r>
    </w:p>
    <w:p w14:paraId="574313FA">
      <w:pPr>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（6）同一投诉事项未经</w:t>
      </w:r>
      <w:r>
        <w:rPr>
          <w:rFonts w:hint="eastAsia" w:ascii="宋体" w:hAnsi="宋体" w:eastAsia="宋体" w:cs="宋体"/>
          <w:bCs/>
          <w:color w:val="auto"/>
          <w:highlight w:val="none"/>
        </w:rPr>
        <w:t>南宁市政府采购监督管理部门</w:t>
      </w:r>
      <w:r>
        <w:rPr>
          <w:rFonts w:hint="eastAsia" w:ascii="宋体" w:hAnsi="宋体" w:eastAsia="宋体" w:cs="宋体"/>
          <w:color w:val="auto"/>
          <w:highlight w:val="none"/>
        </w:rPr>
        <w:t>投诉处理；</w:t>
      </w:r>
    </w:p>
    <w:p w14:paraId="5F50F46B">
      <w:pPr>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（7）国务院财政部门规定的其他条件。</w:t>
      </w:r>
    </w:p>
    <w:p w14:paraId="0FAC107A">
      <w:pPr>
        <w:spacing w:line="360" w:lineRule="auto"/>
        <w:ind w:firstLine="422" w:firstLineChars="200"/>
        <w:rPr>
          <w:rFonts w:hint="eastAsia" w:ascii="宋体" w:hAnsi="宋体" w:eastAsia="宋体" w:cs="宋体"/>
          <w:color w:val="auto"/>
          <w:highlight w:val="none"/>
        </w:rPr>
      </w:pPr>
      <w:r>
        <w:rPr>
          <w:rFonts w:hint="eastAsia" w:ascii="宋体" w:hAnsi="宋体" w:eastAsia="宋体" w:cs="宋体"/>
          <w:b/>
          <w:color w:val="auto"/>
          <w:highlight w:val="none"/>
        </w:rPr>
        <w:t>38.3.5</w:t>
      </w:r>
      <w:r>
        <w:rPr>
          <w:rFonts w:hint="eastAsia" w:ascii="宋体" w:hAnsi="宋体" w:eastAsia="宋体" w:cs="宋体"/>
          <w:color w:val="auto"/>
          <w:highlight w:val="none"/>
        </w:rPr>
        <w:t>南宁市政府采购监督管理部门自受理投诉之日起30个工作日内，对投诉事项作出处理决定，并以书面形式通知投诉人、被投诉人及其他与投诉处理结果有利害关系的政府采购当事人。并将投诉结果在</w:t>
      </w:r>
      <w:r>
        <w:rPr>
          <w:rFonts w:hint="eastAsia" w:ascii="宋体" w:hAnsi="宋体" w:eastAsia="宋体" w:cs="宋体"/>
          <w:color w:val="auto"/>
          <w:kern w:val="0"/>
          <w:szCs w:val="21"/>
          <w:highlight w:val="none"/>
        </w:rPr>
        <w:t>“广西政府采购网”（http://zfcg.gxzf.gov.cn）</w:t>
      </w:r>
      <w:r>
        <w:rPr>
          <w:rFonts w:hint="eastAsia" w:ascii="宋体" w:hAnsi="宋体" w:eastAsia="宋体" w:cs="宋体"/>
          <w:color w:val="auto"/>
          <w:highlight w:val="none"/>
        </w:rPr>
        <w:t>发布。</w:t>
      </w:r>
    </w:p>
    <w:p w14:paraId="0AFFF856">
      <w:pPr>
        <w:spacing w:line="360" w:lineRule="auto"/>
        <w:ind w:firstLine="422" w:firstLineChars="200"/>
        <w:rPr>
          <w:rFonts w:hint="eastAsia" w:ascii="宋体" w:hAnsi="宋体" w:eastAsia="宋体" w:cs="宋体"/>
          <w:color w:val="auto"/>
          <w:highlight w:val="none"/>
        </w:rPr>
      </w:pPr>
      <w:r>
        <w:rPr>
          <w:rFonts w:hint="eastAsia" w:ascii="宋体" w:hAnsi="宋体" w:eastAsia="宋体" w:cs="宋体"/>
          <w:b/>
          <w:color w:val="auto"/>
          <w:highlight w:val="none"/>
        </w:rPr>
        <w:t>38.3.6</w:t>
      </w:r>
      <w:r>
        <w:rPr>
          <w:rFonts w:hint="eastAsia" w:ascii="宋体" w:hAnsi="宋体" w:eastAsia="宋体" w:cs="宋体"/>
          <w:color w:val="auto"/>
          <w:highlight w:val="none"/>
        </w:rPr>
        <w:t>南宁市政府采购监督管理部门在处理投诉事项期间，可以视具体情况暂停采购活动。</w:t>
      </w:r>
    </w:p>
    <w:p w14:paraId="1A6F841E">
      <w:pPr>
        <w:snapToGrid w:val="0"/>
        <w:spacing w:line="360" w:lineRule="auto"/>
        <w:ind w:left="120" w:leftChars="57" w:firstLine="482" w:firstLineChars="150"/>
        <w:jc w:val="center"/>
        <w:outlineLvl w:val="2"/>
        <w:rPr>
          <w:rFonts w:hint="eastAsia" w:ascii="宋体" w:hAnsi="宋体" w:eastAsia="宋体" w:cs="宋体"/>
          <w:b/>
          <w:bCs/>
          <w:color w:val="auto"/>
          <w:sz w:val="32"/>
          <w:szCs w:val="32"/>
          <w:highlight w:val="none"/>
        </w:rPr>
      </w:pPr>
      <w:bookmarkStart w:id="14" w:name="_Toc2190"/>
      <w:r>
        <w:rPr>
          <w:rFonts w:hint="eastAsia" w:ascii="宋体" w:hAnsi="宋体" w:eastAsia="宋体" w:cs="宋体"/>
          <w:b/>
          <w:bCs/>
          <w:color w:val="auto"/>
          <w:sz w:val="32"/>
          <w:szCs w:val="32"/>
          <w:highlight w:val="none"/>
        </w:rPr>
        <w:t>八、验收</w:t>
      </w:r>
      <w:bookmarkEnd w:id="14"/>
    </w:p>
    <w:p w14:paraId="6892FF06">
      <w:pPr>
        <w:spacing w:line="360" w:lineRule="auto"/>
        <w:ind w:firstLine="422" w:firstLineChars="200"/>
        <w:rPr>
          <w:rFonts w:hint="eastAsia" w:ascii="宋体" w:hAnsi="宋体" w:eastAsia="宋体" w:cs="宋体"/>
          <w:b/>
          <w:color w:val="auto"/>
          <w:highlight w:val="none"/>
        </w:rPr>
      </w:pPr>
      <w:r>
        <w:rPr>
          <w:rFonts w:hint="eastAsia" w:ascii="宋体" w:hAnsi="宋体" w:eastAsia="宋体" w:cs="宋体"/>
          <w:b/>
          <w:color w:val="auto"/>
          <w:highlight w:val="none"/>
        </w:rPr>
        <w:t>39.验收</w:t>
      </w:r>
    </w:p>
    <w:p w14:paraId="70B8B266">
      <w:pPr>
        <w:tabs>
          <w:tab w:val="left" w:pos="0"/>
        </w:tabs>
        <w:spacing w:line="360" w:lineRule="auto"/>
        <w:ind w:firstLine="480"/>
        <w:rPr>
          <w:rFonts w:hint="eastAsia" w:ascii="宋体" w:hAnsi="宋体" w:eastAsia="宋体" w:cs="宋体"/>
          <w:color w:val="auto"/>
          <w:highlight w:val="none"/>
        </w:rPr>
      </w:pPr>
      <w:r>
        <w:rPr>
          <w:rFonts w:hint="eastAsia" w:ascii="宋体" w:hAnsi="宋体" w:eastAsia="宋体" w:cs="宋体"/>
          <w:color w:val="auto"/>
          <w:highlight w:val="none"/>
        </w:rPr>
        <w:t>39.1采购人组织对供应商履约的验收。大型或者复杂的政府采购项目，应当邀请国家认可的质量检测机构参加验收工作。验收方成员应当在验收书上签字，并承担相应的法律责任。如果发现与合同中要求不符，供应商须承担由此发生的一切损失和费用，并接受相应的处理。</w:t>
      </w:r>
    </w:p>
    <w:p w14:paraId="3DA8910E">
      <w:pPr>
        <w:tabs>
          <w:tab w:val="left" w:pos="0"/>
        </w:tabs>
        <w:spacing w:line="360" w:lineRule="auto"/>
        <w:ind w:firstLine="480"/>
        <w:rPr>
          <w:rFonts w:hint="eastAsia" w:ascii="宋体" w:hAnsi="宋体" w:eastAsia="宋体" w:cs="宋体"/>
          <w:color w:val="auto"/>
          <w:highlight w:val="none"/>
        </w:rPr>
      </w:pPr>
      <w:r>
        <w:rPr>
          <w:rFonts w:hint="eastAsia" w:ascii="宋体" w:hAnsi="宋体" w:eastAsia="宋体" w:cs="宋体"/>
          <w:color w:val="auto"/>
          <w:highlight w:val="none"/>
        </w:rPr>
        <w:t>39.2采购人可以邀请参加本项目的其他投标人或者第三方机构参与验收。参与验收的投标人或者第三方机构的意见作为验收书的参考资料一并存档。</w:t>
      </w:r>
    </w:p>
    <w:p w14:paraId="41B3CD83">
      <w:pPr>
        <w:tabs>
          <w:tab w:val="left" w:pos="0"/>
        </w:tabs>
        <w:spacing w:line="360" w:lineRule="auto"/>
        <w:ind w:firstLine="480"/>
        <w:rPr>
          <w:rFonts w:hint="eastAsia" w:ascii="宋体" w:hAnsi="宋体" w:eastAsia="宋体" w:cs="宋体"/>
          <w:color w:val="auto"/>
          <w:highlight w:val="none"/>
        </w:rPr>
      </w:pPr>
      <w:r>
        <w:rPr>
          <w:rFonts w:hint="eastAsia" w:ascii="宋体" w:hAnsi="宋体" w:eastAsia="宋体" w:cs="宋体"/>
          <w:color w:val="auto"/>
          <w:highlight w:val="none"/>
        </w:rPr>
        <w:t>39.3严格按照采购合同开展履约验收。采购人成立验收小组，按照采购合同的约定对供应商履约情况进行验收。验收时，按照采购合同的约定对每一项技术、服务、安全标准的履约情况进行确认。验收结束后，应当出具验收书，列明各项标准的验收情况及项目总体评价，由验收双方共同签署。验收结果与采购合同约定的资金支付及履约保证金返还条件挂钩。履约验收的各项资料应当存档备查。</w:t>
      </w:r>
    </w:p>
    <w:p w14:paraId="512C86C0">
      <w:pPr>
        <w:tabs>
          <w:tab w:val="left" w:pos="0"/>
        </w:tabs>
        <w:spacing w:line="360" w:lineRule="auto"/>
        <w:ind w:firstLine="480"/>
        <w:rPr>
          <w:rFonts w:hint="eastAsia" w:ascii="宋体" w:hAnsi="宋体" w:eastAsia="宋体" w:cs="宋体"/>
          <w:color w:val="auto"/>
          <w:highlight w:val="none"/>
        </w:rPr>
      </w:pPr>
      <w:r>
        <w:rPr>
          <w:rFonts w:hint="eastAsia" w:ascii="宋体" w:hAnsi="宋体" w:eastAsia="宋体" w:cs="宋体"/>
          <w:color w:val="auto"/>
          <w:highlight w:val="none"/>
        </w:rPr>
        <w:t>39.4验收合格的项目，采购人将根据采购合同的约定及时向供应商支付采购资金。验收不合格的项目，采购人将依法及时处理。采购合同的履行、违约责任和解决争议的方式等适用《中华人民共和国民法典》。供应商在履约过程中有政府采购法律法规规定的违法违规情形的，采购人应当及时报告本级财政部门。</w:t>
      </w:r>
    </w:p>
    <w:p w14:paraId="04BBCE02">
      <w:pPr>
        <w:pStyle w:val="18"/>
        <w:snapToGrid w:val="0"/>
        <w:spacing w:line="400" w:lineRule="exact"/>
        <w:rPr>
          <w:rFonts w:hint="eastAsia" w:ascii="宋体" w:hAnsi="宋体" w:eastAsia="宋体" w:cs="宋体"/>
          <w:color w:val="auto"/>
          <w:highlight w:val="none"/>
        </w:rPr>
      </w:pPr>
    </w:p>
    <w:p w14:paraId="0F708A38">
      <w:pPr>
        <w:pStyle w:val="4"/>
        <w:keepNext w:val="0"/>
        <w:keepLines w:val="0"/>
        <w:spacing w:line="360" w:lineRule="auto"/>
        <w:jc w:val="center"/>
        <w:rPr>
          <w:rFonts w:hint="eastAsia" w:ascii="宋体" w:hAnsi="宋体" w:eastAsia="宋体" w:cs="宋体"/>
          <w:color w:val="auto"/>
          <w:highlight w:val="none"/>
        </w:rPr>
      </w:pPr>
      <w:bookmarkStart w:id="15" w:name="_Toc30779"/>
      <w:r>
        <w:rPr>
          <w:rFonts w:hint="eastAsia" w:ascii="宋体" w:hAnsi="宋体" w:eastAsia="宋体" w:cs="宋体"/>
          <w:color w:val="auto"/>
          <w:highlight w:val="none"/>
        </w:rPr>
        <w:t>九、其他事项</w:t>
      </w:r>
      <w:bookmarkEnd w:id="15"/>
    </w:p>
    <w:p w14:paraId="49B16173">
      <w:pPr>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40.代理服务费</w:t>
      </w:r>
    </w:p>
    <w:p w14:paraId="288BD163">
      <w:pPr>
        <w:spacing w:line="360" w:lineRule="auto"/>
        <w:ind w:firstLine="422" w:firstLineChars="200"/>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代理服务收费标准及缴费账户详见“投标人须知前附表”，投标人为联合体的，可以由联合体中的一方或者多方共同交纳代理服务费。</w:t>
      </w:r>
    </w:p>
    <w:p w14:paraId="46BE8948">
      <w:pPr>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41.需要补充的其他内容</w:t>
      </w:r>
    </w:p>
    <w:p w14:paraId="17662551">
      <w:pPr>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41.1本招标文件解释规则详见“投标人须知前附表”。</w:t>
      </w:r>
    </w:p>
    <w:p w14:paraId="6B00700A">
      <w:pPr>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41.2其他事项详见“投标人须知前附表”。</w:t>
      </w:r>
    </w:p>
    <w:p w14:paraId="33E91122">
      <w:pPr>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41.3本文件所称中小企业，是指在中华人民共和国境内依法设立，依据国务院批准的中小企业划分标准确定的中型企业、小型企业和微型企业，但与大企业的负责人为同一人，或者与大企业存在直接控股、管理关系的除外。符合中小企业划分标准的个体工商户，在政府采购活动中视同中小企业。在政府采购活动中，供应商提供的服务的人员为中小企业依照《中华人民共和国劳动合同法》订立劳动合同的从业人员，不对其中涉及的货物的制造商和工程承建商作出要求的，享受本文件规定的中小企业扶持政策。</w:t>
      </w:r>
    </w:p>
    <w:p w14:paraId="02AB4B67">
      <w:pPr>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以联合体形式参加政府采购活动，联合体各方均为中小企业的，联合体视同中小企业。其中，联合体各方均为小微企业的，联合体视同小微企业。</w:t>
      </w:r>
    </w:p>
    <w:p w14:paraId="657C17D3">
      <w:pPr>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依据本文件规定享受扶持政策获得政府采购合同的，小微企业不得将合同分包给大中型企业，中型企业不得将合同分包给大型企业。</w:t>
      </w:r>
    </w:p>
    <w:p w14:paraId="62ED6122">
      <w:pPr>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42.政采贷相关说明</w:t>
      </w:r>
    </w:p>
    <w:p w14:paraId="42BF07E2">
      <w:pPr>
        <w:spacing w:line="360" w:lineRule="auto"/>
        <w:ind w:firstLine="420" w:firstLineChars="200"/>
        <w:jc w:val="left"/>
        <w:rPr>
          <w:rFonts w:hint="eastAsia" w:ascii="宋体" w:hAnsi="宋体" w:eastAsia="宋体" w:cs="宋体"/>
          <w:color w:val="auto"/>
          <w:highlight w:val="none"/>
        </w:rPr>
      </w:pPr>
      <w:r>
        <w:rPr>
          <w:rFonts w:hint="eastAsia" w:ascii="宋体" w:hAnsi="宋体" w:eastAsia="宋体" w:cs="宋体"/>
          <w:color w:val="auto"/>
          <w:highlight w:val="none"/>
        </w:rPr>
        <w:t>为优化政府采购营商环境，缓解供应商资金难题，南宁市政府采购试行政府采购信用融资制度，中标供应商如有融资需求，可凭政府采购合同通过以下方式申请政府采购信用融资贷款：</w:t>
      </w:r>
    </w:p>
    <w:p w14:paraId="2909336E">
      <w:pPr>
        <w:numPr>
          <w:ilvl w:val="0"/>
          <w:numId w:val="0"/>
        </w:numPr>
        <w:spacing w:line="360" w:lineRule="auto"/>
        <w:ind w:firstLine="420" w:firstLineChars="200"/>
        <w:jc w:val="left"/>
        <w:rPr>
          <w:rFonts w:hint="eastAsia" w:ascii="宋体" w:hAnsi="宋体" w:eastAsia="宋体" w:cs="宋体"/>
          <w:color w:val="auto"/>
          <w:highlight w:val="none"/>
        </w:rPr>
      </w:pPr>
      <w:r>
        <w:rPr>
          <w:rFonts w:hint="eastAsia" w:ascii="宋体" w:hAnsi="宋体" w:eastAsia="宋体" w:cs="宋体"/>
          <w:color w:val="auto"/>
          <w:highlight w:val="none"/>
          <w:lang w:eastAsia="zh-CN"/>
        </w:rPr>
        <w:t>（</w:t>
      </w:r>
      <w:r>
        <w:rPr>
          <w:rFonts w:hint="eastAsia" w:ascii="宋体" w:hAnsi="宋体" w:eastAsia="宋体" w:cs="宋体"/>
          <w:color w:val="auto"/>
          <w:highlight w:val="none"/>
          <w:lang w:val="en-US" w:eastAsia="zh-CN"/>
        </w:rPr>
        <w:t>1</w:t>
      </w:r>
      <w:r>
        <w:rPr>
          <w:rFonts w:hint="eastAsia" w:ascii="宋体" w:hAnsi="宋体" w:eastAsia="宋体" w:cs="宋体"/>
          <w:color w:val="auto"/>
          <w:highlight w:val="none"/>
          <w:lang w:eastAsia="zh-CN"/>
        </w:rPr>
        <w:t>）</w:t>
      </w:r>
      <w:r>
        <w:rPr>
          <w:rFonts w:hint="eastAsia" w:ascii="宋体" w:hAnsi="宋体" w:eastAsia="宋体" w:cs="宋体"/>
          <w:color w:val="auto"/>
          <w:highlight w:val="none"/>
        </w:rPr>
        <w:t>线下渠道</w:t>
      </w:r>
      <w:r>
        <w:rPr>
          <w:rFonts w:hint="eastAsia" w:ascii="宋体" w:hAnsi="宋体" w:eastAsia="宋体" w:cs="宋体"/>
          <w:color w:val="auto"/>
          <w:highlight w:val="none"/>
          <w:lang w:eastAsia="zh-CN"/>
        </w:rPr>
        <w:t>：</w:t>
      </w:r>
      <w:r>
        <w:rPr>
          <w:rFonts w:hint="eastAsia" w:ascii="宋体" w:hAnsi="宋体" w:eastAsia="宋体" w:cs="宋体"/>
          <w:color w:val="auto"/>
          <w:highlight w:val="none"/>
        </w:rPr>
        <w:t>在“南宁市公共资源交易中心”官网(网址:http://ggzy.jgswj.gxzf.gov.cn/nnggzy/)“交易信息-政府采购-政府采购信用融资”中融资银行和南宁市企业融资服务中心专栏信息</w:t>
      </w:r>
      <w:r>
        <w:rPr>
          <w:rFonts w:hint="eastAsia" w:ascii="宋体" w:hAnsi="宋体" w:cs="宋体"/>
          <w:color w:val="auto"/>
          <w:highlight w:val="none"/>
          <w:lang w:val="en-US" w:eastAsia="zh-CN"/>
        </w:rPr>
        <w:t>申</w:t>
      </w:r>
      <w:r>
        <w:rPr>
          <w:rFonts w:hint="eastAsia" w:ascii="宋体" w:hAnsi="宋体" w:eastAsia="宋体" w:cs="宋体"/>
          <w:color w:val="auto"/>
          <w:highlight w:val="none"/>
        </w:rPr>
        <w:t>请政府采购信用融资。</w:t>
      </w:r>
    </w:p>
    <w:p w14:paraId="12B4934E">
      <w:pPr>
        <w:numPr>
          <w:ilvl w:val="0"/>
          <w:numId w:val="0"/>
        </w:numPr>
        <w:spacing w:line="360" w:lineRule="auto"/>
        <w:ind w:firstLine="420" w:firstLineChars="200"/>
        <w:jc w:val="left"/>
        <w:rPr>
          <w:rFonts w:hint="eastAsia" w:ascii="宋体" w:hAnsi="宋体" w:eastAsia="宋体" w:cs="宋体"/>
          <w:color w:val="auto"/>
          <w:highlight w:val="none"/>
        </w:rPr>
      </w:pPr>
      <w:r>
        <w:rPr>
          <w:rFonts w:hint="eastAsia" w:ascii="宋体" w:hAnsi="宋体" w:eastAsia="宋体" w:cs="宋体"/>
          <w:color w:val="auto"/>
          <w:highlight w:val="none"/>
          <w:lang w:eastAsia="zh-CN"/>
        </w:rPr>
        <w:t>（</w:t>
      </w:r>
      <w:r>
        <w:rPr>
          <w:rFonts w:hint="eastAsia" w:ascii="宋体" w:hAnsi="宋体" w:eastAsia="宋体" w:cs="宋体"/>
          <w:color w:val="auto"/>
          <w:highlight w:val="none"/>
          <w:lang w:val="en-US" w:eastAsia="zh-CN"/>
        </w:rPr>
        <w:t>2</w:t>
      </w:r>
      <w:r>
        <w:rPr>
          <w:rFonts w:hint="eastAsia" w:ascii="宋体" w:hAnsi="宋体" w:eastAsia="宋体" w:cs="宋体"/>
          <w:color w:val="auto"/>
          <w:highlight w:val="none"/>
          <w:lang w:eastAsia="zh-CN"/>
        </w:rPr>
        <w:t>）</w:t>
      </w:r>
      <w:r>
        <w:rPr>
          <w:rFonts w:hint="eastAsia" w:ascii="宋体" w:hAnsi="宋体" w:eastAsia="宋体" w:cs="宋体"/>
          <w:color w:val="auto"/>
          <w:highlight w:val="none"/>
        </w:rPr>
        <w:t>线上渠道：登录中征应收账款融资服务平台（网址：https://www.crcrfsp.com，客服电话：400-009-0001），选择相关金融产品和银行业金融机构金融融资贷款。具体操作方式见《中国人民银行南宁中心支行广西壮族自治区财政厅关于推广线上“政采贷”融资模式的通知》（南宁银发〔2021〕258号）文（文件公开网址详情见：“广西政府采购网”——http://www.ccgp-guangxi.gov.cn/site/detail?categoryCode=AdministrativeRegulations&amp;parentId=66462&amp;articleId=VPpRbhH8q803OKuTtgQ5Ng==）</w:t>
      </w:r>
      <w:r>
        <w:rPr>
          <w:rFonts w:hint="eastAsia" w:ascii="宋体" w:hAnsi="宋体" w:eastAsia="宋体" w:cs="宋体"/>
          <w:color w:val="auto"/>
          <w:highlight w:val="none"/>
        </w:rPr>
        <w:br w:type="page"/>
      </w:r>
    </w:p>
    <w:p w14:paraId="07CE4A6D">
      <w:pPr>
        <w:pStyle w:val="18"/>
        <w:jc w:val="center"/>
        <w:outlineLvl w:val="0"/>
        <w:rPr>
          <w:rFonts w:hint="eastAsia" w:ascii="宋体" w:hAnsi="宋体" w:eastAsia="宋体" w:cs="宋体"/>
          <w:b/>
          <w:color w:val="auto"/>
          <w:sz w:val="36"/>
          <w:highlight w:val="none"/>
        </w:rPr>
      </w:pPr>
      <w:bookmarkStart w:id="16" w:name="_Toc22260"/>
      <w:r>
        <w:rPr>
          <w:rFonts w:hint="eastAsia" w:ascii="宋体" w:hAnsi="宋体" w:eastAsia="宋体" w:cs="宋体"/>
          <w:b/>
          <w:color w:val="auto"/>
          <w:sz w:val="36"/>
          <w:highlight w:val="none"/>
        </w:rPr>
        <w:t>第四章评标方法及评分标准</w:t>
      </w:r>
      <w:bookmarkEnd w:id="16"/>
    </w:p>
    <w:p w14:paraId="15A9ED2F">
      <w:pPr>
        <w:pStyle w:val="18"/>
        <w:jc w:val="center"/>
        <w:outlineLvl w:val="1"/>
        <w:rPr>
          <w:rFonts w:hint="eastAsia" w:ascii="宋体" w:hAnsi="宋体" w:eastAsia="宋体" w:cs="宋体"/>
          <w:b/>
          <w:bCs/>
          <w:color w:val="auto"/>
          <w:sz w:val="32"/>
          <w:szCs w:val="32"/>
          <w:highlight w:val="none"/>
        </w:rPr>
      </w:pPr>
      <w:bookmarkStart w:id="17" w:name="_Toc636"/>
      <w:r>
        <w:rPr>
          <w:rFonts w:hint="eastAsia" w:ascii="宋体" w:hAnsi="宋体" w:eastAsia="宋体" w:cs="宋体"/>
          <w:b/>
          <w:bCs/>
          <w:color w:val="auto"/>
          <w:sz w:val="32"/>
          <w:szCs w:val="32"/>
          <w:highlight w:val="none"/>
        </w:rPr>
        <w:t>第一节评标方法</w:t>
      </w:r>
      <w:bookmarkEnd w:id="17"/>
    </w:p>
    <w:p w14:paraId="635BE843">
      <w:pPr>
        <w:pStyle w:val="18"/>
        <w:tabs>
          <w:tab w:val="left" w:pos="2472"/>
        </w:tabs>
        <w:spacing w:line="460" w:lineRule="exact"/>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本项目采用</w:t>
      </w:r>
      <w:r>
        <w:rPr>
          <w:rFonts w:hint="eastAsia" w:ascii="宋体" w:hAnsi="宋体" w:eastAsia="宋体" w:cs="宋体"/>
          <w:color w:val="auto"/>
          <w:szCs w:val="21"/>
          <w:highlight w:val="none"/>
          <w:u w:val="single"/>
        </w:rPr>
        <w:t>以下勾选的方式</w:t>
      </w:r>
      <w:r>
        <w:rPr>
          <w:rFonts w:hint="eastAsia" w:ascii="宋体" w:hAnsi="宋体" w:eastAsia="宋体" w:cs="宋体"/>
          <w:color w:val="auto"/>
          <w:szCs w:val="21"/>
          <w:highlight w:val="none"/>
        </w:rPr>
        <w:t>进行评审。</w:t>
      </w:r>
    </w:p>
    <w:p w14:paraId="4CE65B1D">
      <w:pPr>
        <w:pStyle w:val="18"/>
        <w:spacing w:line="360" w:lineRule="auto"/>
        <w:ind w:firstLine="420"/>
        <w:rPr>
          <w:rFonts w:hint="eastAsia" w:ascii="宋体" w:hAnsi="宋体" w:eastAsia="宋体" w:cs="宋体"/>
          <w:color w:val="auto"/>
          <w:highlight w:val="none"/>
        </w:rPr>
      </w:pPr>
      <w:r>
        <w:rPr>
          <w:rFonts w:hint="eastAsia" w:ascii="宋体" w:hAnsi="宋体" w:eastAsia="宋体" w:cs="宋体"/>
          <w:color w:val="auto"/>
          <w:szCs w:val="21"/>
          <w:highlight w:val="none"/>
        </w:rPr>
        <w:t>□最低评标价法，是指投标文件满足招标文件</w:t>
      </w:r>
      <w:r>
        <w:rPr>
          <w:rFonts w:hint="eastAsia" w:ascii="宋体" w:hAnsi="宋体" w:eastAsia="宋体" w:cs="宋体"/>
          <w:color w:val="auto"/>
          <w:highlight w:val="none"/>
        </w:rPr>
        <w:t>全部实质性要求，且投标报价最低的投标人为中标候选人的评标方法。</w:t>
      </w:r>
    </w:p>
    <w:p w14:paraId="034C22A2">
      <w:pPr>
        <w:autoSpaceDE w:val="0"/>
        <w:autoSpaceDN w:val="0"/>
        <w:adjustRightInd w:val="0"/>
        <w:spacing w:line="440" w:lineRule="exact"/>
        <w:ind w:firstLine="420" w:firstLineChars="200"/>
        <w:rPr>
          <w:rFonts w:hint="eastAsia" w:ascii="宋体" w:hAnsi="宋体" w:eastAsia="宋体" w:cs="宋体"/>
          <w:color w:val="auto"/>
          <w:sz w:val="24"/>
          <w:highlight w:val="none"/>
          <w:lang w:eastAsia="zh-CN"/>
        </w:rPr>
      </w:pPr>
      <w:r>
        <w:rPr>
          <w:rFonts w:hint="eastAsia" w:ascii="宋体" w:hAnsi="宋体" w:eastAsia="宋体" w:cs="宋体"/>
          <w:color w:val="auto"/>
          <w:highlight w:val="none"/>
        </w:rPr>
        <w:t>☑综合评分法，</w:t>
      </w:r>
      <w:r>
        <w:rPr>
          <w:rFonts w:hint="eastAsia" w:ascii="宋体" w:hAnsi="宋体" w:eastAsia="宋体" w:cs="宋体"/>
          <w:color w:val="auto"/>
          <w:szCs w:val="20"/>
          <w:highlight w:val="none"/>
        </w:rPr>
        <w:t>是指投标文件满足招标文件全部实质性要求，且按照评审因素的量化指标评审得分最高的投标人为中标候选人的评标方法。评标委员会将对各投标人的投标报价、技术和服务方案、投标人的企业实力及资质等方面进行综合评审，对实质上响应招标文件的投标人，由各评委独立记名打分。经统计，得出各投标人的综合得分,按综合得分由高到低顺序排列。若综合得分相同的，按投标报价由低到高顺序排列。若综合得分且投标报价相同的，货物类采购项目以技术性能得分较高者为先，服务类采购项目以实力信誉及业绩得分较高者为先。</w:t>
      </w:r>
    </w:p>
    <w:p w14:paraId="746EA777">
      <w:pPr>
        <w:pStyle w:val="18"/>
        <w:spacing w:line="360" w:lineRule="auto"/>
        <w:ind w:firstLine="420"/>
        <w:rPr>
          <w:rFonts w:hint="eastAsia" w:ascii="宋体" w:hAnsi="宋体" w:eastAsia="宋体" w:cs="宋体"/>
          <w:color w:val="auto"/>
          <w:highlight w:val="none"/>
        </w:rPr>
      </w:pPr>
    </w:p>
    <w:p w14:paraId="7B9A77E5">
      <w:pPr>
        <w:pStyle w:val="18"/>
        <w:tabs>
          <w:tab w:val="left" w:pos="2472"/>
        </w:tabs>
        <w:spacing w:line="460" w:lineRule="exact"/>
        <w:jc w:val="center"/>
        <w:outlineLvl w:val="1"/>
        <w:rPr>
          <w:rFonts w:hint="eastAsia" w:ascii="宋体" w:hAnsi="宋体" w:eastAsia="宋体" w:cs="宋体"/>
          <w:b/>
          <w:bCs/>
          <w:color w:val="auto"/>
          <w:sz w:val="32"/>
          <w:szCs w:val="32"/>
          <w:highlight w:val="none"/>
        </w:rPr>
      </w:pPr>
      <w:bookmarkStart w:id="18" w:name="_Toc30205"/>
      <w:r>
        <w:rPr>
          <w:rFonts w:hint="eastAsia" w:ascii="宋体" w:hAnsi="宋体" w:eastAsia="宋体" w:cs="宋体"/>
          <w:b/>
          <w:bCs/>
          <w:color w:val="auto"/>
          <w:sz w:val="32"/>
          <w:szCs w:val="32"/>
          <w:highlight w:val="none"/>
        </w:rPr>
        <w:t>第二节评标程序</w:t>
      </w:r>
      <w:bookmarkEnd w:id="18"/>
    </w:p>
    <w:p w14:paraId="06766DDB">
      <w:pPr>
        <w:spacing w:line="360" w:lineRule="auto"/>
        <w:ind w:firstLine="422" w:firstLineChars="200"/>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1.符合性审查</w:t>
      </w:r>
    </w:p>
    <w:p w14:paraId="56D232B8">
      <w:pPr>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评标委员会应当对符合资格的投标人的投标文件进行投标报价、商务、技术等实质性内容符合性审查，以确定其是否满足招标文件的实质性要求。</w:t>
      </w:r>
    </w:p>
    <w:p w14:paraId="43FB700C">
      <w:pPr>
        <w:spacing w:line="360" w:lineRule="auto"/>
        <w:ind w:firstLine="422" w:firstLineChars="200"/>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2.符合性审查不通过而导致投标无效的情形</w:t>
      </w:r>
    </w:p>
    <w:p w14:paraId="01936405">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投标人的投标文件中存在对招标文件的任何实质性要求和条件的负偏离，将被视为投标无效。</w:t>
      </w:r>
    </w:p>
    <w:p w14:paraId="25A57794">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2.1在报价评审时，如发现下列情形之一的，将被视为投标无效：</w:t>
      </w:r>
    </w:p>
    <w:p w14:paraId="1AF0570C">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（1）投标文件未提供“投标人须知前附表”第13.1条规定中“必须提供”的文件资料的;</w:t>
      </w:r>
    </w:p>
    <w:p w14:paraId="442E5047">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（2）未采用人民币报价或者未按照招标文件标明的币种报价的；</w:t>
      </w:r>
    </w:p>
    <w:p w14:paraId="5EEB86BE">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（3）报价超出招标文件规定最高限价，或者超出采购预算金额（包括分项预算）的；</w:t>
      </w:r>
    </w:p>
    <w:p w14:paraId="2DF47B59">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4）投标人未就所投分标进行报价或者存在漏项报价；投标人未就所投分标的单项内容作唯一报价；投标人未就所投分标的全部内容作唯一总价报价；存在有选择、有条件报价的（招标文件允许有备选方案或者其他约定的除外）；</w:t>
      </w:r>
    </w:p>
    <w:p w14:paraId="4DC3BE62">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（5）修正后的报价，投标人不确认的；</w:t>
      </w:r>
    </w:p>
    <w:p w14:paraId="6EF7BF5E">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（6）投标人属于本章第5条第（2）项情形的。</w:t>
      </w:r>
    </w:p>
    <w:p w14:paraId="7F89C933">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2.2在商务评审时，如发现下列情形之一的，将被视为投标无效：</w:t>
      </w:r>
    </w:p>
    <w:p w14:paraId="73F722FF">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（1）投标文件未按招标文件要求签署、盖章的；</w:t>
      </w:r>
    </w:p>
    <w:p w14:paraId="3BD3AE0F">
      <w:pPr>
        <w:spacing w:line="360" w:lineRule="auto"/>
        <w:ind w:firstLine="420" w:firstLineChars="200"/>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rPr>
        <w:t>（2）委托代理人未能出具有效身份证明或者出具的身份证明与授权委托书中的信息不符的；</w:t>
      </w:r>
    </w:p>
    <w:p w14:paraId="22C8DADA">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（3）投标文件未提供“投标人须知前附表”第13.1条规定中“必须提供”或者“委托时必须提供”的文件资料的;</w:t>
      </w:r>
    </w:p>
    <w:p w14:paraId="4E12AAC5">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（4）投标有效期、项目完成时间（交货时间、服务完成时间或者服务期等）、质保期、售后服务等招标文件中标</w:t>
      </w:r>
      <w:r>
        <w:rPr>
          <w:rFonts w:hint="eastAsia" w:ascii="宋体" w:hAnsi="宋体" w:cs="宋体"/>
          <w:color w:val="auto"/>
          <w:szCs w:val="21"/>
          <w:highlight w:val="none"/>
          <w:lang w:val="en-US" w:eastAsia="zh-CN"/>
        </w:rPr>
        <w:t>注</w:t>
      </w:r>
      <w:r>
        <w:rPr>
          <w:rFonts w:hint="eastAsia" w:ascii="宋体" w:hAnsi="宋体" w:eastAsia="宋体" w:cs="宋体"/>
          <w:color w:val="auto"/>
          <w:szCs w:val="21"/>
          <w:highlight w:val="none"/>
        </w:rPr>
        <w:t>“▲”的商务条款发生负偏离的；</w:t>
      </w:r>
    </w:p>
    <w:p w14:paraId="25C4DD20">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（5）商务条款评审允许负偏离的条款数超过“投标人须知前附表”规定项数的。</w:t>
      </w:r>
    </w:p>
    <w:p w14:paraId="1AD43A53">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（6）投标文件的实质性内容未使用中文表述、使用计量单位不符合招标文件要求的；</w:t>
      </w:r>
    </w:p>
    <w:p w14:paraId="2518617C">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（7）投标文件中的文件资料因填写不齐全或者内容虚假或者出现其他情形而导致被评标委员会认定无效的；</w:t>
      </w:r>
    </w:p>
    <w:p w14:paraId="561349A9">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（8）投标文件含有采购人不能接受的附加条件的；</w:t>
      </w:r>
    </w:p>
    <w:p w14:paraId="64A54E4B">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（9）未响应招标文件实质性要求的；</w:t>
      </w:r>
    </w:p>
    <w:p w14:paraId="600F5EB5">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（10）属于投标人须知正文第9.2条情形的；</w:t>
      </w:r>
    </w:p>
    <w:p w14:paraId="11AE4BFB">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（11）法律、法规和招标文件规定的其他无效情形。</w:t>
      </w:r>
    </w:p>
    <w:p w14:paraId="21283B4F">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2.3在技术评审时，如发现下列情形之一的，将被视为投标无效：</w:t>
      </w:r>
    </w:p>
    <w:p w14:paraId="7E69CC45">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（1）不满足招标文件要求的安全、质量标准，或者与招标文件中标</w:t>
      </w:r>
      <w:r>
        <w:rPr>
          <w:rFonts w:hint="eastAsia" w:ascii="宋体" w:hAnsi="宋体" w:cs="宋体"/>
          <w:color w:val="auto"/>
          <w:szCs w:val="21"/>
          <w:highlight w:val="none"/>
          <w:lang w:val="en-US" w:eastAsia="zh-CN"/>
        </w:rPr>
        <w:t>注</w:t>
      </w:r>
      <w:r>
        <w:rPr>
          <w:rFonts w:hint="eastAsia" w:ascii="宋体" w:hAnsi="宋体" w:eastAsia="宋体" w:cs="宋体"/>
          <w:color w:val="auto"/>
          <w:szCs w:val="21"/>
          <w:highlight w:val="none"/>
        </w:rPr>
        <w:t>“▲”的技术需求发生负偏离的；</w:t>
      </w:r>
    </w:p>
    <w:p w14:paraId="0F230FD3">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（2）技术需求评审允许负偏离的条款数超过“投标人须知前附表”规定项数的；</w:t>
      </w:r>
    </w:p>
    <w:p w14:paraId="1B86E92B">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（3）投标文件未提供“投标人须知前附表”第13.1条规定中“必须提供”的文件资料的;</w:t>
      </w:r>
    </w:p>
    <w:p w14:paraId="591944D5">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（4）虚假投标，或者出现其他情形而导致被评标委员会认定无效的；</w:t>
      </w:r>
    </w:p>
    <w:p w14:paraId="67E0FD4B">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（5）如招标文件需要提供技术方案的，投标技术方案不明确，招标文件未允许但存在一个或者一个以上备选（替代）投标方案的。</w:t>
      </w:r>
    </w:p>
    <w:p w14:paraId="7A0AE9BB">
      <w:pPr>
        <w:spacing w:line="360" w:lineRule="auto"/>
        <w:ind w:firstLine="422" w:firstLineChars="200"/>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3.澄清补正、说明或者补正</w:t>
      </w:r>
    </w:p>
    <w:p w14:paraId="4917CD4C">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对投标文件中含义不明确、同类问题表述不一致或者有明显文字和计算错误的内容，评标委员会应在</w:t>
      </w:r>
      <w:r>
        <w:rPr>
          <w:rFonts w:hint="eastAsia" w:ascii="宋体" w:hAnsi="宋体" w:eastAsia="宋体" w:cs="宋体"/>
          <w:color w:val="auto"/>
          <w:szCs w:val="21"/>
          <w:highlight w:val="none"/>
          <w:lang w:eastAsia="zh-CN"/>
        </w:rPr>
        <w:t>广西政府采购云平台</w:t>
      </w:r>
      <w:r>
        <w:rPr>
          <w:rFonts w:hint="eastAsia" w:ascii="宋体" w:hAnsi="宋体" w:eastAsia="宋体" w:cs="宋体"/>
          <w:color w:val="auto"/>
          <w:szCs w:val="21"/>
          <w:highlight w:val="none"/>
        </w:rPr>
        <w:t>发布电子澄清函，要求投标人在规定时间内作出必要的澄清、说明或者补正。投标人在</w:t>
      </w:r>
      <w:r>
        <w:rPr>
          <w:rFonts w:hint="eastAsia" w:ascii="宋体" w:hAnsi="宋体" w:eastAsia="宋体" w:cs="宋体"/>
          <w:color w:val="auto"/>
          <w:szCs w:val="21"/>
          <w:highlight w:val="none"/>
          <w:lang w:eastAsia="zh-CN"/>
        </w:rPr>
        <w:t>广西政府采购云平台</w:t>
      </w:r>
      <w:r>
        <w:rPr>
          <w:rFonts w:hint="eastAsia" w:ascii="宋体" w:hAnsi="宋体" w:eastAsia="宋体" w:cs="宋体"/>
          <w:color w:val="auto"/>
          <w:szCs w:val="21"/>
          <w:highlight w:val="none"/>
        </w:rPr>
        <w:t>接收到电子澄清函后根据澄清函内容上传PDF格式回函，电子澄清答复函使用CA证书加盖单位公章后在线上传至评标委员会。投标人的澄清、说明或者补正不得超出投标文件的范围或者改变投标文件的实质性内容。投标人未在规定时间内进行澄清、说明或者补正的，按无效投标处理。</w:t>
      </w:r>
    </w:p>
    <w:p w14:paraId="23D7F00C">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异常情况处理：如遇无法正常使用线上发送澄清函的情况，将启动书面形式办理。启动书面形式办理的情况下，评标委员会以书面形式要求投标人在规定时间内作出必要的澄清、说明或者补正。投标人的澄清、说明或者补正必须采用书面形式，并加盖公章，或者由法定代表人或者其授权的代表签字。</w:t>
      </w:r>
    </w:p>
    <w:p w14:paraId="3C3B2240">
      <w:pPr>
        <w:spacing w:line="360" w:lineRule="auto"/>
        <w:ind w:firstLine="422" w:firstLineChars="200"/>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4.投标文件修正</w:t>
      </w:r>
    </w:p>
    <w:p w14:paraId="5C69D8E2">
      <w:pPr>
        <w:spacing w:line="360" w:lineRule="auto"/>
        <w:ind w:firstLine="420" w:firstLineChars="200"/>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rPr>
        <w:t>4.1投标文件报价出现前后不一致的，按照下列规定修正：</w:t>
      </w:r>
    </w:p>
    <w:p w14:paraId="4B0CCF27">
      <w:pPr>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（1）报价文件中“开标一览表”内容与投标文件中相应内容不一致的，以“开标一览表”为准；</w:t>
      </w:r>
    </w:p>
    <w:p w14:paraId="397462A9">
      <w:pPr>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（2）大写金额和小写金额不一致的，以大写金额为准；</w:t>
      </w:r>
    </w:p>
    <w:p w14:paraId="70A7BDA8">
      <w:pPr>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（3）单价金额小数点或者百分比有明显错位的，以开标一览表的总价为准，并修改单价；</w:t>
      </w:r>
    </w:p>
    <w:p w14:paraId="4FF83B70">
      <w:pPr>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（4）总价金额与按单价汇总金额不一致的，以单价金额计算结果为准。</w:t>
      </w:r>
    </w:p>
    <w:p w14:paraId="0CE9AEB7">
      <w:pPr>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同时出现两种以上不一致的，按照以上（1）-（4）规定的顺序修正。修正后的报价经投标人确认后产生约束力，投标人不确认的，其投标无效。</w:t>
      </w:r>
    </w:p>
    <w:p w14:paraId="4FDEE7E2">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4.2经投标人确认修正后的报价若超过采购预算金额或者最高限价，投标人的投标文件作无效投标处理。</w:t>
      </w:r>
    </w:p>
    <w:p w14:paraId="1BA79AE0">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4.3经投标人确认修正后的报价作为签订合同的依据，并以此报价计算价格分。</w:t>
      </w:r>
    </w:p>
    <w:p w14:paraId="2366A585">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5.比较与评价</w:t>
      </w:r>
    </w:p>
    <w:p w14:paraId="7C4B2C5E">
      <w:pPr>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5.1评标委员会按照招标文件中规定的评标方法和评标标准，对符合性审查合格的投标文件进行商务和技术评估，综合比较与评价。</w:t>
      </w:r>
    </w:p>
    <w:p w14:paraId="7CFE1377">
      <w:pPr>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5.2评标委员会独立对每个投标人的投标文件进行评价，并汇总每个投标人的得分。</w:t>
      </w:r>
    </w:p>
    <w:p w14:paraId="1BB8CC52">
      <w:pPr>
        <w:widowControl/>
        <w:numPr>
          <w:ilvl w:val="0"/>
          <w:numId w:val="3"/>
        </w:numPr>
        <w:spacing w:after="150" w:line="480" w:lineRule="auto"/>
        <w:ind w:firstLine="420" w:firstLineChars="200"/>
        <w:jc w:val="left"/>
        <w:rPr>
          <w:rFonts w:hint="eastAsia" w:ascii="宋体" w:hAnsi="宋体" w:eastAsia="宋体" w:cs="宋体"/>
          <w:color w:val="auto"/>
          <w:highlight w:val="none"/>
        </w:rPr>
      </w:pPr>
      <w:r>
        <w:rPr>
          <w:rFonts w:hint="eastAsia" w:ascii="宋体" w:hAnsi="宋体" w:eastAsia="宋体" w:cs="宋体"/>
          <w:color w:val="auto"/>
          <w:highlight w:val="none"/>
        </w:rPr>
        <w:t>评审委员会成员要根据政府采购法律法规和采购文件所载明的评审方法、标准进行评审。对供应商的价格分等客观评分项的评分应当一致，对其他需要借助专业知识评判的主观评分项，应当严格按照评分细则公正评分。</w:t>
      </w:r>
    </w:p>
    <w:p w14:paraId="0BBCD473">
      <w:pPr>
        <w:widowControl/>
        <w:numPr>
          <w:ilvl w:val="0"/>
          <w:numId w:val="3"/>
        </w:numPr>
        <w:spacing w:after="150" w:line="480" w:lineRule="auto"/>
        <w:ind w:firstLine="420" w:firstLineChars="200"/>
        <w:jc w:val="left"/>
        <w:rPr>
          <w:rFonts w:hint="eastAsia" w:ascii="宋体" w:hAnsi="宋体" w:eastAsia="宋体" w:cs="宋体"/>
          <w:color w:val="auto"/>
          <w:highlight w:val="none"/>
        </w:rPr>
      </w:pPr>
      <w:r>
        <w:rPr>
          <w:rFonts w:hint="eastAsia" w:ascii="宋体" w:hAnsi="宋体" w:eastAsia="宋体" w:cs="宋体"/>
          <w:color w:val="auto"/>
          <w:highlight w:val="none"/>
        </w:rPr>
        <w:t>评标委员会认为投标人的报价明显低于其他通过符合性审查投标人的报价，有可能影响产品质量或者不能诚信履约的，应当要求其在评标现场合理的时间内提供书面说明，必要时提交相关证明材料；投标人不能证明其报价合理性的，评标委员会将其作为无效投标处理。</w:t>
      </w:r>
    </w:p>
    <w:p w14:paraId="14D2F9E0">
      <w:pPr>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5.3评标委员会按照招标文件中规定的评标方法和标准计算各投标人的报价得分。在计算过程中，不得去掉最高报价或者最低报价。</w:t>
      </w:r>
    </w:p>
    <w:p w14:paraId="7A5068FE">
      <w:pPr>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5.4各投标人的得分为所有评委的有效评分的算术平均数。</w:t>
      </w:r>
    </w:p>
    <w:p w14:paraId="6C6EEEDE">
      <w:pPr>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5.5评标委员会按照招标文件中的规定推荐中标候选人。</w:t>
      </w:r>
    </w:p>
    <w:p w14:paraId="195207ED">
      <w:pPr>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5.6起草并签署评标报告。评标委员会根据评标委员会成员签字的原始评标记录和评标结果编写评标报告。评标委员会成员均应当在评标报告上签字，对自己的评标意见承担法律责任。对评标过程中需要共同认定的事项存在争议的，应当按照少数服从多数的原则做出结论。持不同意见的评标委员会应当在评标报告上签署不同意见及理由，否则视为同意评标报告。</w:t>
      </w:r>
    </w:p>
    <w:p w14:paraId="42711E96">
      <w:pPr>
        <w:spacing w:line="360" w:lineRule="auto"/>
        <w:ind w:firstLine="422" w:firstLineChars="200"/>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6.评审复核</w:t>
      </w:r>
    </w:p>
    <w:p w14:paraId="2DDCF967">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6.1评标报告签署前，评标委员会要对评审结果进行复核，复核意见要体现在评标报告中。</w:t>
      </w:r>
    </w:p>
    <w:p w14:paraId="3980E49E">
      <w:pPr>
        <w:widowControl/>
        <w:spacing w:line="560" w:lineRule="exact"/>
        <w:ind w:firstLine="420" w:firstLineChars="200"/>
        <w:jc w:val="left"/>
        <w:textAlignment w:val="baseline"/>
        <w:rPr>
          <w:rFonts w:hint="eastAsia" w:ascii="宋体" w:hAnsi="宋体" w:eastAsia="宋体" w:cs="宋体"/>
          <w:color w:val="auto"/>
          <w:highlight w:val="none"/>
        </w:rPr>
      </w:pPr>
      <w:r>
        <w:rPr>
          <w:rFonts w:hint="eastAsia" w:ascii="宋体" w:hAnsi="宋体" w:eastAsia="宋体" w:cs="宋体"/>
          <w:color w:val="auto"/>
          <w:highlight w:val="none"/>
        </w:rPr>
        <w:t>6.2评标结果汇总完成后，除下列情形外，任何人不得修改评标结果：</w:t>
      </w:r>
    </w:p>
    <w:p w14:paraId="0BEC096C">
      <w:pPr>
        <w:widowControl/>
        <w:spacing w:line="560" w:lineRule="exact"/>
        <w:jc w:val="left"/>
        <w:textAlignment w:val="baseline"/>
        <w:rPr>
          <w:rFonts w:hint="eastAsia" w:ascii="宋体" w:hAnsi="宋体" w:eastAsia="宋体" w:cs="宋体"/>
          <w:color w:val="auto"/>
          <w:highlight w:val="none"/>
        </w:rPr>
      </w:pPr>
      <w:r>
        <w:rPr>
          <w:rFonts w:hint="eastAsia" w:ascii="宋体" w:hAnsi="宋体" w:eastAsia="宋体" w:cs="宋体"/>
          <w:color w:val="auto"/>
          <w:highlight w:val="none"/>
        </w:rPr>
        <w:t>　　（一）分值汇总计算错误的；</w:t>
      </w:r>
    </w:p>
    <w:p w14:paraId="5CF4135C">
      <w:pPr>
        <w:widowControl/>
        <w:spacing w:line="560" w:lineRule="exact"/>
        <w:jc w:val="left"/>
        <w:textAlignment w:val="baseline"/>
        <w:rPr>
          <w:rFonts w:hint="eastAsia" w:ascii="宋体" w:hAnsi="宋体" w:eastAsia="宋体" w:cs="宋体"/>
          <w:color w:val="auto"/>
          <w:highlight w:val="none"/>
        </w:rPr>
      </w:pPr>
      <w:r>
        <w:rPr>
          <w:rFonts w:hint="eastAsia" w:ascii="宋体" w:hAnsi="宋体" w:eastAsia="宋体" w:cs="宋体"/>
          <w:color w:val="auto"/>
          <w:highlight w:val="none"/>
        </w:rPr>
        <w:t>　　（二）分项评分超出评分标准范围的；</w:t>
      </w:r>
    </w:p>
    <w:p w14:paraId="76BAC090">
      <w:pPr>
        <w:widowControl/>
        <w:spacing w:line="560" w:lineRule="exact"/>
        <w:jc w:val="left"/>
        <w:textAlignment w:val="baseline"/>
        <w:rPr>
          <w:rFonts w:hint="eastAsia" w:ascii="宋体" w:hAnsi="宋体" w:eastAsia="宋体" w:cs="宋体"/>
          <w:color w:val="auto"/>
          <w:highlight w:val="none"/>
        </w:rPr>
      </w:pPr>
      <w:r>
        <w:rPr>
          <w:rFonts w:hint="eastAsia" w:ascii="宋体" w:hAnsi="宋体" w:eastAsia="宋体" w:cs="宋体"/>
          <w:color w:val="auto"/>
          <w:highlight w:val="none"/>
        </w:rPr>
        <w:t>　　（三）评标委员会成员对客观评审因素评分不一致的；</w:t>
      </w:r>
    </w:p>
    <w:p w14:paraId="0C16E822">
      <w:pPr>
        <w:widowControl/>
        <w:spacing w:line="560" w:lineRule="exact"/>
        <w:jc w:val="left"/>
        <w:textAlignment w:val="baseline"/>
        <w:rPr>
          <w:rFonts w:hint="eastAsia" w:ascii="宋体" w:hAnsi="宋体" w:eastAsia="宋体" w:cs="宋体"/>
          <w:color w:val="auto"/>
          <w:highlight w:val="none"/>
        </w:rPr>
      </w:pPr>
      <w:r>
        <w:rPr>
          <w:rFonts w:hint="eastAsia" w:ascii="宋体" w:hAnsi="宋体" w:eastAsia="宋体" w:cs="宋体"/>
          <w:color w:val="auto"/>
          <w:highlight w:val="none"/>
        </w:rPr>
        <w:t>　　（四）经评标委员会认定评分畸高、畸低的。</w:t>
      </w:r>
    </w:p>
    <w:p w14:paraId="1EA93A9F">
      <w:pPr>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评标报告签署前，经复核发现存在以上情形之一的，评标委员会应当当场修改评标结果，并在评标报告中记载；评标报告签署后，采购人或者采购代理机构发现存在以上情形之一的，应当组织原评标委员会进行重新评审，重新评审改变评标结果的，书面报告本级财政部门。</w:t>
      </w:r>
    </w:p>
    <w:p w14:paraId="59AD8061">
      <w:pPr>
        <w:pStyle w:val="3"/>
        <w:jc w:val="center"/>
        <w:rPr>
          <w:rFonts w:hint="eastAsia" w:ascii="宋体" w:hAnsi="宋体" w:eastAsia="宋体" w:cs="宋体"/>
          <w:b w:val="0"/>
          <w:color w:val="auto"/>
          <w:sz w:val="30"/>
          <w:szCs w:val="30"/>
          <w:highlight w:val="none"/>
        </w:rPr>
      </w:pPr>
      <w:bookmarkStart w:id="19" w:name="_Toc4504"/>
      <w:r>
        <w:rPr>
          <w:rFonts w:hint="eastAsia" w:ascii="宋体" w:hAnsi="宋体" w:eastAsia="宋体" w:cs="宋体"/>
          <w:b w:val="0"/>
          <w:color w:val="auto"/>
          <w:sz w:val="30"/>
          <w:szCs w:val="30"/>
          <w:highlight w:val="none"/>
        </w:rPr>
        <w:t>第三节评分标准</w:t>
      </w:r>
      <w:bookmarkEnd w:id="19"/>
    </w:p>
    <w:p w14:paraId="433082FA">
      <w:pPr>
        <w:spacing w:line="360" w:lineRule="auto"/>
        <w:ind w:firstLine="602" w:firstLineChars="200"/>
        <w:jc w:val="center"/>
        <w:rPr>
          <w:rFonts w:hint="eastAsia" w:ascii="宋体" w:hAnsi="宋体" w:eastAsia="宋体" w:cs="宋体"/>
          <w:b/>
          <w:color w:val="auto"/>
          <w:sz w:val="30"/>
          <w:szCs w:val="30"/>
          <w:highlight w:val="none"/>
        </w:rPr>
      </w:pPr>
      <w:r>
        <w:rPr>
          <w:rFonts w:hint="eastAsia" w:ascii="宋体" w:hAnsi="宋体" w:eastAsia="宋体" w:cs="宋体"/>
          <w:b/>
          <w:color w:val="auto"/>
          <w:sz w:val="30"/>
          <w:szCs w:val="30"/>
          <w:highlight w:val="none"/>
        </w:rPr>
        <w:t>一、最低评标价法</w:t>
      </w:r>
    </w:p>
    <w:p w14:paraId="2E098353">
      <w:pPr>
        <w:pStyle w:val="18"/>
        <w:spacing w:line="400" w:lineRule="exact"/>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通过资格审查、符合性审查的投标人，评标委员会将按照有效报价从低到高排序并推荐中标候选人。报价相同的，评标委员会推荐方式见本章“第四节中标候选人推荐原则”。</w:t>
      </w:r>
    </w:p>
    <w:p w14:paraId="1915EAF2">
      <w:pPr>
        <w:pStyle w:val="18"/>
        <w:spacing w:line="400" w:lineRule="exact"/>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说明：</w:t>
      </w:r>
    </w:p>
    <w:p w14:paraId="4DBD97EE">
      <w:pPr>
        <w:pStyle w:val="18"/>
        <w:spacing w:line="400" w:lineRule="exact"/>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（1）对于非专门面向中小企业的项目，投标人在其投标文件中提供《中小企业声明函》，且其服务为小型和微型企业承接的，对其小型和微型企业产品的最后报价给予</w:t>
      </w:r>
      <w:r>
        <w:rPr>
          <w:rFonts w:hint="eastAsia" w:ascii="宋体" w:hAnsi="宋体" w:eastAsia="宋体" w:cs="宋体"/>
          <w:color w:val="auto"/>
          <w:highlight w:val="none"/>
          <w:lang w:val="en-US" w:eastAsia="zh-CN"/>
        </w:rPr>
        <w:t>1</w:t>
      </w:r>
      <w:r>
        <w:rPr>
          <w:rFonts w:hint="eastAsia" w:ascii="宋体" w:hAnsi="宋体" w:eastAsia="宋体" w:cs="宋体"/>
          <w:color w:val="auto"/>
          <w:highlight w:val="none"/>
        </w:rPr>
        <w:t>0%的价格扣除，扣除后的价格为评标价，即评标价＝投标报价×（1-</w:t>
      </w:r>
      <w:r>
        <w:rPr>
          <w:rFonts w:hint="eastAsia" w:ascii="宋体" w:hAnsi="宋体" w:eastAsia="宋体" w:cs="宋体"/>
          <w:color w:val="auto"/>
          <w:highlight w:val="none"/>
          <w:lang w:val="en-US" w:eastAsia="zh-CN"/>
        </w:rPr>
        <w:t>1</w:t>
      </w:r>
      <w:r>
        <w:rPr>
          <w:rFonts w:hint="eastAsia" w:ascii="宋体" w:hAnsi="宋体" w:eastAsia="宋体" w:cs="宋体"/>
          <w:color w:val="auto"/>
          <w:highlight w:val="none"/>
        </w:rPr>
        <w:t>0%）；（以投标人按第</w:t>
      </w:r>
      <w:r>
        <w:rPr>
          <w:rFonts w:hint="eastAsia" w:hAnsi="宋体" w:cs="宋体"/>
          <w:color w:val="auto"/>
          <w:highlight w:val="none"/>
          <w:lang w:val="en-US" w:eastAsia="zh-CN"/>
        </w:rPr>
        <w:t>六</w:t>
      </w:r>
      <w:r>
        <w:rPr>
          <w:rFonts w:hint="eastAsia" w:ascii="宋体" w:hAnsi="宋体" w:eastAsia="宋体" w:cs="宋体"/>
          <w:color w:val="auto"/>
          <w:highlight w:val="none"/>
        </w:rPr>
        <w:t>章“投标文件格式”要求提供的《投标报价表》和《中小企业声明函》为评审依据）</w:t>
      </w:r>
    </w:p>
    <w:p w14:paraId="73284AF5">
      <w:pPr>
        <w:pStyle w:val="18"/>
        <w:spacing w:line="400" w:lineRule="exact"/>
        <w:ind w:firstLine="420" w:firstLineChars="200"/>
        <w:rPr>
          <w:rFonts w:hint="eastAsia" w:ascii="宋体" w:hAnsi="宋体" w:eastAsia="宋体" w:cs="宋体"/>
          <w:bCs/>
          <w:color w:val="auto"/>
          <w:highlight w:val="none"/>
        </w:rPr>
      </w:pPr>
      <w:r>
        <w:rPr>
          <w:rFonts w:hint="eastAsia" w:ascii="宋体" w:hAnsi="宋体" w:eastAsia="宋体" w:cs="宋体"/>
          <w:bCs/>
          <w:color w:val="auto"/>
          <w:szCs w:val="21"/>
          <w:highlight w:val="none"/>
        </w:rPr>
        <w:t>（2）按照《财政部、司法部关于政府采购支持监狱企业发展有关问题的通知》（财库〔2014〕68号）的规定，监狱企业视同小型、微型企业，享受预留份额、评审中价格扣除等促进中小企业发展的政府采购政策。</w:t>
      </w:r>
      <w:r>
        <w:rPr>
          <w:rFonts w:hint="eastAsia" w:ascii="宋体" w:hAnsi="宋体" w:eastAsia="宋体" w:cs="宋体"/>
          <w:color w:val="auto"/>
          <w:szCs w:val="21"/>
          <w:highlight w:val="none"/>
        </w:rPr>
        <w:t>监狱企业参加政府采购活动时，应当提供由省级以上监狱管理局、戒毒管理局</w:t>
      </w:r>
      <w:r>
        <w:rPr>
          <w:rFonts w:hint="eastAsia" w:hAnsi="宋体" w:cs="宋体"/>
          <w:color w:val="auto"/>
          <w:szCs w:val="21"/>
          <w:highlight w:val="none"/>
          <w:lang w:eastAsia="zh-CN"/>
        </w:rPr>
        <w:t>（</w:t>
      </w:r>
      <w:r>
        <w:rPr>
          <w:rFonts w:hint="eastAsia" w:ascii="宋体" w:hAnsi="宋体" w:eastAsia="宋体" w:cs="宋体"/>
          <w:color w:val="auto"/>
          <w:szCs w:val="21"/>
          <w:highlight w:val="none"/>
        </w:rPr>
        <w:t>含新疆生产建设兵团</w:t>
      </w:r>
      <w:r>
        <w:rPr>
          <w:rFonts w:hint="eastAsia" w:hAnsi="宋体" w:cs="宋体"/>
          <w:color w:val="auto"/>
          <w:szCs w:val="21"/>
          <w:highlight w:val="none"/>
          <w:lang w:eastAsia="zh-CN"/>
        </w:rPr>
        <w:t>）</w:t>
      </w:r>
      <w:r>
        <w:rPr>
          <w:rFonts w:hint="eastAsia" w:ascii="宋体" w:hAnsi="宋体" w:eastAsia="宋体" w:cs="宋体"/>
          <w:color w:val="auto"/>
          <w:szCs w:val="21"/>
          <w:highlight w:val="none"/>
        </w:rPr>
        <w:t>出具的属于监狱企业的证明文件。</w:t>
      </w:r>
    </w:p>
    <w:p w14:paraId="12646EF5">
      <w:pPr>
        <w:pStyle w:val="18"/>
        <w:spacing w:line="400" w:lineRule="exact"/>
        <w:ind w:firstLine="420" w:firstLineChars="200"/>
        <w:rPr>
          <w:rFonts w:hint="eastAsia" w:ascii="宋体" w:hAnsi="宋体" w:eastAsia="宋体" w:cs="宋体"/>
          <w:color w:val="auto"/>
          <w:highlight w:val="none"/>
        </w:rPr>
      </w:pPr>
      <w:r>
        <w:rPr>
          <w:rFonts w:hint="eastAsia" w:ascii="宋体" w:hAnsi="宋体" w:eastAsia="宋体" w:cs="宋体"/>
          <w:color w:val="auto"/>
          <w:szCs w:val="21"/>
          <w:highlight w:val="none"/>
        </w:rPr>
        <w:t>（3）按照</w:t>
      </w:r>
      <w:r>
        <w:rPr>
          <w:rFonts w:hint="eastAsia" w:ascii="宋体" w:hAnsi="宋体" w:eastAsia="宋体" w:cs="宋体"/>
          <w:bCs/>
          <w:color w:val="auto"/>
          <w:szCs w:val="21"/>
          <w:highlight w:val="none"/>
        </w:rPr>
        <w:t>《关于促进残疾人就业政府采购政策的通知》（财库〔2017〕141号）的规定，残疾人福利性单位视同小型、微型企业，享受预留份额、评审中价格扣除等促进中小企业发展的政府采购政策。</w:t>
      </w:r>
      <w:r>
        <w:rPr>
          <w:rFonts w:hint="eastAsia" w:ascii="宋体" w:hAnsi="宋体" w:eastAsia="宋体" w:cs="宋体"/>
          <w:color w:val="auto"/>
          <w:szCs w:val="21"/>
          <w:highlight w:val="none"/>
        </w:rPr>
        <w:t>残疾人福利性单位参加政府采购活动时，应当提供《残疾人福利性单位声明函》，并对声明的真实性负责。</w:t>
      </w:r>
      <w:r>
        <w:rPr>
          <w:rFonts w:hint="eastAsia" w:ascii="宋体" w:hAnsi="宋体" w:eastAsia="宋体" w:cs="宋体"/>
          <w:bCs/>
          <w:color w:val="auto"/>
          <w:szCs w:val="21"/>
          <w:highlight w:val="none"/>
        </w:rPr>
        <w:t>残疾人福利性单位属于小型、微型企业的，不重复享受政策。</w:t>
      </w:r>
      <w:r>
        <w:rPr>
          <w:rFonts w:hint="eastAsia" w:ascii="宋体" w:hAnsi="宋体" w:eastAsia="宋体" w:cs="宋体"/>
          <w:bCs/>
          <w:color w:val="auto"/>
          <w:highlight w:val="none"/>
        </w:rPr>
        <w:t>（以投标人按第</w:t>
      </w:r>
      <w:r>
        <w:rPr>
          <w:rFonts w:hint="eastAsia" w:hAnsi="宋体" w:cs="宋体"/>
          <w:bCs/>
          <w:color w:val="auto"/>
          <w:highlight w:val="none"/>
          <w:lang w:val="en-US" w:eastAsia="zh-CN"/>
        </w:rPr>
        <w:t>六</w:t>
      </w:r>
      <w:r>
        <w:rPr>
          <w:rFonts w:hint="eastAsia" w:ascii="宋体" w:hAnsi="宋体" w:eastAsia="宋体" w:cs="宋体"/>
          <w:bCs/>
          <w:color w:val="auto"/>
          <w:highlight w:val="none"/>
        </w:rPr>
        <w:t>章“投标文件格式”要求提供的《投标报价表》和《</w:t>
      </w:r>
      <w:r>
        <w:rPr>
          <w:rFonts w:hint="eastAsia" w:ascii="宋体" w:hAnsi="宋体" w:eastAsia="宋体" w:cs="宋体"/>
          <w:color w:val="auto"/>
          <w:szCs w:val="21"/>
          <w:highlight w:val="none"/>
        </w:rPr>
        <w:t>残疾人福利性单位声明函</w:t>
      </w:r>
      <w:r>
        <w:rPr>
          <w:rFonts w:hint="eastAsia" w:ascii="宋体" w:hAnsi="宋体" w:eastAsia="宋体" w:cs="宋体"/>
          <w:bCs/>
          <w:color w:val="auto"/>
          <w:highlight w:val="none"/>
        </w:rPr>
        <w:t>》为评审依据）</w:t>
      </w:r>
    </w:p>
    <w:p w14:paraId="72E51DEC">
      <w:pPr>
        <w:pStyle w:val="18"/>
        <w:spacing w:line="400" w:lineRule="exact"/>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（4）除上述情况外，评标价＝投标报价。</w:t>
      </w:r>
    </w:p>
    <w:p w14:paraId="4D2AECF5">
      <w:pPr>
        <w:rPr>
          <w:rFonts w:hint="eastAsia" w:ascii="宋体" w:hAnsi="宋体" w:eastAsia="宋体" w:cs="宋体"/>
          <w:color w:val="auto"/>
          <w:highlight w:val="none"/>
        </w:rPr>
      </w:pPr>
    </w:p>
    <w:p w14:paraId="2DC4C353">
      <w:pPr>
        <w:pStyle w:val="18"/>
        <w:ind w:firstLine="602" w:firstLineChars="200"/>
        <w:jc w:val="center"/>
        <w:rPr>
          <w:rFonts w:hint="eastAsia" w:ascii="宋体" w:hAnsi="宋体" w:eastAsia="宋体" w:cs="宋体"/>
          <w:b/>
          <w:color w:val="auto"/>
          <w:sz w:val="30"/>
          <w:szCs w:val="30"/>
          <w:highlight w:val="none"/>
        </w:rPr>
      </w:pPr>
      <w:r>
        <w:rPr>
          <w:rFonts w:hint="eastAsia" w:ascii="宋体" w:hAnsi="宋体" w:eastAsia="宋体" w:cs="宋体"/>
          <w:b/>
          <w:color w:val="auto"/>
          <w:sz w:val="30"/>
          <w:szCs w:val="30"/>
          <w:highlight w:val="none"/>
        </w:rPr>
        <w:t>二、综合评分法</w:t>
      </w:r>
    </w:p>
    <w:p w14:paraId="15DBD42C">
      <w:pPr>
        <w:pStyle w:val="18"/>
        <w:spacing w:line="360" w:lineRule="auto"/>
        <w:ind w:firstLine="420"/>
        <w:rPr>
          <w:rFonts w:hint="eastAsia" w:ascii="宋体" w:hAnsi="宋体" w:eastAsia="宋体" w:cs="宋体"/>
          <w:bCs/>
          <w:color w:val="auto"/>
          <w:highlight w:val="none"/>
        </w:rPr>
      </w:pPr>
      <w:bookmarkStart w:id="20" w:name="PO_3000001866_PM051"/>
      <w:r>
        <w:rPr>
          <w:rFonts w:hint="eastAsia" w:ascii="宋体" w:hAnsi="宋体" w:eastAsia="宋体" w:cs="宋体"/>
          <w:bCs/>
          <w:color w:val="auto"/>
          <w:highlight w:val="none"/>
        </w:rPr>
        <w:t>注：</w:t>
      </w:r>
    </w:p>
    <w:p w14:paraId="4E01E11C">
      <w:pPr>
        <w:pStyle w:val="18"/>
        <w:spacing w:line="360" w:lineRule="auto"/>
        <w:ind w:firstLine="420"/>
        <w:rPr>
          <w:rFonts w:hint="eastAsia" w:ascii="宋体" w:hAnsi="宋体" w:eastAsia="宋体" w:cs="宋体"/>
          <w:bCs/>
          <w:color w:val="auto"/>
          <w:highlight w:val="none"/>
        </w:rPr>
      </w:pPr>
      <w:r>
        <w:rPr>
          <w:rFonts w:hint="eastAsia" w:ascii="宋体" w:hAnsi="宋体" w:eastAsia="宋体" w:cs="宋体"/>
          <w:bCs/>
          <w:color w:val="auto"/>
          <w:highlight w:val="none"/>
        </w:rPr>
        <w:t>1、计分方法按四舍五入取至百分位。</w:t>
      </w:r>
    </w:p>
    <w:p w14:paraId="5916FFC0">
      <w:pPr>
        <w:pStyle w:val="18"/>
        <w:spacing w:line="360" w:lineRule="auto"/>
        <w:ind w:firstLine="420"/>
        <w:rPr>
          <w:rFonts w:hint="eastAsia" w:ascii="宋体" w:hAnsi="宋体" w:eastAsia="宋体" w:cs="宋体"/>
          <w:bCs/>
          <w:color w:val="auto"/>
          <w:highlight w:val="none"/>
          <w:u w:val="single"/>
          <w:lang w:eastAsia="zh-CN"/>
        </w:rPr>
      </w:pPr>
      <w:r>
        <w:rPr>
          <w:rFonts w:hint="eastAsia" w:ascii="宋体" w:hAnsi="宋体" w:eastAsia="宋体" w:cs="宋体"/>
          <w:bCs/>
          <w:color w:val="auto"/>
          <w:highlight w:val="none"/>
        </w:rPr>
        <w:t>总得分=</w:t>
      </w:r>
      <w:r>
        <w:rPr>
          <w:rFonts w:hint="eastAsia" w:ascii="宋体" w:hAnsi="宋体" w:eastAsia="宋体" w:cs="宋体"/>
          <w:bCs/>
          <w:color w:val="auto"/>
          <w:highlight w:val="none"/>
          <w:u w:val="single"/>
        </w:rPr>
        <w:t>价格</w:t>
      </w:r>
      <w:r>
        <w:rPr>
          <w:rFonts w:hint="eastAsia" w:ascii="宋体" w:hAnsi="宋体" w:eastAsia="宋体" w:cs="宋体"/>
          <w:bCs/>
          <w:color w:val="auto"/>
          <w:highlight w:val="none"/>
          <w:u w:val="single"/>
          <w:lang w:val="en-US" w:eastAsia="zh-CN"/>
        </w:rPr>
        <w:t>分</w:t>
      </w:r>
      <w:r>
        <w:rPr>
          <w:rFonts w:hint="eastAsia" w:ascii="宋体" w:hAnsi="宋体" w:eastAsia="宋体" w:cs="宋体"/>
          <w:bCs/>
          <w:color w:val="auto"/>
          <w:highlight w:val="none"/>
          <w:u w:val="single"/>
        </w:rPr>
        <w:t>+技术</w:t>
      </w:r>
      <w:r>
        <w:rPr>
          <w:rFonts w:hint="eastAsia" w:ascii="宋体" w:hAnsi="宋体" w:eastAsia="宋体" w:cs="宋体"/>
          <w:bCs/>
          <w:color w:val="auto"/>
          <w:highlight w:val="none"/>
          <w:u w:val="single"/>
          <w:lang w:eastAsia="zh-CN"/>
        </w:rPr>
        <w:t>分</w:t>
      </w:r>
      <w:r>
        <w:rPr>
          <w:rFonts w:hint="eastAsia" w:ascii="宋体" w:hAnsi="宋体" w:eastAsia="宋体" w:cs="宋体"/>
          <w:bCs/>
          <w:color w:val="auto"/>
          <w:highlight w:val="none"/>
          <w:u w:val="single"/>
        </w:rPr>
        <w:t>+</w:t>
      </w:r>
      <w:r>
        <w:rPr>
          <w:rFonts w:hint="eastAsia" w:ascii="宋体" w:hAnsi="宋体" w:eastAsia="宋体" w:cs="宋体"/>
          <w:bCs/>
          <w:color w:val="auto"/>
          <w:highlight w:val="none"/>
          <w:u w:val="single"/>
          <w:lang w:val="en-US" w:eastAsia="zh-CN"/>
        </w:rPr>
        <w:t>商务</w:t>
      </w:r>
      <w:r>
        <w:rPr>
          <w:rFonts w:hint="eastAsia" w:ascii="宋体" w:hAnsi="宋体" w:eastAsia="宋体" w:cs="宋体"/>
          <w:bCs/>
          <w:color w:val="auto"/>
          <w:highlight w:val="none"/>
          <w:u w:val="single"/>
          <w:lang w:eastAsia="zh-CN"/>
        </w:rPr>
        <w:t>分</w:t>
      </w:r>
    </w:p>
    <w:p w14:paraId="38841C30">
      <w:pPr>
        <w:pStyle w:val="18"/>
        <w:numPr>
          <w:ilvl w:val="0"/>
          <w:numId w:val="4"/>
        </w:numPr>
        <w:spacing w:line="360" w:lineRule="auto"/>
        <w:ind w:firstLine="420"/>
        <w:rPr>
          <w:rFonts w:hint="eastAsia" w:ascii="宋体" w:hAnsi="宋体" w:eastAsia="宋体" w:cs="宋体"/>
          <w:bCs/>
          <w:color w:val="auto"/>
          <w:highlight w:val="none"/>
        </w:rPr>
      </w:pPr>
      <w:r>
        <w:rPr>
          <w:rFonts w:hint="eastAsia" w:ascii="宋体" w:hAnsi="宋体" w:eastAsia="宋体" w:cs="宋体"/>
          <w:bCs/>
          <w:color w:val="auto"/>
          <w:highlight w:val="none"/>
        </w:rPr>
        <w:t>商务技术评审因素为客观评分项的，应在评分项目或评分标准中予以标注为“客观分”。对投标人的客观评分项目，各评标专家评分应当一致。</w:t>
      </w:r>
    </w:p>
    <w:p w14:paraId="21ED4419">
      <w:pPr>
        <w:numPr>
          <w:ilvl w:val="0"/>
          <w:numId w:val="0"/>
        </w:numPr>
        <w:jc w:val="center"/>
        <w:rPr>
          <w:rFonts w:hint="eastAsia" w:ascii="宋体" w:hAnsi="宋体" w:eastAsia="宋体" w:cs="宋体"/>
          <w:b/>
          <w:bCs/>
          <w:color w:val="auto"/>
          <w:sz w:val="32"/>
          <w:szCs w:val="32"/>
          <w:highlight w:val="none"/>
          <w:lang w:val="en-US" w:eastAsia="zh-CN"/>
        </w:rPr>
      </w:pPr>
      <w:r>
        <w:rPr>
          <w:rFonts w:hint="eastAsia" w:ascii="宋体" w:hAnsi="宋体" w:eastAsia="宋体" w:cs="宋体"/>
          <w:b/>
          <w:bCs/>
          <w:color w:val="auto"/>
          <w:sz w:val="32"/>
          <w:szCs w:val="32"/>
          <w:highlight w:val="none"/>
          <w:lang w:val="en-US" w:eastAsia="zh-CN"/>
        </w:rPr>
        <w:t>分标1适用</w:t>
      </w:r>
    </w:p>
    <w:tbl>
      <w:tblPr>
        <w:tblStyle w:val="35"/>
        <w:tblW w:w="5086" w:type="pct"/>
        <w:tblInd w:w="-11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56"/>
        <w:gridCol w:w="1189"/>
        <w:gridCol w:w="6805"/>
        <w:gridCol w:w="1273"/>
      </w:tblGrid>
      <w:tr w14:paraId="385E2B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77" w:type="pct"/>
            <w:tcBorders>
              <w:top w:val="single" w:color="auto" w:sz="4" w:space="0"/>
              <w:left w:val="single" w:color="auto" w:sz="4" w:space="0"/>
              <w:bottom w:val="single" w:color="auto" w:sz="4" w:space="0"/>
              <w:right w:val="single" w:color="auto" w:sz="4" w:space="0"/>
            </w:tcBorders>
            <w:noWrap w:val="0"/>
            <w:vAlign w:val="top"/>
          </w:tcPr>
          <w:p w14:paraId="4C29CAE2">
            <w:pPr>
              <w:pStyle w:val="18"/>
              <w:keepNext w:val="0"/>
              <w:keepLines w:val="0"/>
              <w:pageBreakBefore w:val="0"/>
              <w:kinsoku/>
              <w:wordWrap/>
              <w:overflowPunct/>
              <w:topLinePunct w:val="0"/>
              <w:autoSpaceDE/>
              <w:autoSpaceDN/>
              <w:bidi w:val="0"/>
              <w:adjustRightInd/>
              <w:snapToGrid/>
              <w:spacing w:line="360" w:lineRule="exact"/>
              <w:jc w:val="center"/>
              <w:textAlignment w:val="auto"/>
              <w:rPr>
                <w:rFonts w:hint="eastAsia" w:ascii="宋体" w:hAnsi="宋体" w:eastAsia="宋体" w:cs="宋体"/>
                <w:bCs/>
                <w:color w:val="auto"/>
                <w:highlight w:val="none"/>
              </w:rPr>
            </w:pPr>
            <w:r>
              <w:rPr>
                <w:rFonts w:hint="eastAsia" w:ascii="宋体" w:hAnsi="宋体" w:eastAsia="宋体" w:cs="宋体"/>
                <w:bCs/>
                <w:color w:val="auto"/>
                <w:highlight w:val="none"/>
              </w:rPr>
              <w:t>序号</w:t>
            </w:r>
          </w:p>
        </w:tc>
        <w:tc>
          <w:tcPr>
            <w:tcW w:w="593" w:type="pct"/>
            <w:tcBorders>
              <w:top w:val="single" w:color="auto" w:sz="4" w:space="0"/>
              <w:left w:val="single" w:color="auto" w:sz="4" w:space="0"/>
              <w:bottom w:val="single" w:color="auto" w:sz="4" w:space="0"/>
              <w:right w:val="single" w:color="auto" w:sz="4" w:space="0"/>
            </w:tcBorders>
            <w:noWrap w:val="0"/>
            <w:vAlign w:val="top"/>
          </w:tcPr>
          <w:p w14:paraId="75CA1402">
            <w:pPr>
              <w:pStyle w:val="18"/>
              <w:keepNext w:val="0"/>
              <w:keepLines w:val="0"/>
              <w:pageBreakBefore w:val="0"/>
              <w:kinsoku/>
              <w:wordWrap/>
              <w:overflowPunct/>
              <w:topLinePunct w:val="0"/>
              <w:autoSpaceDE/>
              <w:autoSpaceDN/>
              <w:bidi w:val="0"/>
              <w:adjustRightInd/>
              <w:snapToGrid/>
              <w:spacing w:line="360" w:lineRule="exact"/>
              <w:jc w:val="center"/>
              <w:textAlignment w:val="auto"/>
              <w:rPr>
                <w:rFonts w:hint="eastAsia" w:ascii="宋体" w:hAnsi="宋体" w:eastAsia="宋体" w:cs="宋体"/>
                <w:bCs/>
                <w:color w:val="auto"/>
                <w:highlight w:val="none"/>
              </w:rPr>
            </w:pPr>
            <w:r>
              <w:rPr>
                <w:rFonts w:hint="eastAsia" w:ascii="宋体" w:hAnsi="宋体" w:eastAsia="宋体" w:cs="宋体"/>
                <w:bCs/>
                <w:color w:val="auto"/>
                <w:highlight w:val="none"/>
              </w:rPr>
              <w:t>评分类型</w:t>
            </w:r>
          </w:p>
        </w:tc>
        <w:tc>
          <w:tcPr>
            <w:tcW w:w="3394" w:type="pct"/>
            <w:tcBorders>
              <w:top w:val="single" w:color="auto" w:sz="4" w:space="0"/>
              <w:left w:val="single" w:color="auto" w:sz="4" w:space="0"/>
              <w:bottom w:val="single" w:color="auto" w:sz="4" w:space="0"/>
              <w:right w:val="single" w:color="auto" w:sz="4" w:space="0"/>
            </w:tcBorders>
            <w:noWrap w:val="0"/>
            <w:vAlign w:val="top"/>
          </w:tcPr>
          <w:p w14:paraId="70279266">
            <w:pPr>
              <w:pStyle w:val="18"/>
              <w:keepNext w:val="0"/>
              <w:keepLines w:val="0"/>
              <w:pageBreakBefore w:val="0"/>
              <w:kinsoku/>
              <w:wordWrap/>
              <w:overflowPunct/>
              <w:topLinePunct w:val="0"/>
              <w:autoSpaceDE/>
              <w:autoSpaceDN/>
              <w:bidi w:val="0"/>
              <w:adjustRightInd/>
              <w:snapToGrid/>
              <w:spacing w:line="360" w:lineRule="exact"/>
              <w:jc w:val="center"/>
              <w:textAlignment w:val="auto"/>
              <w:rPr>
                <w:rFonts w:hint="eastAsia" w:ascii="宋体" w:hAnsi="宋体" w:eastAsia="宋体" w:cs="宋体"/>
                <w:bCs/>
                <w:color w:val="auto"/>
                <w:highlight w:val="none"/>
              </w:rPr>
            </w:pPr>
            <w:r>
              <w:rPr>
                <w:rFonts w:hint="eastAsia" w:ascii="宋体" w:hAnsi="宋体" w:eastAsia="宋体" w:cs="宋体"/>
                <w:bCs/>
                <w:color w:val="auto"/>
                <w:highlight w:val="none"/>
              </w:rPr>
              <w:t>评分标准</w:t>
            </w:r>
          </w:p>
        </w:tc>
        <w:tc>
          <w:tcPr>
            <w:tcW w:w="635" w:type="pct"/>
            <w:tcBorders>
              <w:top w:val="single" w:color="auto" w:sz="4" w:space="0"/>
              <w:left w:val="single" w:color="auto" w:sz="4" w:space="0"/>
              <w:bottom w:val="single" w:color="auto" w:sz="4" w:space="0"/>
              <w:right w:val="single" w:color="auto" w:sz="4" w:space="0"/>
            </w:tcBorders>
            <w:noWrap w:val="0"/>
            <w:vAlign w:val="top"/>
          </w:tcPr>
          <w:p w14:paraId="2831FF93">
            <w:pPr>
              <w:pStyle w:val="18"/>
              <w:keepNext w:val="0"/>
              <w:keepLines w:val="0"/>
              <w:pageBreakBefore w:val="0"/>
              <w:kinsoku/>
              <w:wordWrap/>
              <w:overflowPunct/>
              <w:topLinePunct w:val="0"/>
              <w:autoSpaceDE/>
              <w:autoSpaceDN/>
              <w:bidi w:val="0"/>
              <w:adjustRightInd/>
              <w:snapToGrid/>
              <w:spacing w:line="360" w:lineRule="exact"/>
              <w:jc w:val="center"/>
              <w:textAlignment w:val="auto"/>
              <w:rPr>
                <w:rFonts w:hint="eastAsia" w:ascii="宋体" w:hAnsi="宋体" w:eastAsia="宋体" w:cs="宋体"/>
                <w:bCs/>
                <w:color w:val="auto"/>
                <w:highlight w:val="none"/>
              </w:rPr>
            </w:pPr>
            <w:r>
              <w:rPr>
                <w:rFonts w:hint="eastAsia" w:ascii="宋体" w:hAnsi="宋体" w:eastAsia="宋体" w:cs="宋体"/>
                <w:bCs/>
                <w:color w:val="auto"/>
                <w:highlight w:val="none"/>
              </w:rPr>
              <w:t>分值</w:t>
            </w:r>
          </w:p>
        </w:tc>
      </w:tr>
      <w:tr w14:paraId="2A7582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77" w:type="pct"/>
            <w:tcBorders>
              <w:top w:val="single" w:color="auto" w:sz="4" w:space="0"/>
              <w:left w:val="single" w:color="auto" w:sz="4" w:space="0"/>
              <w:bottom w:val="single" w:color="auto" w:sz="4" w:space="0"/>
              <w:right w:val="single" w:color="auto" w:sz="4" w:space="0"/>
            </w:tcBorders>
            <w:noWrap w:val="0"/>
            <w:vAlign w:val="center"/>
          </w:tcPr>
          <w:p w14:paraId="7FA4FB11">
            <w:pPr>
              <w:pStyle w:val="18"/>
              <w:keepNext w:val="0"/>
              <w:keepLines w:val="0"/>
              <w:pageBreakBefore w:val="0"/>
              <w:kinsoku/>
              <w:wordWrap/>
              <w:overflowPunct/>
              <w:topLinePunct w:val="0"/>
              <w:autoSpaceDE/>
              <w:autoSpaceDN/>
              <w:bidi w:val="0"/>
              <w:adjustRightInd/>
              <w:snapToGrid/>
              <w:spacing w:line="360" w:lineRule="exact"/>
              <w:jc w:val="center"/>
              <w:textAlignment w:val="auto"/>
              <w:rPr>
                <w:rFonts w:hint="eastAsia" w:ascii="宋体" w:hAnsi="宋体" w:eastAsia="宋体" w:cs="宋体"/>
                <w:bCs/>
                <w:color w:val="auto"/>
                <w:highlight w:val="none"/>
              </w:rPr>
            </w:pPr>
            <w:r>
              <w:rPr>
                <w:rFonts w:hint="eastAsia" w:ascii="宋体" w:hAnsi="宋体" w:eastAsia="宋体" w:cs="宋体"/>
                <w:bCs/>
                <w:color w:val="auto"/>
                <w:highlight w:val="none"/>
              </w:rPr>
              <w:t>1</w:t>
            </w:r>
          </w:p>
        </w:tc>
        <w:tc>
          <w:tcPr>
            <w:tcW w:w="593" w:type="pct"/>
            <w:tcBorders>
              <w:top w:val="single" w:color="auto" w:sz="4" w:space="0"/>
              <w:left w:val="single" w:color="auto" w:sz="4" w:space="0"/>
              <w:bottom w:val="single" w:color="auto" w:sz="4" w:space="0"/>
              <w:right w:val="single" w:color="auto" w:sz="4" w:space="0"/>
            </w:tcBorders>
            <w:noWrap w:val="0"/>
            <w:vAlign w:val="center"/>
          </w:tcPr>
          <w:p w14:paraId="6F038DCD">
            <w:pPr>
              <w:pStyle w:val="18"/>
              <w:keepNext w:val="0"/>
              <w:keepLines w:val="0"/>
              <w:pageBreakBefore w:val="0"/>
              <w:kinsoku/>
              <w:wordWrap/>
              <w:overflowPunct/>
              <w:topLinePunct w:val="0"/>
              <w:autoSpaceDE/>
              <w:autoSpaceDN/>
              <w:bidi w:val="0"/>
              <w:adjustRightInd/>
              <w:snapToGrid/>
              <w:spacing w:line="360" w:lineRule="exact"/>
              <w:jc w:val="center"/>
              <w:textAlignment w:val="auto"/>
              <w:rPr>
                <w:rFonts w:hint="eastAsia" w:ascii="宋体" w:hAnsi="宋体" w:eastAsia="宋体" w:cs="宋体"/>
                <w:bCs/>
                <w:color w:val="auto"/>
                <w:highlight w:val="none"/>
              </w:rPr>
            </w:pPr>
            <w:r>
              <w:rPr>
                <w:rFonts w:hint="eastAsia" w:ascii="宋体" w:hAnsi="宋体" w:eastAsia="宋体" w:cs="宋体"/>
                <w:color w:val="auto"/>
                <w:kern w:val="0"/>
                <w:szCs w:val="21"/>
                <w:highlight w:val="none"/>
              </w:rPr>
              <w:t>价格分</w:t>
            </w:r>
          </w:p>
        </w:tc>
        <w:tc>
          <w:tcPr>
            <w:tcW w:w="3394" w:type="pct"/>
            <w:tcBorders>
              <w:top w:val="single" w:color="auto" w:sz="4" w:space="0"/>
              <w:left w:val="single" w:color="auto" w:sz="4" w:space="0"/>
              <w:bottom w:val="single" w:color="auto" w:sz="4" w:space="0"/>
              <w:right w:val="single" w:color="auto" w:sz="4" w:space="0"/>
            </w:tcBorders>
            <w:noWrap w:val="0"/>
            <w:vAlign w:val="top"/>
          </w:tcPr>
          <w:p w14:paraId="5FABE08F">
            <w:pPr>
              <w:pStyle w:val="18"/>
              <w:keepNext w:val="0"/>
              <w:keepLines w:val="0"/>
              <w:pageBreakBefore w:val="0"/>
              <w:kinsoku/>
              <w:wordWrap/>
              <w:overflowPunct/>
              <w:topLinePunct w:val="0"/>
              <w:autoSpaceDE/>
              <w:autoSpaceDN/>
              <w:bidi w:val="0"/>
              <w:adjustRightInd/>
              <w:snapToGrid/>
              <w:spacing w:line="360" w:lineRule="exact"/>
              <w:ind w:firstLine="420" w:firstLineChars="200"/>
              <w:textAlignment w:val="auto"/>
              <w:rPr>
                <w:rFonts w:hint="eastAsia" w:ascii="宋体" w:hAnsi="宋体" w:eastAsia="宋体" w:cs="宋体"/>
                <w:bCs/>
                <w:color w:val="auto"/>
                <w:highlight w:val="none"/>
              </w:rPr>
            </w:pPr>
            <w:r>
              <w:rPr>
                <w:rFonts w:hint="eastAsia" w:ascii="宋体" w:hAnsi="宋体" w:eastAsia="宋体" w:cs="宋体"/>
                <w:bCs/>
                <w:color w:val="auto"/>
                <w:highlight w:val="none"/>
              </w:rPr>
              <w:t>（1）评标报价为投标人的投标报价进行政策性扣除后的价格，评标报价只是作为评标时使用。最终中标人的中标金额等于投标报价。</w:t>
            </w:r>
          </w:p>
          <w:p w14:paraId="5E5A4A40">
            <w:pPr>
              <w:pStyle w:val="18"/>
              <w:keepNext w:val="0"/>
              <w:keepLines w:val="0"/>
              <w:pageBreakBefore w:val="0"/>
              <w:kinsoku/>
              <w:wordWrap/>
              <w:overflowPunct/>
              <w:topLinePunct w:val="0"/>
              <w:autoSpaceDE/>
              <w:autoSpaceDN/>
              <w:bidi w:val="0"/>
              <w:adjustRightInd/>
              <w:snapToGrid/>
              <w:spacing w:line="360" w:lineRule="exact"/>
              <w:ind w:firstLine="420" w:firstLineChars="200"/>
              <w:textAlignment w:val="auto"/>
              <w:rPr>
                <w:rFonts w:hint="eastAsia" w:ascii="宋体" w:hAnsi="宋体" w:eastAsia="宋体" w:cs="宋体"/>
                <w:bCs/>
                <w:color w:val="auto"/>
                <w:highlight w:val="none"/>
              </w:rPr>
            </w:pPr>
            <w:r>
              <w:rPr>
                <w:rFonts w:hint="eastAsia" w:ascii="宋体" w:hAnsi="宋体" w:eastAsia="宋体" w:cs="宋体"/>
                <w:bCs/>
                <w:color w:val="auto"/>
                <w:highlight w:val="none"/>
              </w:rPr>
              <w:t>（2）按照《政府采购促进中小企业发展管理办法》（财库〔2020〕46号）的规定，投标人在其投标文件中提供《中小企业声明函》，且其服务为小型和微型企业承接的，对其最后报价给予10%的扣除。</w:t>
            </w:r>
          </w:p>
          <w:p w14:paraId="062EBCA6">
            <w:pPr>
              <w:pStyle w:val="18"/>
              <w:keepNext w:val="0"/>
              <w:keepLines w:val="0"/>
              <w:pageBreakBefore w:val="0"/>
              <w:kinsoku/>
              <w:wordWrap/>
              <w:overflowPunct/>
              <w:topLinePunct w:val="0"/>
              <w:autoSpaceDE/>
              <w:autoSpaceDN/>
              <w:bidi w:val="0"/>
              <w:adjustRightInd/>
              <w:snapToGrid/>
              <w:spacing w:line="360" w:lineRule="exact"/>
              <w:ind w:firstLine="420" w:firstLineChars="200"/>
              <w:textAlignment w:val="auto"/>
              <w:rPr>
                <w:rFonts w:hint="eastAsia" w:ascii="宋体" w:hAnsi="宋体" w:eastAsia="宋体" w:cs="宋体"/>
                <w:bCs/>
                <w:color w:val="auto"/>
                <w:highlight w:val="none"/>
              </w:rPr>
            </w:pPr>
            <w:r>
              <w:rPr>
                <w:rFonts w:hint="eastAsia" w:ascii="宋体" w:hAnsi="宋体" w:eastAsia="宋体" w:cs="宋体"/>
                <w:bCs/>
                <w:color w:val="auto"/>
                <w:highlight w:val="none"/>
              </w:rPr>
              <w:t>（3）按照《财政部、司法部关于政府采购支持监狱企业发展有关问题的通知》（财库〔2014〕68号）的规定，监狱企业视同小型、微型企业，享受预留份额、评审中价格扣除等促进中小企业发展的政府采购政策。监狱企业参加政府采购活动时，应当提供由省级以上监狱管理局、戒毒管理局(含新疆生产建设兵团)出具的属于监狱企业的证明文件。不重复享受政策。</w:t>
            </w:r>
          </w:p>
          <w:p w14:paraId="2A2D562D">
            <w:pPr>
              <w:pStyle w:val="18"/>
              <w:keepNext w:val="0"/>
              <w:keepLines w:val="0"/>
              <w:pageBreakBefore w:val="0"/>
              <w:kinsoku/>
              <w:wordWrap/>
              <w:overflowPunct/>
              <w:topLinePunct w:val="0"/>
              <w:autoSpaceDE/>
              <w:autoSpaceDN/>
              <w:bidi w:val="0"/>
              <w:adjustRightInd/>
              <w:snapToGrid/>
              <w:spacing w:line="360" w:lineRule="exact"/>
              <w:ind w:firstLine="420" w:firstLineChars="200"/>
              <w:textAlignment w:val="auto"/>
              <w:rPr>
                <w:rFonts w:hint="eastAsia" w:ascii="宋体" w:hAnsi="宋体" w:eastAsia="宋体" w:cs="宋体"/>
                <w:bCs/>
                <w:color w:val="auto"/>
                <w:highlight w:val="none"/>
              </w:rPr>
            </w:pPr>
            <w:r>
              <w:rPr>
                <w:rFonts w:hint="eastAsia" w:ascii="宋体" w:hAnsi="宋体" w:eastAsia="宋体" w:cs="宋体"/>
                <w:bCs/>
                <w:color w:val="auto"/>
                <w:highlight w:val="none"/>
              </w:rPr>
              <w:t>（4）按照《关于促进残疾人就业政府采购政策的通知》（财库〔2017〕141号）的规定，残疾人福利性单位视同小型、微型企业，享受预留份额、评审中价格扣除等促进中小企业发展的政府采购政策。残疾人福利性单位参加政府采购活动时，应当提供该通知规定的《残疾人福利性单位声明函》，并对声明的真实性负责。残疾人福利性单位属于小型、微型企业的，不重复享受政策。</w:t>
            </w:r>
          </w:p>
          <w:p w14:paraId="405E18F6">
            <w:pPr>
              <w:pStyle w:val="18"/>
              <w:keepNext w:val="0"/>
              <w:keepLines w:val="0"/>
              <w:pageBreakBefore w:val="0"/>
              <w:kinsoku/>
              <w:wordWrap/>
              <w:overflowPunct/>
              <w:topLinePunct w:val="0"/>
              <w:autoSpaceDE/>
              <w:autoSpaceDN/>
              <w:bidi w:val="0"/>
              <w:adjustRightInd/>
              <w:snapToGrid/>
              <w:spacing w:line="360" w:lineRule="exact"/>
              <w:ind w:firstLine="420" w:firstLineChars="200"/>
              <w:textAlignment w:val="auto"/>
              <w:rPr>
                <w:rFonts w:hint="eastAsia" w:ascii="宋体" w:hAnsi="宋体" w:eastAsia="宋体" w:cs="宋体"/>
                <w:bCs/>
                <w:color w:val="auto"/>
                <w:highlight w:val="none"/>
              </w:rPr>
            </w:pPr>
            <w:r>
              <w:rPr>
                <w:rFonts w:hint="eastAsia" w:ascii="宋体" w:hAnsi="宋体" w:eastAsia="宋体" w:cs="宋体"/>
                <w:bCs/>
                <w:color w:val="auto"/>
                <w:highlight w:val="none"/>
              </w:rPr>
              <w:t>（5）政策性扣除计算方法。</w:t>
            </w:r>
          </w:p>
          <w:p w14:paraId="072CE4A3">
            <w:pPr>
              <w:pStyle w:val="18"/>
              <w:keepNext w:val="0"/>
              <w:keepLines w:val="0"/>
              <w:pageBreakBefore w:val="0"/>
              <w:kinsoku/>
              <w:wordWrap/>
              <w:overflowPunct/>
              <w:topLinePunct w:val="0"/>
              <w:autoSpaceDE/>
              <w:autoSpaceDN/>
              <w:bidi w:val="0"/>
              <w:adjustRightInd/>
              <w:snapToGrid/>
              <w:spacing w:line="360" w:lineRule="exact"/>
              <w:ind w:firstLine="420" w:firstLineChars="200"/>
              <w:textAlignment w:val="auto"/>
              <w:rPr>
                <w:rFonts w:hint="eastAsia" w:ascii="宋体" w:hAnsi="宋体" w:eastAsia="宋体" w:cs="宋体"/>
                <w:bCs/>
                <w:color w:val="auto"/>
                <w:highlight w:val="none"/>
              </w:rPr>
            </w:pPr>
            <w:r>
              <w:rPr>
                <w:rFonts w:hint="eastAsia" w:ascii="宋体" w:hAnsi="宋体" w:eastAsia="宋体" w:cs="宋体"/>
                <w:bCs/>
                <w:color w:val="auto"/>
                <w:highlight w:val="none"/>
              </w:rPr>
              <w:t>在服务采购项目中，服务由小微企业承接；对符合上述要求的投标人的投标报价给予10%的扣除，扣除后的价格为评标报价，即评标报价=投标报价×（1-10%）。接受大中型企业与小微企业组成联合体或者允许大中型企业向一家或者多家小微企业分包的采购项目，联合协议或者分包意向协议约定小微企业的合同份额占到合同总金额30%以上的，采购人、采购代理机构应当对联合体或者大中型企业的报价给予 4 %的扣除，用扣除后的价格参加评审，扣除后的价格为评标报价，即评标报价=投标报价×（1- 4%）。除上述情况外，评标报价=投标报价。</w:t>
            </w:r>
          </w:p>
          <w:p w14:paraId="0517FFE1">
            <w:pPr>
              <w:pStyle w:val="18"/>
              <w:keepNext w:val="0"/>
              <w:keepLines w:val="0"/>
              <w:pageBreakBefore w:val="0"/>
              <w:kinsoku/>
              <w:wordWrap/>
              <w:overflowPunct/>
              <w:topLinePunct w:val="0"/>
              <w:autoSpaceDE/>
              <w:autoSpaceDN/>
              <w:bidi w:val="0"/>
              <w:adjustRightInd/>
              <w:snapToGrid/>
              <w:spacing w:line="360" w:lineRule="exact"/>
              <w:ind w:firstLine="420" w:firstLineChars="200"/>
              <w:textAlignment w:val="auto"/>
              <w:rPr>
                <w:rFonts w:hint="eastAsia" w:ascii="宋体" w:hAnsi="宋体" w:eastAsia="宋体" w:cs="宋体"/>
                <w:bCs/>
                <w:color w:val="auto"/>
                <w:highlight w:val="none"/>
              </w:rPr>
            </w:pPr>
            <w:r>
              <w:rPr>
                <w:rFonts w:hint="eastAsia" w:ascii="宋体" w:hAnsi="宋体" w:eastAsia="宋体" w:cs="宋体"/>
                <w:bCs/>
                <w:color w:val="auto"/>
                <w:highlight w:val="none"/>
              </w:rPr>
              <w:t>（6）满足招标文件要求且评标报价最低的评标报价为评标基准价，其价格分为满分。</w:t>
            </w:r>
          </w:p>
          <w:p w14:paraId="13C7189A">
            <w:pPr>
              <w:pStyle w:val="18"/>
              <w:keepNext w:val="0"/>
              <w:keepLines w:val="0"/>
              <w:pageBreakBefore w:val="0"/>
              <w:kinsoku/>
              <w:wordWrap/>
              <w:overflowPunct/>
              <w:topLinePunct w:val="0"/>
              <w:autoSpaceDE/>
              <w:autoSpaceDN/>
              <w:bidi w:val="0"/>
              <w:adjustRightInd/>
              <w:snapToGrid/>
              <w:spacing w:line="360" w:lineRule="exact"/>
              <w:ind w:firstLine="420" w:firstLineChars="200"/>
              <w:textAlignment w:val="auto"/>
              <w:rPr>
                <w:rFonts w:hint="eastAsia" w:ascii="宋体" w:hAnsi="宋体" w:eastAsia="宋体" w:cs="宋体"/>
                <w:bCs/>
                <w:color w:val="auto"/>
                <w:highlight w:val="none"/>
              </w:rPr>
            </w:pPr>
            <w:r>
              <w:rPr>
                <w:rFonts w:hint="eastAsia" w:ascii="宋体" w:hAnsi="宋体" w:eastAsia="宋体" w:cs="宋体"/>
                <w:bCs/>
                <w:color w:val="auto"/>
                <w:highlight w:val="none"/>
              </w:rPr>
              <w:t xml:space="preserve">（7）价格分计算公式：        </w:t>
            </w:r>
          </w:p>
          <w:p w14:paraId="2868C284">
            <w:pPr>
              <w:pStyle w:val="18"/>
              <w:keepNext w:val="0"/>
              <w:keepLines w:val="0"/>
              <w:pageBreakBefore w:val="0"/>
              <w:kinsoku/>
              <w:wordWrap/>
              <w:overflowPunct/>
              <w:topLinePunct w:val="0"/>
              <w:autoSpaceDE/>
              <w:autoSpaceDN/>
              <w:bidi w:val="0"/>
              <w:adjustRightInd/>
              <w:snapToGrid/>
              <w:spacing w:line="360" w:lineRule="exact"/>
              <w:ind w:firstLine="420" w:firstLineChars="200"/>
              <w:textAlignment w:val="auto"/>
              <w:rPr>
                <w:rFonts w:hint="eastAsia" w:ascii="宋体" w:hAnsi="宋体" w:eastAsia="宋体" w:cs="宋体"/>
                <w:bCs/>
                <w:color w:val="auto"/>
                <w:highlight w:val="none"/>
              </w:rPr>
            </w:pPr>
            <w:r>
              <w:rPr>
                <w:rFonts w:hint="eastAsia" w:ascii="宋体" w:hAnsi="宋体" w:eastAsia="宋体" w:cs="宋体"/>
                <w:bCs/>
                <w:color w:val="auto"/>
                <w:highlight w:val="none"/>
              </w:rPr>
              <w:t>价格分=[评标基准价／评标报价]×10分</w:t>
            </w:r>
          </w:p>
          <w:p w14:paraId="7FC64C7D">
            <w:pPr>
              <w:pStyle w:val="18"/>
              <w:keepNext w:val="0"/>
              <w:keepLines w:val="0"/>
              <w:pageBreakBefore w:val="0"/>
              <w:kinsoku/>
              <w:wordWrap/>
              <w:overflowPunct/>
              <w:topLinePunct w:val="0"/>
              <w:autoSpaceDE/>
              <w:autoSpaceDN/>
              <w:bidi w:val="0"/>
              <w:adjustRightInd/>
              <w:snapToGrid/>
              <w:spacing w:line="360" w:lineRule="exact"/>
              <w:ind w:firstLine="420" w:firstLineChars="200"/>
              <w:textAlignment w:val="auto"/>
              <w:rPr>
                <w:rFonts w:hint="eastAsia" w:ascii="宋体" w:hAnsi="宋体" w:eastAsia="宋体" w:cs="宋体"/>
                <w:bCs/>
                <w:color w:val="auto"/>
                <w:highlight w:val="none"/>
                <w:lang w:eastAsia="zh-CN"/>
              </w:rPr>
            </w:pPr>
            <w:r>
              <w:rPr>
                <w:rFonts w:hint="eastAsia" w:ascii="宋体" w:hAnsi="宋体" w:eastAsia="宋体" w:cs="宋体"/>
                <w:bCs/>
                <w:color w:val="auto"/>
                <w:highlight w:val="none"/>
                <w:lang w:eastAsia="zh-CN"/>
              </w:rPr>
              <w:t>（</w:t>
            </w:r>
            <w:r>
              <w:rPr>
                <w:rFonts w:hint="eastAsia" w:ascii="宋体" w:hAnsi="宋体" w:eastAsia="宋体" w:cs="宋体"/>
                <w:bCs/>
                <w:color w:val="auto"/>
                <w:highlight w:val="none"/>
                <w:lang w:val="en-US" w:eastAsia="zh-CN"/>
              </w:rPr>
              <w:t>8</w:t>
            </w:r>
            <w:r>
              <w:rPr>
                <w:rFonts w:hint="eastAsia" w:ascii="宋体" w:hAnsi="宋体" w:eastAsia="宋体" w:cs="宋体"/>
                <w:bCs/>
                <w:color w:val="auto"/>
                <w:highlight w:val="none"/>
                <w:lang w:eastAsia="zh-CN"/>
              </w:rPr>
              <w:t>）</w:t>
            </w:r>
            <w:r>
              <w:rPr>
                <w:rFonts w:hint="eastAsia" w:ascii="宋体" w:hAnsi="宋体" w:eastAsia="宋体" w:cs="宋体"/>
                <w:bCs/>
                <w:color w:val="auto"/>
                <w:highlight w:val="none"/>
              </w:rPr>
              <w:t>评标委员会认为投标人的报价明显低于其他通过符合性审查投标人的报价，有可能影响产品质量或者不能诚信履约的，应当要求其在评标现场合理的时间内提供书面说明【提交详细的报价明细说明文件及测算表，包括项目的服务、货物、运输、安装验收等、人工成本包括项目人员的数量、工作时间及其工资和福利支出成本，以及服务项目实施过程中可能涉及的其他费用】，必要时提交相关证明材料；投标人不能证明其报价合理性的，评标委员会应当将其作为无效投标处理。</w:t>
            </w:r>
          </w:p>
        </w:tc>
        <w:tc>
          <w:tcPr>
            <w:tcW w:w="635" w:type="pct"/>
            <w:tcBorders>
              <w:top w:val="single" w:color="auto" w:sz="4" w:space="0"/>
              <w:left w:val="single" w:color="auto" w:sz="4" w:space="0"/>
              <w:bottom w:val="single" w:color="auto" w:sz="4" w:space="0"/>
              <w:right w:val="single" w:color="auto" w:sz="4" w:space="0"/>
            </w:tcBorders>
            <w:noWrap w:val="0"/>
            <w:vAlign w:val="center"/>
          </w:tcPr>
          <w:p w14:paraId="728AA0A7">
            <w:pPr>
              <w:pStyle w:val="18"/>
              <w:keepNext w:val="0"/>
              <w:keepLines w:val="0"/>
              <w:pageBreakBefore w:val="0"/>
              <w:kinsoku/>
              <w:wordWrap/>
              <w:overflowPunct/>
              <w:topLinePunct w:val="0"/>
              <w:autoSpaceDE/>
              <w:autoSpaceDN/>
              <w:bidi w:val="0"/>
              <w:adjustRightInd/>
              <w:snapToGrid/>
              <w:spacing w:line="360" w:lineRule="exact"/>
              <w:jc w:val="center"/>
              <w:textAlignment w:val="auto"/>
              <w:rPr>
                <w:rFonts w:hint="eastAsia" w:ascii="宋体" w:hAnsi="宋体" w:eastAsia="宋体" w:cs="宋体"/>
                <w:bCs/>
                <w:color w:val="auto"/>
                <w:highlight w:val="none"/>
                <w:lang w:val="en-US" w:eastAsia="zh-CN"/>
              </w:rPr>
            </w:pPr>
            <w:r>
              <w:rPr>
                <w:rFonts w:hint="eastAsia" w:ascii="宋体" w:hAnsi="宋体" w:eastAsia="宋体" w:cs="宋体"/>
                <w:bCs/>
                <w:color w:val="auto"/>
                <w:highlight w:val="none"/>
              </w:rPr>
              <w:t>10</w:t>
            </w:r>
            <w:r>
              <w:rPr>
                <w:rFonts w:hint="eastAsia" w:ascii="宋体" w:hAnsi="宋体" w:eastAsia="宋体" w:cs="宋体"/>
                <w:bCs/>
                <w:color w:val="auto"/>
                <w:highlight w:val="none"/>
                <w:lang w:val="en-US" w:eastAsia="zh-CN"/>
              </w:rPr>
              <w:t>分</w:t>
            </w:r>
          </w:p>
        </w:tc>
      </w:tr>
      <w:tr w14:paraId="1BC6CA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77" w:type="pct"/>
            <w:tcBorders>
              <w:top w:val="single" w:color="auto" w:sz="4" w:space="0"/>
              <w:left w:val="single" w:color="auto" w:sz="4" w:space="0"/>
              <w:bottom w:val="single" w:color="auto" w:sz="4" w:space="0"/>
              <w:right w:val="single" w:color="auto" w:sz="4" w:space="0"/>
            </w:tcBorders>
            <w:noWrap w:val="0"/>
            <w:vAlign w:val="center"/>
          </w:tcPr>
          <w:p w14:paraId="13EBE0B5">
            <w:pPr>
              <w:pStyle w:val="18"/>
              <w:keepNext w:val="0"/>
              <w:keepLines w:val="0"/>
              <w:pageBreakBefore w:val="0"/>
              <w:kinsoku/>
              <w:wordWrap/>
              <w:overflowPunct/>
              <w:topLinePunct w:val="0"/>
              <w:autoSpaceDE/>
              <w:autoSpaceDN/>
              <w:bidi w:val="0"/>
              <w:adjustRightInd/>
              <w:snapToGrid/>
              <w:spacing w:line="360" w:lineRule="exact"/>
              <w:jc w:val="center"/>
              <w:textAlignment w:val="auto"/>
              <w:rPr>
                <w:rFonts w:hint="eastAsia" w:ascii="宋体" w:hAnsi="宋体" w:eastAsia="宋体" w:cs="宋体"/>
                <w:bCs/>
                <w:color w:val="auto"/>
                <w:highlight w:val="none"/>
              </w:rPr>
            </w:pPr>
            <w:r>
              <w:rPr>
                <w:rFonts w:hint="eastAsia" w:ascii="宋体" w:hAnsi="宋体" w:eastAsia="宋体" w:cs="宋体"/>
                <w:bCs/>
                <w:color w:val="auto"/>
                <w:highlight w:val="none"/>
              </w:rPr>
              <w:t>2</w:t>
            </w:r>
          </w:p>
        </w:tc>
        <w:tc>
          <w:tcPr>
            <w:tcW w:w="593" w:type="pct"/>
            <w:tcBorders>
              <w:top w:val="single" w:color="auto" w:sz="4" w:space="0"/>
              <w:left w:val="single" w:color="auto" w:sz="4" w:space="0"/>
              <w:bottom w:val="single" w:color="auto" w:sz="4" w:space="0"/>
              <w:right w:val="single" w:color="auto" w:sz="4" w:space="0"/>
            </w:tcBorders>
            <w:noWrap w:val="0"/>
            <w:vAlign w:val="center"/>
          </w:tcPr>
          <w:p w14:paraId="261AD3E3">
            <w:pPr>
              <w:pStyle w:val="18"/>
              <w:keepNext w:val="0"/>
              <w:keepLines w:val="0"/>
              <w:pageBreakBefore w:val="0"/>
              <w:kinsoku/>
              <w:wordWrap/>
              <w:overflowPunct/>
              <w:topLinePunct w:val="0"/>
              <w:autoSpaceDE/>
              <w:autoSpaceDN/>
              <w:bidi w:val="0"/>
              <w:adjustRightInd/>
              <w:snapToGrid/>
              <w:spacing w:line="360" w:lineRule="exact"/>
              <w:jc w:val="center"/>
              <w:textAlignment w:val="auto"/>
              <w:rPr>
                <w:rFonts w:hint="eastAsia" w:ascii="宋体" w:hAnsi="宋体" w:eastAsia="宋体" w:cs="宋体"/>
                <w:bCs/>
                <w:color w:val="auto"/>
                <w:highlight w:val="none"/>
              </w:rPr>
            </w:pPr>
            <w:r>
              <w:rPr>
                <w:rFonts w:hint="eastAsia" w:ascii="宋体" w:hAnsi="宋体" w:eastAsia="宋体" w:cs="宋体"/>
                <w:bCs/>
                <w:color w:val="auto"/>
                <w:highlight w:val="none"/>
              </w:rPr>
              <w:t>配套产品性能分</w:t>
            </w:r>
          </w:p>
          <w:p w14:paraId="10E40A66">
            <w:pPr>
              <w:pStyle w:val="18"/>
              <w:keepNext w:val="0"/>
              <w:keepLines w:val="0"/>
              <w:pageBreakBefore w:val="0"/>
              <w:kinsoku/>
              <w:wordWrap/>
              <w:overflowPunct/>
              <w:topLinePunct w:val="0"/>
              <w:autoSpaceDE/>
              <w:autoSpaceDN/>
              <w:bidi w:val="0"/>
              <w:adjustRightInd/>
              <w:snapToGrid/>
              <w:spacing w:line="360" w:lineRule="exact"/>
              <w:jc w:val="center"/>
              <w:textAlignment w:val="auto"/>
              <w:rPr>
                <w:rFonts w:hint="eastAsia" w:ascii="宋体" w:hAnsi="宋体" w:eastAsia="宋体" w:cs="宋体"/>
                <w:bCs/>
                <w:color w:val="auto"/>
                <w:highlight w:val="none"/>
              </w:rPr>
            </w:pPr>
          </w:p>
        </w:tc>
        <w:tc>
          <w:tcPr>
            <w:tcW w:w="3394" w:type="pct"/>
            <w:tcBorders>
              <w:top w:val="single" w:color="auto" w:sz="4" w:space="0"/>
              <w:left w:val="single" w:color="auto" w:sz="4" w:space="0"/>
              <w:bottom w:val="single" w:color="auto" w:sz="4" w:space="0"/>
              <w:right w:val="single" w:color="auto" w:sz="4" w:space="0"/>
            </w:tcBorders>
            <w:noWrap w:val="0"/>
            <w:vAlign w:val="top"/>
          </w:tcPr>
          <w:p w14:paraId="705814D9">
            <w:pPr>
              <w:pStyle w:val="18"/>
              <w:keepNext w:val="0"/>
              <w:keepLines w:val="0"/>
              <w:pageBreakBefore w:val="0"/>
              <w:kinsoku/>
              <w:wordWrap/>
              <w:overflowPunct/>
              <w:topLinePunct w:val="0"/>
              <w:autoSpaceDE/>
              <w:autoSpaceDN/>
              <w:bidi w:val="0"/>
              <w:adjustRightInd/>
              <w:snapToGrid/>
              <w:spacing w:line="360" w:lineRule="exact"/>
              <w:ind w:firstLine="420" w:firstLineChars="200"/>
              <w:textAlignment w:val="auto"/>
              <w:rPr>
                <w:rFonts w:hint="eastAsia" w:ascii="宋体" w:hAnsi="宋体" w:eastAsia="宋体" w:cs="宋体"/>
                <w:bCs/>
                <w:color w:val="auto"/>
                <w:highlight w:val="none"/>
                <w:lang w:eastAsia="zh-CN"/>
              </w:rPr>
            </w:pPr>
            <w:r>
              <w:rPr>
                <w:rFonts w:hint="eastAsia" w:ascii="宋体" w:hAnsi="宋体" w:eastAsia="宋体" w:cs="宋体"/>
                <w:bCs/>
                <w:color w:val="auto"/>
                <w:highlight w:val="none"/>
              </w:rPr>
              <w:t>非实质性要求的技术要求有负偏离的，得分=该项满分分值-累计扣分分值，扣完满分分值为止，偏离的项目数不超过招标文件技术要求允许偏离的项目数，如技术要求偏离表中的投标响应与佐证材料不一致的，以佐证材料为准，具体的评分标准如下：</w:t>
            </w:r>
          </w:p>
          <w:p w14:paraId="423411A9">
            <w:pPr>
              <w:pStyle w:val="18"/>
              <w:keepNext w:val="0"/>
              <w:keepLines w:val="0"/>
              <w:pageBreakBefore w:val="0"/>
              <w:kinsoku/>
              <w:wordWrap/>
              <w:overflowPunct/>
              <w:topLinePunct w:val="0"/>
              <w:autoSpaceDE/>
              <w:autoSpaceDN/>
              <w:bidi w:val="0"/>
              <w:adjustRightInd/>
              <w:snapToGrid/>
              <w:spacing w:line="360" w:lineRule="exact"/>
              <w:ind w:firstLine="420" w:firstLineChars="200"/>
              <w:textAlignment w:val="auto"/>
              <w:rPr>
                <w:rFonts w:hint="eastAsia" w:ascii="宋体" w:hAnsi="宋体" w:eastAsia="宋体" w:cs="宋体"/>
                <w:bCs/>
                <w:color w:val="auto"/>
                <w:highlight w:val="none"/>
              </w:rPr>
            </w:pPr>
            <w:r>
              <w:rPr>
                <w:rFonts w:hint="eastAsia" w:hAnsi="宋体" w:cs="宋体"/>
                <w:bCs/>
                <w:color w:val="auto"/>
                <w:highlight w:val="none"/>
                <w:lang w:eastAsia="zh-CN"/>
              </w:rPr>
              <w:t>（</w:t>
            </w:r>
            <w:r>
              <w:rPr>
                <w:rFonts w:hint="eastAsia" w:hAnsi="宋体" w:cs="宋体"/>
                <w:bCs/>
                <w:color w:val="auto"/>
                <w:highlight w:val="none"/>
                <w:lang w:val="en-US" w:eastAsia="zh-CN"/>
              </w:rPr>
              <w:t>1</w:t>
            </w:r>
            <w:r>
              <w:rPr>
                <w:rFonts w:hint="eastAsia" w:hAnsi="宋体" w:cs="宋体"/>
                <w:bCs/>
                <w:color w:val="auto"/>
                <w:highlight w:val="none"/>
                <w:lang w:eastAsia="zh-CN"/>
              </w:rPr>
              <w:t>）</w:t>
            </w:r>
            <w:r>
              <w:rPr>
                <w:rFonts w:hint="eastAsia" w:ascii="宋体" w:hAnsi="宋体" w:eastAsia="宋体" w:cs="宋体"/>
                <w:bCs/>
                <w:color w:val="auto"/>
                <w:highlight w:val="none"/>
              </w:rPr>
              <w:t>一般技术参数及配置（指招标项目采购需求未标注“▲”及“●”的技术参数及配置）完全满足招标文件要求的得满分3分，出现负偏离每项扣0.5分</w:t>
            </w:r>
            <w:r>
              <w:rPr>
                <w:rFonts w:hint="eastAsia" w:ascii="宋体" w:hAnsi="宋体" w:eastAsia="宋体" w:cs="宋体"/>
                <w:bCs/>
                <w:color w:val="auto"/>
                <w:highlight w:val="none"/>
                <w:lang w:eastAsia="zh-CN"/>
              </w:rPr>
              <w:t>，</w:t>
            </w:r>
            <w:r>
              <w:rPr>
                <w:rFonts w:hint="eastAsia" w:ascii="宋体" w:hAnsi="宋体" w:eastAsia="宋体" w:cs="宋体"/>
                <w:bCs/>
                <w:color w:val="auto"/>
                <w:highlight w:val="none"/>
                <w:lang w:val="en-US" w:eastAsia="zh-CN"/>
              </w:rPr>
              <w:t>扣完3分为止</w:t>
            </w:r>
            <w:r>
              <w:rPr>
                <w:rFonts w:hint="eastAsia" w:ascii="宋体" w:hAnsi="宋体" w:eastAsia="宋体" w:cs="宋体"/>
                <w:bCs/>
                <w:color w:val="auto"/>
                <w:highlight w:val="none"/>
              </w:rPr>
              <w:t>。（以技术要求偏离表的偏离情况进行评定）</w:t>
            </w:r>
          </w:p>
          <w:p w14:paraId="15592743">
            <w:pPr>
              <w:pStyle w:val="18"/>
              <w:keepNext w:val="0"/>
              <w:keepLines w:val="0"/>
              <w:pageBreakBefore w:val="0"/>
              <w:kinsoku/>
              <w:wordWrap/>
              <w:overflowPunct/>
              <w:topLinePunct w:val="0"/>
              <w:autoSpaceDE/>
              <w:autoSpaceDN/>
              <w:bidi w:val="0"/>
              <w:adjustRightInd/>
              <w:snapToGrid/>
              <w:spacing w:line="360" w:lineRule="exact"/>
              <w:ind w:firstLine="420" w:firstLineChars="200"/>
              <w:textAlignment w:val="auto"/>
              <w:rPr>
                <w:rFonts w:hint="eastAsia" w:ascii="宋体" w:hAnsi="宋体" w:eastAsia="宋体" w:cs="宋体"/>
                <w:bCs/>
                <w:color w:val="auto"/>
                <w:highlight w:val="none"/>
              </w:rPr>
            </w:pPr>
            <w:r>
              <w:rPr>
                <w:rFonts w:hint="eastAsia" w:ascii="宋体" w:hAnsi="宋体" w:eastAsia="宋体" w:cs="宋体"/>
                <w:bCs/>
                <w:color w:val="auto"/>
                <w:highlight w:val="none"/>
              </w:rPr>
              <w:t>（2）重要技术指标、功能项提供佐证材料的（指招标项目采购需求及附件标注“●”的技术参数及配置)每提供一项佐证材料的得0.5分，满分4分。（投标文件中硬件设备部分须提供第三方检测机构出具的合格有效的检测（验）报告复印件并加盖投标人公章作为佐证，软件部分应提供相关证明材料的截图作为验证材料并加盖投标人公章）。</w:t>
            </w:r>
          </w:p>
        </w:tc>
        <w:tc>
          <w:tcPr>
            <w:tcW w:w="635" w:type="pct"/>
            <w:tcBorders>
              <w:top w:val="single" w:color="auto" w:sz="4" w:space="0"/>
              <w:left w:val="single" w:color="auto" w:sz="4" w:space="0"/>
              <w:bottom w:val="single" w:color="auto" w:sz="4" w:space="0"/>
              <w:right w:val="single" w:color="auto" w:sz="4" w:space="0"/>
            </w:tcBorders>
            <w:noWrap w:val="0"/>
            <w:vAlign w:val="center"/>
          </w:tcPr>
          <w:p w14:paraId="10D8BB20">
            <w:pPr>
              <w:pStyle w:val="18"/>
              <w:keepNext w:val="0"/>
              <w:keepLines w:val="0"/>
              <w:pageBreakBefore w:val="0"/>
              <w:kinsoku/>
              <w:wordWrap/>
              <w:overflowPunct/>
              <w:topLinePunct w:val="0"/>
              <w:autoSpaceDE/>
              <w:autoSpaceDN/>
              <w:bidi w:val="0"/>
              <w:adjustRightInd/>
              <w:snapToGrid/>
              <w:spacing w:line="360" w:lineRule="exact"/>
              <w:jc w:val="center"/>
              <w:textAlignment w:val="auto"/>
              <w:rPr>
                <w:rFonts w:hint="eastAsia" w:ascii="宋体" w:hAnsi="宋体" w:eastAsia="宋体" w:cs="宋体"/>
                <w:bCs/>
                <w:color w:val="auto"/>
                <w:highlight w:val="none"/>
                <w:lang w:val="en-US" w:eastAsia="zh-CN"/>
              </w:rPr>
            </w:pPr>
            <w:r>
              <w:rPr>
                <w:rFonts w:hint="eastAsia" w:ascii="宋体" w:hAnsi="宋体" w:eastAsia="宋体" w:cs="宋体"/>
                <w:bCs/>
                <w:color w:val="auto"/>
                <w:highlight w:val="none"/>
                <w:lang w:val="en-US" w:eastAsia="zh-CN"/>
              </w:rPr>
              <w:t>7分</w:t>
            </w:r>
          </w:p>
        </w:tc>
      </w:tr>
      <w:tr w14:paraId="040B77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77" w:type="pct"/>
            <w:tcBorders>
              <w:top w:val="single" w:color="auto" w:sz="4" w:space="0"/>
              <w:left w:val="single" w:color="auto" w:sz="4" w:space="0"/>
              <w:bottom w:val="single" w:color="auto" w:sz="4" w:space="0"/>
              <w:right w:val="single" w:color="auto" w:sz="4" w:space="0"/>
            </w:tcBorders>
            <w:noWrap w:val="0"/>
            <w:vAlign w:val="center"/>
          </w:tcPr>
          <w:p w14:paraId="54BE527E">
            <w:pPr>
              <w:pStyle w:val="18"/>
              <w:keepNext w:val="0"/>
              <w:keepLines w:val="0"/>
              <w:pageBreakBefore w:val="0"/>
              <w:kinsoku/>
              <w:wordWrap/>
              <w:overflowPunct/>
              <w:topLinePunct w:val="0"/>
              <w:autoSpaceDE/>
              <w:autoSpaceDN/>
              <w:bidi w:val="0"/>
              <w:adjustRightInd/>
              <w:snapToGrid/>
              <w:spacing w:line="360" w:lineRule="exact"/>
              <w:jc w:val="center"/>
              <w:textAlignment w:val="auto"/>
              <w:rPr>
                <w:rFonts w:hint="eastAsia" w:ascii="宋体" w:hAnsi="宋体" w:eastAsia="宋体" w:cs="宋体"/>
                <w:b w:val="0"/>
                <w:bCs/>
                <w:color w:val="auto"/>
                <w:highlight w:val="none"/>
              </w:rPr>
            </w:pPr>
            <w:r>
              <w:rPr>
                <w:rFonts w:hint="eastAsia" w:ascii="宋体" w:hAnsi="宋体" w:eastAsia="宋体" w:cs="宋体"/>
                <w:b w:val="0"/>
                <w:bCs/>
                <w:color w:val="auto"/>
                <w:highlight w:val="none"/>
              </w:rPr>
              <w:t>3</w:t>
            </w:r>
          </w:p>
        </w:tc>
        <w:tc>
          <w:tcPr>
            <w:tcW w:w="593" w:type="pct"/>
            <w:tcBorders>
              <w:top w:val="single" w:color="auto" w:sz="4" w:space="0"/>
              <w:left w:val="single" w:color="auto" w:sz="4" w:space="0"/>
              <w:bottom w:val="single" w:color="auto" w:sz="4" w:space="0"/>
              <w:right w:val="single" w:color="auto" w:sz="4" w:space="0"/>
            </w:tcBorders>
            <w:noWrap w:val="0"/>
            <w:vAlign w:val="center"/>
          </w:tcPr>
          <w:p w14:paraId="3D6E6AF8">
            <w:pPr>
              <w:pStyle w:val="18"/>
              <w:keepNext w:val="0"/>
              <w:keepLines w:val="0"/>
              <w:pageBreakBefore w:val="0"/>
              <w:kinsoku/>
              <w:wordWrap/>
              <w:overflowPunct/>
              <w:topLinePunct w:val="0"/>
              <w:autoSpaceDE/>
              <w:autoSpaceDN/>
              <w:bidi w:val="0"/>
              <w:adjustRightInd/>
              <w:snapToGrid/>
              <w:spacing w:line="360" w:lineRule="exact"/>
              <w:jc w:val="center"/>
              <w:textAlignment w:val="auto"/>
              <w:rPr>
                <w:rFonts w:hint="eastAsia" w:ascii="宋体" w:hAnsi="宋体" w:eastAsia="宋体" w:cs="宋体"/>
                <w:b w:val="0"/>
                <w:bCs/>
                <w:color w:val="auto"/>
                <w:highlight w:val="none"/>
              </w:rPr>
            </w:pPr>
            <w:r>
              <w:rPr>
                <w:rFonts w:hint="eastAsia" w:ascii="宋体" w:hAnsi="宋体" w:eastAsia="宋体" w:cs="宋体"/>
                <w:b w:val="0"/>
                <w:bCs/>
                <w:color w:val="auto"/>
                <w:szCs w:val="21"/>
                <w:highlight w:val="none"/>
              </w:rPr>
              <w:t>技术方案分</w:t>
            </w:r>
          </w:p>
        </w:tc>
        <w:tc>
          <w:tcPr>
            <w:tcW w:w="3394" w:type="pct"/>
            <w:tcBorders>
              <w:top w:val="single" w:color="auto" w:sz="4" w:space="0"/>
              <w:left w:val="single" w:color="auto" w:sz="4" w:space="0"/>
              <w:bottom w:val="single" w:color="auto" w:sz="4" w:space="0"/>
              <w:right w:val="single" w:color="auto" w:sz="4" w:space="0"/>
            </w:tcBorders>
            <w:noWrap w:val="0"/>
            <w:vAlign w:val="top"/>
          </w:tcPr>
          <w:p w14:paraId="733491FB">
            <w:pPr>
              <w:pStyle w:val="18"/>
              <w:keepNext w:val="0"/>
              <w:keepLines w:val="0"/>
              <w:pageBreakBefore w:val="0"/>
              <w:kinsoku/>
              <w:wordWrap/>
              <w:overflowPunct/>
              <w:topLinePunct w:val="0"/>
              <w:autoSpaceDE/>
              <w:autoSpaceDN/>
              <w:bidi w:val="0"/>
              <w:adjustRightInd/>
              <w:snapToGrid/>
              <w:spacing w:line="360" w:lineRule="exact"/>
              <w:ind w:firstLine="420" w:firstLineChars="200"/>
              <w:textAlignment w:val="auto"/>
              <w:rPr>
                <w:rFonts w:hint="eastAsia" w:ascii="宋体" w:hAnsi="宋体" w:eastAsia="宋体" w:cs="宋体"/>
                <w:bCs/>
                <w:color w:val="auto"/>
                <w:highlight w:val="none"/>
              </w:rPr>
            </w:pPr>
            <w:r>
              <w:rPr>
                <w:rFonts w:hint="eastAsia" w:ascii="宋体" w:hAnsi="宋体" w:eastAsia="宋体" w:cs="宋体"/>
                <w:bCs/>
                <w:color w:val="auto"/>
                <w:highlight w:val="none"/>
              </w:rPr>
              <w:t>一档（6分）：提供有项目技术方案，方案内容包含对本项目的业务现状、 建设目标、建设意义、建设内容进行分析，具有总体架构设计以及对功  能模块的说明</w:t>
            </w:r>
            <w:r>
              <w:rPr>
                <w:rFonts w:hint="eastAsia" w:ascii="宋体" w:hAnsi="宋体" w:eastAsia="宋体" w:cs="宋体"/>
                <w:bCs/>
                <w:color w:val="auto"/>
                <w:highlight w:val="none"/>
                <w:lang w:val="en-US" w:eastAsia="zh-CN"/>
              </w:rPr>
              <w:t>。</w:t>
            </w:r>
          </w:p>
          <w:p w14:paraId="061A2045">
            <w:pPr>
              <w:pStyle w:val="18"/>
              <w:keepNext w:val="0"/>
              <w:keepLines w:val="0"/>
              <w:pageBreakBefore w:val="0"/>
              <w:kinsoku/>
              <w:wordWrap/>
              <w:overflowPunct/>
              <w:topLinePunct w:val="0"/>
              <w:autoSpaceDE/>
              <w:autoSpaceDN/>
              <w:bidi w:val="0"/>
              <w:adjustRightInd/>
              <w:snapToGrid/>
              <w:spacing w:line="360" w:lineRule="exact"/>
              <w:ind w:firstLine="420" w:firstLineChars="200"/>
              <w:textAlignment w:val="auto"/>
              <w:rPr>
                <w:rFonts w:hint="eastAsia" w:ascii="宋体" w:hAnsi="宋体" w:eastAsia="宋体" w:cs="宋体"/>
                <w:bCs/>
                <w:color w:val="auto"/>
                <w:highlight w:val="none"/>
              </w:rPr>
            </w:pPr>
            <w:r>
              <w:rPr>
                <w:rFonts w:hint="eastAsia" w:ascii="宋体" w:hAnsi="宋体" w:eastAsia="宋体" w:cs="宋体"/>
                <w:bCs/>
                <w:color w:val="auto"/>
                <w:highlight w:val="none"/>
              </w:rPr>
              <w:t>二档（12分）：提供有项目技术方案，方案内容包含对本项目的业务现状、建设目标、建设意义、建设内容进行分析，具有总体架构设计、部署架构设计以及对功能模块的详细说明，提供有可视化监测系统构建配置清单。</w:t>
            </w:r>
          </w:p>
          <w:p w14:paraId="2F02128B">
            <w:pPr>
              <w:pStyle w:val="18"/>
              <w:keepNext w:val="0"/>
              <w:keepLines w:val="0"/>
              <w:pageBreakBefore w:val="0"/>
              <w:kinsoku/>
              <w:wordWrap/>
              <w:overflowPunct/>
              <w:topLinePunct w:val="0"/>
              <w:autoSpaceDE/>
              <w:autoSpaceDN/>
              <w:bidi w:val="0"/>
              <w:adjustRightInd/>
              <w:snapToGrid/>
              <w:spacing w:line="360" w:lineRule="exact"/>
              <w:ind w:firstLine="420" w:firstLineChars="200"/>
              <w:textAlignment w:val="auto"/>
              <w:rPr>
                <w:rFonts w:hint="eastAsia" w:ascii="宋体" w:hAnsi="宋体" w:eastAsia="宋体" w:cs="宋体"/>
                <w:bCs/>
                <w:color w:val="auto"/>
                <w:highlight w:val="none"/>
              </w:rPr>
            </w:pPr>
            <w:r>
              <w:rPr>
                <w:rFonts w:hint="eastAsia" w:ascii="宋体" w:hAnsi="宋体" w:eastAsia="宋体" w:cs="宋体"/>
                <w:bCs/>
                <w:color w:val="auto"/>
                <w:highlight w:val="none"/>
              </w:rPr>
              <w:t>三档（18分）：提供有项目技术方案，方案内容包含对本项目的业务现状、建设目标、建设意义、建设内容进行分析，具有总体架构设计、部署架构设计以及对功能模块的详细说明，提供有可视化监测系统构建配置清单、项目计划、功能测试方案等。</w:t>
            </w:r>
          </w:p>
          <w:p w14:paraId="37641D9D">
            <w:pPr>
              <w:pStyle w:val="18"/>
              <w:keepNext w:val="0"/>
              <w:keepLines w:val="0"/>
              <w:pageBreakBefore w:val="0"/>
              <w:kinsoku/>
              <w:wordWrap/>
              <w:overflowPunct/>
              <w:topLinePunct w:val="0"/>
              <w:autoSpaceDE/>
              <w:autoSpaceDN/>
              <w:bidi w:val="0"/>
              <w:adjustRightInd/>
              <w:snapToGrid/>
              <w:spacing w:line="360" w:lineRule="exact"/>
              <w:ind w:firstLine="420" w:firstLineChars="200"/>
              <w:textAlignment w:val="auto"/>
              <w:rPr>
                <w:rFonts w:hint="eastAsia" w:ascii="宋体" w:hAnsi="宋体" w:eastAsia="宋体" w:cs="宋体"/>
                <w:b w:val="0"/>
                <w:bCs/>
                <w:color w:val="auto"/>
                <w:szCs w:val="21"/>
                <w:highlight w:val="none"/>
              </w:rPr>
            </w:pPr>
            <w:r>
              <w:rPr>
                <w:rFonts w:hint="eastAsia" w:ascii="宋体" w:hAnsi="宋体" w:eastAsia="宋体" w:cs="宋体"/>
                <w:bCs/>
                <w:color w:val="auto"/>
                <w:highlight w:val="none"/>
              </w:rPr>
              <w:t>四档（25分）：提供有项目技术方案，方案内容包含对本项目的业务现状、建设目标、建设意义、建设内容进行分析，具有总体架构设计、部署架构设计、调查流程设计以及对功能模块的详细说明(物种数据管理、湿地类型和植被群落管理、地图标记管理、遥感影像管理等),提供有可视化监测系统构建配置清单、项目计划、功能测试方案、试运行方案等。</w:t>
            </w:r>
          </w:p>
          <w:p w14:paraId="6F2AC9FA">
            <w:pPr>
              <w:pStyle w:val="8"/>
              <w:keepNext w:val="0"/>
              <w:keepLines w:val="0"/>
              <w:pageBreakBefore w:val="0"/>
              <w:kinsoku/>
              <w:wordWrap/>
              <w:overflowPunct/>
              <w:topLinePunct w:val="0"/>
              <w:autoSpaceDE/>
              <w:autoSpaceDN/>
              <w:bidi w:val="0"/>
              <w:adjustRightInd/>
              <w:snapToGrid/>
              <w:spacing w:line="360" w:lineRule="exact"/>
              <w:ind w:left="0" w:leftChars="0" w:firstLine="422" w:firstLineChars="200"/>
              <w:textAlignment w:val="auto"/>
              <w:rPr>
                <w:rFonts w:hint="eastAsia" w:ascii="宋体" w:hAnsi="宋体" w:eastAsia="宋体" w:cs="宋体"/>
                <w:color w:val="auto"/>
                <w:highlight w:val="none"/>
              </w:rPr>
            </w:pPr>
            <w:r>
              <w:rPr>
                <w:rFonts w:hint="eastAsia" w:ascii="宋体" w:hAnsi="宋体" w:eastAsia="宋体" w:cs="宋体"/>
                <w:b/>
                <w:bCs w:val="0"/>
                <w:color w:val="auto"/>
                <w:sz w:val="21"/>
                <w:szCs w:val="21"/>
                <w:highlight w:val="none"/>
              </w:rPr>
              <w:t>注：未提供</w:t>
            </w:r>
            <w:r>
              <w:rPr>
                <w:rFonts w:hint="eastAsia" w:ascii="宋体" w:hAnsi="宋体" w:eastAsia="宋体" w:cs="宋体"/>
                <w:b/>
                <w:bCs w:val="0"/>
                <w:color w:val="auto"/>
                <w:sz w:val="21"/>
                <w:szCs w:val="21"/>
                <w:highlight w:val="none"/>
                <w:lang w:val="en-US" w:eastAsia="zh-CN"/>
              </w:rPr>
              <w:t>方案</w:t>
            </w:r>
            <w:r>
              <w:rPr>
                <w:rFonts w:hint="eastAsia" w:ascii="宋体" w:hAnsi="宋体" w:eastAsia="宋体" w:cs="宋体"/>
                <w:b/>
                <w:bCs w:val="0"/>
                <w:color w:val="auto"/>
                <w:sz w:val="21"/>
                <w:szCs w:val="21"/>
                <w:highlight w:val="none"/>
              </w:rPr>
              <w:t>或不符合最低入档条件的计0分。</w:t>
            </w:r>
          </w:p>
        </w:tc>
        <w:tc>
          <w:tcPr>
            <w:tcW w:w="635" w:type="pct"/>
            <w:tcBorders>
              <w:top w:val="single" w:color="auto" w:sz="4" w:space="0"/>
              <w:left w:val="single" w:color="auto" w:sz="4" w:space="0"/>
              <w:bottom w:val="single" w:color="auto" w:sz="4" w:space="0"/>
              <w:right w:val="single" w:color="auto" w:sz="4" w:space="0"/>
            </w:tcBorders>
            <w:noWrap w:val="0"/>
            <w:vAlign w:val="center"/>
          </w:tcPr>
          <w:p w14:paraId="4D4F210C">
            <w:pPr>
              <w:pStyle w:val="18"/>
              <w:keepNext w:val="0"/>
              <w:keepLines w:val="0"/>
              <w:pageBreakBefore w:val="0"/>
              <w:kinsoku/>
              <w:wordWrap/>
              <w:overflowPunct/>
              <w:topLinePunct w:val="0"/>
              <w:autoSpaceDE/>
              <w:autoSpaceDN/>
              <w:bidi w:val="0"/>
              <w:adjustRightInd/>
              <w:snapToGrid/>
              <w:spacing w:line="360" w:lineRule="exact"/>
              <w:jc w:val="center"/>
              <w:textAlignment w:val="auto"/>
              <w:rPr>
                <w:rFonts w:hint="eastAsia" w:ascii="宋体" w:hAnsi="宋体" w:eastAsia="宋体" w:cs="宋体"/>
                <w:b w:val="0"/>
                <w:bCs/>
                <w:color w:val="auto"/>
                <w:highlight w:val="none"/>
                <w:lang w:val="en-US" w:eastAsia="zh-CN"/>
              </w:rPr>
            </w:pPr>
            <w:r>
              <w:rPr>
                <w:rFonts w:hint="eastAsia" w:ascii="宋体" w:hAnsi="宋体" w:eastAsia="宋体" w:cs="宋体"/>
                <w:b w:val="0"/>
                <w:bCs/>
                <w:color w:val="auto"/>
                <w:highlight w:val="none"/>
              </w:rPr>
              <w:t>25</w:t>
            </w:r>
            <w:r>
              <w:rPr>
                <w:rFonts w:hint="eastAsia" w:ascii="宋体" w:hAnsi="宋体" w:eastAsia="宋体" w:cs="宋体"/>
                <w:b w:val="0"/>
                <w:bCs/>
                <w:color w:val="auto"/>
                <w:highlight w:val="none"/>
                <w:lang w:val="en-US" w:eastAsia="zh-CN"/>
              </w:rPr>
              <w:t>分</w:t>
            </w:r>
          </w:p>
        </w:tc>
      </w:tr>
      <w:tr w14:paraId="0DF67D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77" w:type="pct"/>
            <w:tcBorders>
              <w:top w:val="single" w:color="auto" w:sz="4" w:space="0"/>
              <w:left w:val="single" w:color="auto" w:sz="4" w:space="0"/>
              <w:bottom w:val="single" w:color="auto" w:sz="4" w:space="0"/>
              <w:right w:val="single" w:color="auto" w:sz="4" w:space="0"/>
            </w:tcBorders>
            <w:noWrap w:val="0"/>
            <w:vAlign w:val="center"/>
          </w:tcPr>
          <w:p w14:paraId="5BC39A9B">
            <w:pPr>
              <w:pStyle w:val="18"/>
              <w:keepNext w:val="0"/>
              <w:keepLines w:val="0"/>
              <w:pageBreakBefore w:val="0"/>
              <w:kinsoku/>
              <w:wordWrap/>
              <w:overflowPunct/>
              <w:topLinePunct w:val="0"/>
              <w:autoSpaceDE/>
              <w:autoSpaceDN/>
              <w:bidi w:val="0"/>
              <w:adjustRightInd/>
              <w:snapToGrid/>
              <w:spacing w:line="360" w:lineRule="exact"/>
              <w:jc w:val="center"/>
              <w:textAlignment w:val="auto"/>
              <w:rPr>
                <w:rFonts w:hint="eastAsia" w:ascii="宋体" w:hAnsi="宋体" w:eastAsia="宋体" w:cs="宋体"/>
                <w:b w:val="0"/>
                <w:bCs/>
                <w:color w:val="auto"/>
                <w:highlight w:val="none"/>
              </w:rPr>
            </w:pPr>
            <w:r>
              <w:rPr>
                <w:rFonts w:hint="eastAsia" w:ascii="宋体" w:hAnsi="宋体" w:eastAsia="宋体" w:cs="宋体"/>
                <w:b w:val="0"/>
                <w:bCs/>
                <w:color w:val="auto"/>
                <w:highlight w:val="none"/>
              </w:rPr>
              <w:t>4</w:t>
            </w:r>
          </w:p>
        </w:tc>
        <w:tc>
          <w:tcPr>
            <w:tcW w:w="593" w:type="pct"/>
            <w:tcBorders>
              <w:top w:val="single" w:color="auto" w:sz="4" w:space="0"/>
              <w:left w:val="single" w:color="auto" w:sz="4" w:space="0"/>
              <w:bottom w:val="single" w:color="auto" w:sz="4" w:space="0"/>
              <w:right w:val="single" w:color="auto" w:sz="4" w:space="0"/>
            </w:tcBorders>
            <w:noWrap w:val="0"/>
            <w:vAlign w:val="center"/>
          </w:tcPr>
          <w:p w14:paraId="31F8025A">
            <w:pPr>
              <w:pStyle w:val="18"/>
              <w:keepNext w:val="0"/>
              <w:keepLines w:val="0"/>
              <w:pageBreakBefore w:val="0"/>
              <w:kinsoku/>
              <w:wordWrap/>
              <w:overflowPunct/>
              <w:topLinePunct w:val="0"/>
              <w:autoSpaceDE/>
              <w:autoSpaceDN/>
              <w:bidi w:val="0"/>
              <w:adjustRightInd/>
              <w:snapToGrid/>
              <w:spacing w:line="360" w:lineRule="exact"/>
              <w:jc w:val="center"/>
              <w:textAlignment w:val="auto"/>
              <w:rPr>
                <w:rFonts w:hint="eastAsia" w:ascii="宋体" w:hAnsi="宋体" w:eastAsia="宋体" w:cs="宋体"/>
                <w:b w:val="0"/>
                <w:bCs/>
                <w:color w:val="auto"/>
                <w:highlight w:val="none"/>
              </w:rPr>
            </w:pPr>
            <w:r>
              <w:rPr>
                <w:rFonts w:hint="eastAsia" w:ascii="宋体" w:hAnsi="宋体" w:eastAsia="宋体" w:cs="宋体"/>
                <w:b w:val="0"/>
                <w:bCs/>
                <w:color w:val="auto"/>
                <w:szCs w:val="21"/>
                <w:highlight w:val="none"/>
              </w:rPr>
              <w:t>项目实施方案</w:t>
            </w:r>
          </w:p>
        </w:tc>
        <w:tc>
          <w:tcPr>
            <w:tcW w:w="3394" w:type="pct"/>
            <w:tcBorders>
              <w:top w:val="single" w:color="auto" w:sz="4" w:space="0"/>
              <w:left w:val="single" w:color="auto" w:sz="4" w:space="0"/>
              <w:bottom w:val="single" w:color="auto" w:sz="4" w:space="0"/>
              <w:right w:val="single" w:color="auto" w:sz="4" w:space="0"/>
            </w:tcBorders>
            <w:noWrap w:val="0"/>
            <w:vAlign w:val="top"/>
          </w:tcPr>
          <w:p w14:paraId="3DA3B610">
            <w:pPr>
              <w:pStyle w:val="18"/>
              <w:keepNext w:val="0"/>
              <w:keepLines w:val="0"/>
              <w:pageBreakBefore w:val="0"/>
              <w:kinsoku/>
              <w:wordWrap/>
              <w:overflowPunct/>
              <w:topLinePunct w:val="0"/>
              <w:autoSpaceDE/>
              <w:autoSpaceDN/>
              <w:bidi w:val="0"/>
              <w:adjustRightInd/>
              <w:snapToGrid/>
              <w:spacing w:line="360" w:lineRule="exact"/>
              <w:ind w:firstLine="420" w:firstLineChars="200"/>
              <w:textAlignment w:val="auto"/>
              <w:rPr>
                <w:rFonts w:hint="eastAsia" w:ascii="宋体" w:hAnsi="宋体" w:eastAsia="宋体" w:cs="宋体"/>
                <w:bCs/>
                <w:color w:val="auto"/>
                <w:highlight w:val="none"/>
              </w:rPr>
            </w:pPr>
            <w:r>
              <w:rPr>
                <w:rFonts w:hint="eastAsia" w:ascii="宋体" w:hAnsi="宋体" w:eastAsia="宋体" w:cs="宋体"/>
                <w:bCs/>
                <w:color w:val="auto"/>
                <w:highlight w:val="none"/>
                <w:lang w:val="en-US" w:eastAsia="zh-CN"/>
              </w:rPr>
              <w:t>一</w:t>
            </w:r>
            <w:r>
              <w:rPr>
                <w:rFonts w:hint="eastAsia" w:ascii="宋体" w:hAnsi="宋体" w:eastAsia="宋体" w:cs="宋体"/>
                <w:bCs/>
                <w:color w:val="auto"/>
                <w:highlight w:val="none"/>
              </w:rPr>
              <w:t>档（5分）：提供有项目实施方案，方案内容包含对本项目的实施内容、组织机构、项目管理、验收交付的说明，具有总体建设实施计划及项目实施流程</w:t>
            </w:r>
            <w:r>
              <w:rPr>
                <w:rFonts w:hint="eastAsia" w:hAnsi="宋体" w:cs="宋体"/>
                <w:bCs/>
                <w:color w:val="auto"/>
                <w:highlight w:val="none"/>
                <w:lang w:eastAsia="zh-CN"/>
              </w:rPr>
              <w:t>；</w:t>
            </w:r>
            <w:r>
              <w:rPr>
                <w:rFonts w:hint="eastAsia" w:ascii="宋体" w:hAnsi="宋体" w:eastAsia="宋体" w:cs="宋体"/>
                <w:bCs/>
                <w:color w:val="auto"/>
                <w:highlight w:val="none"/>
              </w:rPr>
              <w:t>提供项目实施人员表，其中拟投入项目实施组人员不少于3人，有各人员岗位设置、岗位分工说明。</w:t>
            </w:r>
          </w:p>
          <w:p w14:paraId="4631C0A9">
            <w:pPr>
              <w:pStyle w:val="18"/>
              <w:keepNext w:val="0"/>
              <w:keepLines w:val="0"/>
              <w:pageBreakBefore w:val="0"/>
              <w:kinsoku/>
              <w:wordWrap/>
              <w:overflowPunct/>
              <w:topLinePunct w:val="0"/>
              <w:autoSpaceDE/>
              <w:autoSpaceDN/>
              <w:bidi w:val="0"/>
              <w:adjustRightInd/>
              <w:snapToGrid/>
              <w:spacing w:line="360" w:lineRule="exact"/>
              <w:ind w:firstLine="420" w:firstLineChars="200"/>
              <w:textAlignment w:val="auto"/>
              <w:rPr>
                <w:rFonts w:hint="eastAsia" w:ascii="宋体" w:hAnsi="宋体" w:eastAsia="宋体" w:cs="宋体"/>
                <w:bCs/>
                <w:color w:val="auto"/>
                <w:highlight w:val="none"/>
              </w:rPr>
            </w:pPr>
            <w:r>
              <w:rPr>
                <w:rFonts w:hint="eastAsia" w:ascii="宋体" w:hAnsi="宋体" w:eastAsia="宋体" w:cs="宋体"/>
                <w:bCs/>
                <w:color w:val="auto"/>
                <w:highlight w:val="none"/>
                <w:lang w:val="en-US" w:eastAsia="zh-CN"/>
              </w:rPr>
              <w:t>二</w:t>
            </w:r>
            <w:r>
              <w:rPr>
                <w:rFonts w:hint="eastAsia" w:ascii="宋体" w:hAnsi="宋体" w:eastAsia="宋体" w:cs="宋体"/>
                <w:bCs/>
                <w:color w:val="auto"/>
                <w:highlight w:val="none"/>
              </w:rPr>
              <w:t>档（</w:t>
            </w:r>
            <w:r>
              <w:rPr>
                <w:rFonts w:hint="eastAsia" w:ascii="宋体" w:hAnsi="宋体" w:eastAsia="宋体" w:cs="宋体"/>
                <w:bCs/>
                <w:color w:val="auto"/>
                <w:highlight w:val="none"/>
                <w:lang w:val="en-US" w:eastAsia="zh-CN"/>
              </w:rPr>
              <w:t>10</w:t>
            </w:r>
            <w:r>
              <w:rPr>
                <w:rFonts w:hint="eastAsia" w:ascii="宋体" w:hAnsi="宋体" w:eastAsia="宋体" w:cs="宋体"/>
                <w:bCs/>
                <w:color w:val="auto"/>
                <w:highlight w:val="none"/>
              </w:rPr>
              <w:t>分）：提供有项目实施方案，方案内容包含对本项目的实施内容、组织机构、项目管理、项目培训、验收交付的详细说明，有实施人员岗位管理及配置，其中拟投入项目负责人不少于1人，项目实施组人员不少于4人，具有总体建设实施计划及项目实施流程；提供项目培训方案和项目实施人员表，有各人员岗位设置、岗位分工说明、组织机构图。</w:t>
            </w:r>
          </w:p>
          <w:p w14:paraId="2D0F1468">
            <w:pPr>
              <w:pStyle w:val="18"/>
              <w:keepNext w:val="0"/>
              <w:keepLines w:val="0"/>
              <w:pageBreakBefore w:val="0"/>
              <w:kinsoku/>
              <w:wordWrap/>
              <w:overflowPunct/>
              <w:topLinePunct w:val="0"/>
              <w:autoSpaceDE/>
              <w:autoSpaceDN/>
              <w:bidi w:val="0"/>
              <w:adjustRightInd/>
              <w:snapToGrid/>
              <w:spacing w:line="360" w:lineRule="exact"/>
              <w:ind w:firstLine="420" w:firstLineChars="200"/>
              <w:textAlignment w:val="auto"/>
              <w:rPr>
                <w:rFonts w:hint="eastAsia" w:ascii="宋体" w:hAnsi="宋体" w:eastAsia="宋体" w:cs="宋体"/>
                <w:bCs/>
                <w:color w:val="auto"/>
                <w:highlight w:val="none"/>
              </w:rPr>
            </w:pPr>
            <w:r>
              <w:rPr>
                <w:rFonts w:hint="eastAsia" w:ascii="宋体" w:hAnsi="宋体" w:eastAsia="宋体" w:cs="宋体"/>
                <w:bCs/>
                <w:color w:val="auto"/>
                <w:highlight w:val="none"/>
                <w:lang w:val="en-US" w:eastAsia="zh-CN"/>
              </w:rPr>
              <w:t>三</w:t>
            </w:r>
            <w:r>
              <w:rPr>
                <w:rFonts w:hint="eastAsia" w:ascii="宋体" w:hAnsi="宋体" w:eastAsia="宋体" w:cs="宋体"/>
                <w:bCs/>
                <w:color w:val="auto"/>
                <w:highlight w:val="none"/>
              </w:rPr>
              <w:t>档（</w:t>
            </w:r>
            <w:r>
              <w:rPr>
                <w:rFonts w:hint="eastAsia" w:ascii="宋体" w:hAnsi="宋体" w:eastAsia="宋体" w:cs="宋体"/>
                <w:bCs/>
                <w:color w:val="auto"/>
                <w:highlight w:val="none"/>
                <w:lang w:val="en-US" w:eastAsia="zh-CN"/>
              </w:rPr>
              <w:t>15</w:t>
            </w:r>
            <w:r>
              <w:rPr>
                <w:rFonts w:hint="eastAsia" w:ascii="宋体" w:hAnsi="宋体" w:eastAsia="宋体" w:cs="宋体"/>
                <w:bCs/>
                <w:color w:val="auto"/>
                <w:highlight w:val="none"/>
              </w:rPr>
              <w:t>分）：提供有项目实施方案，方案内容包含对本项目的实施内容、 组织机构、项目管理、项目培训、验收交付的详细说明，有实施人员岗位管理及配置，其中拟投入项目负责人不少于1人，项目实施组人员不少于5人，后期运维人员不少于1人，软件安装调试至验收期间现场驻点技术人员不少于1人，机动人员不少于1人</w:t>
            </w:r>
            <w:r>
              <w:rPr>
                <w:rFonts w:hint="eastAsia" w:ascii="宋体" w:hAnsi="宋体" w:eastAsia="宋体" w:cs="宋体"/>
                <w:bCs/>
                <w:color w:val="auto"/>
                <w:highlight w:val="none"/>
                <w:lang w:eastAsia="zh-CN"/>
              </w:rPr>
              <w:t>；</w:t>
            </w:r>
            <w:r>
              <w:rPr>
                <w:rFonts w:hint="eastAsia" w:ascii="宋体" w:hAnsi="宋体" w:eastAsia="宋体" w:cs="宋体"/>
                <w:bCs/>
                <w:color w:val="auto"/>
                <w:highlight w:val="none"/>
              </w:rPr>
              <w:t>具有总体建设实施计划及项目实施流程</w:t>
            </w:r>
            <w:r>
              <w:rPr>
                <w:rFonts w:hint="eastAsia" w:ascii="宋体" w:hAnsi="宋体" w:eastAsia="宋体" w:cs="宋体"/>
                <w:bCs/>
                <w:color w:val="auto"/>
                <w:highlight w:val="none"/>
                <w:lang w:eastAsia="zh-CN"/>
              </w:rPr>
              <w:t>；</w:t>
            </w:r>
            <w:r>
              <w:rPr>
                <w:rFonts w:hint="eastAsia" w:ascii="宋体" w:hAnsi="宋体" w:eastAsia="宋体" w:cs="宋体"/>
                <w:bCs/>
                <w:color w:val="auto"/>
                <w:highlight w:val="none"/>
              </w:rPr>
              <w:t>提供项目培训方案和项目实施人员表、各项工作人员规划安排表，有各人员岗位设置、岗位分工说明、组织机构图。提供的项目实施方案较详细，实施人员配备合理，有进度计划和工期保证措施。</w:t>
            </w:r>
          </w:p>
          <w:p w14:paraId="7E15A7A6">
            <w:pPr>
              <w:pStyle w:val="18"/>
              <w:keepNext w:val="0"/>
              <w:keepLines w:val="0"/>
              <w:pageBreakBefore w:val="0"/>
              <w:kinsoku/>
              <w:wordWrap/>
              <w:overflowPunct/>
              <w:topLinePunct w:val="0"/>
              <w:autoSpaceDE/>
              <w:autoSpaceDN/>
              <w:bidi w:val="0"/>
              <w:adjustRightInd/>
              <w:snapToGrid/>
              <w:spacing w:line="360" w:lineRule="exact"/>
              <w:ind w:firstLine="420" w:firstLineChars="200"/>
              <w:textAlignment w:val="auto"/>
              <w:rPr>
                <w:rFonts w:hint="default" w:ascii="宋体" w:hAnsi="宋体" w:eastAsia="宋体" w:cs="宋体"/>
                <w:bCs/>
                <w:color w:val="auto"/>
                <w:highlight w:val="none"/>
                <w:lang w:val="en-US" w:eastAsia="zh-CN"/>
              </w:rPr>
            </w:pPr>
            <w:r>
              <w:rPr>
                <w:rFonts w:hint="eastAsia" w:ascii="宋体" w:hAnsi="宋体" w:eastAsia="宋体" w:cs="宋体"/>
                <w:bCs/>
                <w:color w:val="auto"/>
                <w:highlight w:val="none"/>
                <w:lang w:val="en-US" w:eastAsia="zh-CN"/>
              </w:rPr>
              <w:t>四档（20分）：提供有项目实施方案，方案内容包含对本项目的实施内容、组织机构、项目管理、项目培训、验收交付的详细说明，有实施人员岗位管理及配置，其中拟投入项目负责人不少于1人，项目实施组人员不少于6人，后期运维人员不少于2人，软件安装调试至验收期间现场驻点技术人员不少于2人，机动人员不少于2人，其中具备项目相关专业中级职称或以上的人员≥2人；有各人员岗位设置、岗位分工说明、管理组织机构图，并制定有各项工作人员规划安排表、人员管理工作制度，具有总体建设实施计划及项目实施流程；有针对本项目制定的进度计划和工期保证措施、实施效率保障措施、质量保证措施等。</w:t>
            </w:r>
          </w:p>
          <w:p w14:paraId="7417C58D">
            <w:pPr>
              <w:keepNext w:val="0"/>
              <w:keepLines w:val="0"/>
              <w:pageBreakBefore w:val="0"/>
              <w:widowControl/>
              <w:kinsoku/>
              <w:wordWrap/>
              <w:overflowPunct/>
              <w:topLinePunct w:val="0"/>
              <w:autoSpaceDE/>
              <w:autoSpaceDN/>
              <w:bidi w:val="0"/>
              <w:adjustRightInd/>
              <w:snapToGrid/>
              <w:spacing w:line="360" w:lineRule="exact"/>
              <w:ind w:firstLine="422" w:firstLineChars="200"/>
              <w:jc w:val="left"/>
              <w:textAlignment w:val="auto"/>
              <w:rPr>
                <w:rFonts w:hint="eastAsia" w:ascii="宋体" w:hAnsi="宋体" w:eastAsia="宋体" w:cs="宋体"/>
                <w:color w:val="auto"/>
                <w:highlight w:val="none"/>
              </w:rPr>
            </w:pPr>
            <w:r>
              <w:rPr>
                <w:rFonts w:hint="eastAsia" w:ascii="宋体" w:hAnsi="宋体" w:eastAsia="宋体" w:cs="宋体"/>
                <w:b/>
                <w:bCs w:val="0"/>
                <w:color w:val="auto"/>
                <w:sz w:val="21"/>
                <w:szCs w:val="21"/>
                <w:highlight w:val="none"/>
              </w:rPr>
              <w:t>注：未提供</w:t>
            </w:r>
            <w:r>
              <w:rPr>
                <w:rFonts w:hint="eastAsia" w:ascii="宋体" w:hAnsi="宋体" w:eastAsia="宋体" w:cs="宋体"/>
                <w:b/>
                <w:bCs w:val="0"/>
                <w:color w:val="auto"/>
                <w:sz w:val="21"/>
                <w:szCs w:val="21"/>
                <w:highlight w:val="none"/>
                <w:lang w:val="en-US" w:eastAsia="zh-CN"/>
              </w:rPr>
              <w:t>方案</w:t>
            </w:r>
            <w:r>
              <w:rPr>
                <w:rFonts w:hint="eastAsia" w:ascii="宋体" w:hAnsi="宋体" w:eastAsia="宋体" w:cs="宋体"/>
                <w:b/>
                <w:bCs w:val="0"/>
                <w:color w:val="auto"/>
                <w:sz w:val="21"/>
                <w:szCs w:val="21"/>
                <w:highlight w:val="none"/>
              </w:rPr>
              <w:t>或不符合最低入档条件的计0分。</w:t>
            </w:r>
          </w:p>
        </w:tc>
        <w:tc>
          <w:tcPr>
            <w:tcW w:w="635" w:type="pct"/>
            <w:tcBorders>
              <w:top w:val="single" w:color="auto" w:sz="4" w:space="0"/>
              <w:left w:val="single" w:color="auto" w:sz="4" w:space="0"/>
              <w:bottom w:val="single" w:color="auto" w:sz="4" w:space="0"/>
              <w:right w:val="single" w:color="auto" w:sz="4" w:space="0"/>
            </w:tcBorders>
            <w:noWrap w:val="0"/>
            <w:vAlign w:val="center"/>
          </w:tcPr>
          <w:p w14:paraId="616C615E">
            <w:pPr>
              <w:pStyle w:val="18"/>
              <w:keepNext w:val="0"/>
              <w:keepLines w:val="0"/>
              <w:pageBreakBefore w:val="0"/>
              <w:kinsoku/>
              <w:wordWrap/>
              <w:overflowPunct/>
              <w:topLinePunct w:val="0"/>
              <w:autoSpaceDE/>
              <w:autoSpaceDN/>
              <w:bidi w:val="0"/>
              <w:adjustRightInd/>
              <w:snapToGrid/>
              <w:spacing w:line="360" w:lineRule="exact"/>
              <w:jc w:val="center"/>
              <w:textAlignment w:val="auto"/>
              <w:rPr>
                <w:rFonts w:hint="eastAsia" w:ascii="宋体" w:hAnsi="宋体" w:eastAsia="宋体" w:cs="宋体"/>
                <w:b w:val="0"/>
                <w:bCs/>
                <w:color w:val="auto"/>
                <w:highlight w:val="none"/>
                <w:lang w:val="en-US" w:eastAsia="zh-CN"/>
              </w:rPr>
            </w:pPr>
            <w:r>
              <w:rPr>
                <w:rFonts w:hint="eastAsia" w:ascii="宋体" w:hAnsi="宋体" w:eastAsia="宋体" w:cs="宋体"/>
                <w:b w:val="0"/>
                <w:bCs/>
                <w:color w:val="auto"/>
                <w:highlight w:val="none"/>
              </w:rPr>
              <w:t>2</w:t>
            </w:r>
            <w:r>
              <w:rPr>
                <w:rFonts w:hint="eastAsia" w:ascii="宋体" w:hAnsi="宋体" w:eastAsia="宋体" w:cs="宋体"/>
                <w:b w:val="0"/>
                <w:bCs/>
                <w:color w:val="auto"/>
                <w:highlight w:val="none"/>
                <w:lang w:val="en-US" w:eastAsia="zh-CN"/>
              </w:rPr>
              <w:t>0分</w:t>
            </w:r>
          </w:p>
        </w:tc>
      </w:tr>
      <w:tr w14:paraId="38AE40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77" w:type="pct"/>
            <w:tcBorders>
              <w:top w:val="single" w:color="auto" w:sz="4" w:space="0"/>
              <w:left w:val="single" w:color="auto" w:sz="4" w:space="0"/>
              <w:bottom w:val="single" w:color="auto" w:sz="4" w:space="0"/>
              <w:right w:val="single" w:color="auto" w:sz="4" w:space="0"/>
            </w:tcBorders>
            <w:noWrap w:val="0"/>
            <w:vAlign w:val="center"/>
          </w:tcPr>
          <w:p w14:paraId="5983FE5C">
            <w:pPr>
              <w:pStyle w:val="18"/>
              <w:keepNext w:val="0"/>
              <w:keepLines w:val="0"/>
              <w:pageBreakBefore w:val="0"/>
              <w:kinsoku/>
              <w:wordWrap/>
              <w:overflowPunct/>
              <w:topLinePunct w:val="0"/>
              <w:autoSpaceDE/>
              <w:autoSpaceDN/>
              <w:bidi w:val="0"/>
              <w:adjustRightInd/>
              <w:snapToGrid/>
              <w:spacing w:line="360" w:lineRule="exact"/>
              <w:jc w:val="center"/>
              <w:textAlignment w:val="auto"/>
              <w:rPr>
                <w:rFonts w:hint="eastAsia" w:ascii="宋体" w:hAnsi="宋体" w:eastAsia="宋体" w:cs="宋体"/>
                <w:b w:val="0"/>
                <w:bCs/>
                <w:color w:val="auto"/>
                <w:highlight w:val="none"/>
              </w:rPr>
            </w:pPr>
            <w:r>
              <w:rPr>
                <w:rFonts w:hint="eastAsia" w:ascii="宋体" w:hAnsi="宋体" w:eastAsia="宋体" w:cs="宋体"/>
                <w:b w:val="0"/>
                <w:bCs/>
                <w:color w:val="auto"/>
                <w:highlight w:val="none"/>
              </w:rPr>
              <w:t>5</w:t>
            </w:r>
          </w:p>
        </w:tc>
        <w:tc>
          <w:tcPr>
            <w:tcW w:w="593" w:type="pct"/>
            <w:tcBorders>
              <w:top w:val="single" w:color="auto" w:sz="4" w:space="0"/>
              <w:left w:val="single" w:color="auto" w:sz="4" w:space="0"/>
              <w:bottom w:val="single" w:color="auto" w:sz="4" w:space="0"/>
              <w:right w:val="single" w:color="auto" w:sz="4" w:space="0"/>
            </w:tcBorders>
            <w:noWrap w:val="0"/>
            <w:vAlign w:val="center"/>
          </w:tcPr>
          <w:p w14:paraId="132E4EB5">
            <w:pPr>
              <w:pStyle w:val="18"/>
              <w:keepNext w:val="0"/>
              <w:keepLines w:val="0"/>
              <w:pageBreakBefore w:val="0"/>
              <w:kinsoku/>
              <w:wordWrap/>
              <w:overflowPunct/>
              <w:topLinePunct w:val="0"/>
              <w:autoSpaceDE/>
              <w:autoSpaceDN/>
              <w:bidi w:val="0"/>
              <w:adjustRightInd/>
              <w:snapToGrid/>
              <w:spacing w:line="360" w:lineRule="exact"/>
              <w:jc w:val="center"/>
              <w:textAlignment w:val="auto"/>
              <w:rPr>
                <w:rFonts w:hint="eastAsia" w:ascii="宋体" w:hAnsi="宋体" w:eastAsia="宋体" w:cs="宋体"/>
                <w:b w:val="0"/>
                <w:bCs/>
                <w:color w:val="auto"/>
                <w:highlight w:val="none"/>
              </w:rPr>
            </w:pPr>
            <w:r>
              <w:rPr>
                <w:rFonts w:hint="eastAsia" w:ascii="宋体" w:hAnsi="宋体" w:eastAsia="宋体" w:cs="宋体"/>
                <w:b w:val="0"/>
                <w:bCs/>
                <w:color w:val="auto"/>
                <w:szCs w:val="21"/>
                <w:highlight w:val="none"/>
              </w:rPr>
              <w:t>服务承诺方案</w:t>
            </w:r>
          </w:p>
        </w:tc>
        <w:tc>
          <w:tcPr>
            <w:tcW w:w="3394" w:type="pct"/>
            <w:tcBorders>
              <w:top w:val="single" w:color="auto" w:sz="4" w:space="0"/>
              <w:left w:val="single" w:color="auto" w:sz="4" w:space="0"/>
              <w:bottom w:val="single" w:color="auto" w:sz="4" w:space="0"/>
              <w:right w:val="single" w:color="auto" w:sz="4" w:space="0"/>
            </w:tcBorders>
            <w:noWrap w:val="0"/>
            <w:vAlign w:val="top"/>
          </w:tcPr>
          <w:p w14:paraId="51B09B9F">
            <w:pPr>
              <w:keepNext w:val="0"/>
              <w:keepLines w:val="0"/>
              <w:pageBreakBefore w:val="0"/>
              <w:kinsoku/>
              <w:wordWrap/>
              <w:overflowPunct/>
              <w:topLinePunct w:val="0"/>
              <w:autoSpaceDE/>
              <w:autoSpaceDN/>
              <w:bidi w:val="0"/>
              <w:adjustRightInd/>
              <w:snapToGrid/>
              <w:spacing w:line="360" w:lineRule="exact"/>
              <w:ind w:firstLine="420" w:firstLineChars="200"/>
              <w:jc w:val="left"/>
              <w:textAlignment w:val="auto"/>
              <w:rPr>
                <w:rFonts w:hint="eastAsia" w:ascii="宋体" w:hAnsi="宋体" w:eastAsia="宋体" w:cs="宋体"/>
                <w:b w:val="0"/>
                <w:bCs/>
                <w:color w:val="auto"/>
                <w:szCs w:val="21"/>
                <w:highlight w:val="none"/>
              </w:rPr>
            </w:pPr>
            <w:r>
              <w:rPr>
                <w:rFonts w:hint="eastAsia" w:ascii="宋体" w:hAnsi="宋体" w:eastAsia="宋体" w:cs="宋体"/>
                <w:b w:val="0"/>
                <w:bCs/>
                <w:color w:val="auto"/>
                <w:szCs w:val="21"/>
                <w:highlight w:val="none"/>
              </w:rPr>
              <w:t>一档（2分）：提供简单的服务承诺方案，服务承诺满足采购文件的要求，有软件正常运行运维方案。</w:t>
            </w:r>
          </w:p>
          <w:p w14:paraId="5164E2F2">
            <w:pPr>
              <w:keepNext w:val="0"/>
              <w:keepLines w:val="0"/>
              <w:pageBreakBefore w:val="0"/>
              <w:kinsoku/>
              <w:wordWrap/>
              <w:overflowPunct/>
              <w:topLinePunct w:val="0"/>
              <w:autoSpaceDE/>
              <w:autoSpaceDN/>
              <w:bidi w:val="0"/>
              <w:adjustRightInd/>
              <w:snapToGrid/>
              <w:spacing w:line="360" w:lineRule="exact"/>
              <w:ind w:firstLine="420" w:firstLineChars="200"/>
              <w:jc w:val="left"/>
              <w:textAlignment w:val="auto"/>
              <w:rPr>
                <w:rFonts w:hint="eastAsia" w:ascii="宋体" w:hAnsi="宋体" w:eastAsia="宋体" w:cs="宋体"/>
                <w:b w:val="0"/>
                <w:bCs/>
                <w:color w:val="auto"/>
                <w:szCs w:val="21"/>
                <w:highlight w:val="none"/>
              </w:rPr>
            </w:pPr>
            <w:r>
              <w:rPr>
                <w:rFonts w:hint="eastAsia" w:ascii="宋体" w:hAnsi="宋体" w:eastAsia="宋体" w:cs="宋体"/>
                <w:b w:val="0"/>
                <w:bCs/>
                <w:color w:val="auto"/>
                <w:szCs w:val="21"/>
                <w:highlight w:val="none"/>
              </w:rPr>
              <w:t>二档（5分）：提供的服务承诺方案，有软件正常运行运维、系统漏洞修复方案，承诺运维服务期内，接到故障通知后40分钟内响应，20小时内到达现场维修。</w:t>
            </w:r>
          </w:p>
          <w:p w14:paraId="79F8C392">
            <w:pPr>
              <w:keepNext w:val="0"/>
              <w:keepLines w:val="0"/>
              <w:pageBreakBefore w:val="0"/>
              <w:kinsoku/>
              <w:wordWrap/>
              <w:overflowPunct/>
              <w:topLinePunct w:val="0"/>
              <w:autoSpaceDE/>
              <w:autoSpaceDN/>
              <w:bidi w:val="0"/>
              <w:adjustRightInd/>
              <w:snapToGrid/>
              <w:spacing w:line="360" w:lineRule="exact"/>
              <w:ind w:firstLine="420" w:firstLineChars="200"/>
              <w:jc w:val="left"/>
              <w:textAlignment w:val="auto"/>
              <w:rPr>
                <w:rFonts w:hint="eastAsia" w:ascii="宋体" w:hAnsi="宋体" w:eastAsia="宋体" w:cs="宋体"/>
                <w:b w:val="0"/>
                <w:bCs/>
                <w:color w:val="auto"/>
                <w:szCs w:val="21"/>
                <w:highlight w:val="none"/>
              </w:rPr>
            </w:pPr>
            <w:r>
              <w:rPr>
                <w:rFonts w:hint="eastAsia" w:ascii="宋体" w:hAnsi="宋体" w:eastAsia="宋体" w:cs="宋体"/>
                <w:b w:val="0"/>
                <w:bCs/>
                <w:color w:val="auto"/>
                <w:szCs w:val="21"/>
                <w:highlight w:val="none"/>
              </w:rPr>
              <w:t>三档（10分）：提供的服务承诺方案，有软件正常运行运维、紧急故障处 理、系统漏洞修复、系统功能完善方案；承诺运维服务期内，接到故障通知后20分钟内响应，16小时内到达现场维修；有服务保障措施及服务质量保障，包括维护期的技术支持和维护能力情况；并提供服务流程，包括故障处理、电话维护、上门维护。</w:t>
            </w:r>
          </w:p>
          <w:p w14:paraId="29FC19E8">
            <w:pPr>
              <w:keepNext w:val="0"/>
              <w:keepLines w:val="0"/>
              <w:pageBreakBefore w:val="0"/>
              <w:kinsoku/>
              <w:wordWrap/>
              <w:overflowPunct/>
              <w:topLinePunct w:val="0"/>
              <w:autoSpaceDE/>
              <w:autoSpaceDN/>
              <w:bidi w:val="0"/>
              <w:adjustRightInd/>
              <w:snapToGrid/>
              <w:spacing w:line="360" w:lineRule="exact"/>
              <w:ind w:firstLine="420" w:firstLineChars="200"/>
              <w:jc w:val="left"/>
              <w:textAlignment w:val="auto"/>
              <w:rPr>
                <w:rFonts w:hint="eastAsia" w:ascii="宋体" w:hAnsi="宋体" w:eastAsia="宋体" w:cs="宋体"/>
                <w:b w:val="0"/>
                <w:bCs/>
                <w:color w:val="auto"/>
                <w:szCs w:val="21"/>
                <w:highlight w:val="none"/>
              </w:rPr>
            </w:pPr>
            <w:r>
              <w:rPr>
                <w:rFonts w:hint="eastAsia" w:ascii="宋体" w:hAnsi="宋体" w:eastAsia="宋体" w:cs="宋体"/>
                <w:b w:val="0"/>
                <w:bCs/>
                <w:color w:val="auto"/>
                <w:szCs w:val="21"/>
                <w:highlight w:val="none"/>
              </w:rPr>
              <w:t>四档（15分）：提供的服务承诺方案，有软件正常运行运维、紧急故障处理、系统漏洞修复、系统功能完善方案；有服务保障措施及服务质量保障，包括运维服务期的技术支持和维护能力情况；提供服务流程，包</w:t>
            </w:r>
            <w:r>
              <w:rPr>
                <w:rFonts w:hint="eastAsia" w:ascii="宋体" w:hAnsi="宋体" w:cs="宋体"/>
                <w:b w:val="0"/>
                <w:bCs/>
                <w:color w:val="auto"/>
                <w:szCs w:val="21"/>
                <w:highlight w:val="none"/>
                <w:lang w:val="en-US" w:eastAsia="zh-CN"/>
              </w:rPr>
              <w:t>括紧急维护、重要服务、主动巡检等半年一次巡检服务，承诺运维服务期内，接到故障通知后10分钟内响应，10小时内到达现场维修</w:t>
            </w:r>
            <w:r>
              <w:rPr>
                <w:rFonts w:hint="eastAsia" w:ascii="宋体" w:hAnsi="宋体" w:eastAsia="宋体" w:cs="宋体"/>
                <w:b w:val="0"/>
                <w:bCs/>
                <w:color w:val="auto"/>
                <w:szCs w:val="21"/>
                <w:highlight w:val="none"/>
              </w:rPr>
              <w:t>。</w:t>
            </w:r>
          </w:p>
          <w:p w14:paraId="50B2DA09">
            <w:pPr>
              <w:pStyle w:val="18"/>
              <w:keepNext w:val="0"/>
              <w:keepLines w:val="0"/>
              <w:pageBreakBefore w:val="0"/>
              <w:kinsoku/>
              <w:wordWrap/>
              <w:overflowPunct/>
              <w:topLinePunct w:val="0"/>
              <w:autoSpaceDE/>
              <w:autoSpaceDN/>
              <w:bidi w:val="0"/>
              <w:adjustRightInd/>
              <w:snapToGrid/>
              <w:spacing w:line="360" w:lineRule="exact"/>
              <w:ind w:firstLine="420" w:firstLineChars="200"/>
              <w:textAlignment w:val="auto"/>
              <w:rPr>
                <w:rFonts w:hint="eastAsia" w:ascii="宋体" w:hAnsi="宋体" w:eastAsia="宋体" w:cs="宋体"/>
                <w:b w:val="0"/>
                <w:bCs/>
                <w:color w:val="auto"/>
                <w:kern w:val="0"/>
                <w:szCs w:val="21"/>
                <w:highlight w:val="none"/>
              </w:rPr>
            </w:pPr>
            <w:r>
              <w:rPr>
                <w:rFonts w:hint="eastAsia" w:ascii="宋体" w:hAnsi="宋体" w:eastAsia="宋体" w:cs="宋体"/>
                <w:b w:val="0"/>
                <w:bCs/>
                <w:color w:val="auto"/>
                <w:szCs w:val="21"/>
                <w:highlight w:val="none"/>
              </w:rPr>
              <w:t>五档（20分）：提供的服务承诺方案，有软件正常运行运维、紧急故障处理、系统漏洞修复、系统功能完善方案</w:t>
            </w:r>
            <w:r>
              <w:rPr>
                <w:rFonts w:hint="eastAsia" w:hAnsi="宋体" w:cs="宋体"/>
                <w:b w:val="0"/>
                <w:bCs/>
                <w:color w:val="auto"/>
                <w:szCs w:val="21"/>
                <w:highlight w:val="none"/>
                <w:lang w:eastAsia="zh-CN"/>
              </w:rPr>
              <w:t>；</w:t>
            </w:r>
            <w:r>
              <w:rPr>
                <w:rFonts w:hint="eastAsia" w:ascii="宋体" w:hAnsi="宋体" w:eastAsia="宋体" w:cs="宋体"/>
                <w:b w:val="0"/>
                <w:bCs/>
                <w:color w:val="auto"/>
                <w:szCs w:val="21"/>
                <w:highlight w:val="none"/>
              </w:rPr>
              <w:t>有服务保障措施及服务质量保障，包括运维服务期的技术支持、维护能力情况</w:t>
            </w:r>
            <w:r>
              <w:rPr>
                <w:rFonts w:hint="eastAsia" w:hAnsi="宋体" w:cs="宋体"/>
                <w:b w:val="0"/>
                <w:bCs/>
                <w:color w:val="auto"/>
                <w:szCs w:val="21"/>
                <w:highlight w:val="none"/>
                <w:lang w:eastAsia="zh-CN"/>
              </w:rPr>
              <w:t>；</w:t>
            </w:r>
            <w:r>
              <w:rPr>
                <w:rFonts w:hint="eastAsia" w:ascii="宋体" w:hAnsi="宋体" w:eastAsia="宋体" w:cs="宋体"/>
                <w:b w:val="0"/>
                <w:bCs/>
                <w:color w:val="auto"/>
                <w:szCs w:val="21"/>
                <w:highlight w:val="none"/>
              </w:rPr>
              <w:t>提供服务流程，包括故障处理、电话维护、及时检查、上门维护、处理故障、紧急维护、重要服务、主动巡检</w:t>
            </w:r>
            <w:r>
              <w:rPr>
                <w:rFonts w:hint="eastAsia" w:hAnsi="宋体" w:cs="宋体"/>
                <w:b w:val="0"/>
                <w:bCs/>
                <w:color w:val="auto"/>
                <w:szCs w:val="21"/>
                <w:highlight w:val="none"/>
                <w:lang w:eastAsia="zh-CN"/>
              </w:rPr>
              <w:t>；</w:t>
            </w:r>
            <w:r>
              <w:rPr>
                <w:rFonts w:hint="eastAsia" w:ascii="宋体" w:hAnsi="宋体" w:eastAsia="宋体" w:cs="宋体"/>
                <w:b w:val="0"/>
                <w:bCs/>
                <w:color w:val="auto"/>
                <w:szCs w:val="21"/>
                <w:highlight w:val="none"/>
              </w:rPr>
              <w:t>提供每季度一次巡检服务，承诺接到故障通知后立即响应，4小时内到达现场维修</w:t>
            </w:r>
            <w:r>
              <w:rPr>
                <w:rFonts w:hint="eastAsia" w:hAnsi="宋体" w:cs="宋体"/>
                <w:b w:val="0"/>
                <w:bCs/>
                <w:color w:val="auto"/>
                <w:szCs w:val="21"/>
                <w:highlight w:val="none"/>
                <w:lang w:eastAsia="zh-CN"/>
              </w:rPr>
              <w:t>；</w:t>
            </w:r>
            <w:r>
              <w:rPr>
                <w:rFonts w:hint="eastAsia" w:ascii="宋体" w:hAnsi="宋体" w:eastAsia="宋体" w:cs="宋体"/>
                <w:b w:val="0"/>
                <w:bCs/>
                <w:color w:val="auto"/>
                <w:szCs w:val="21"/>
                <w:highlight w:val="none"/>
              </w:rPr>
              <w:t>前端监控站点能配置后备电源，提供 7*24小时不间断供电保障，市电中断后能提供油机发电保障，投标人需 提供有效证明材料或承诺函</w:t>
            </w:r>
            <w:r>
              <w:rPr>
                <w:rFonts w:hint="eastAsia" w:hAnsi="宋体" w:cs="宋体"/>
                <w:b w:val="0"/>
                <w:bCs/>
                <w:color w:val="auto"/>
                <w:szCs w:val="21"/>
                <w:highlight w:val="none"/>
                <w:lang w:eastAsia="zh-CN"/>
              </w:rPr>
              <w:t>，</w:t>
            </w:r>
            <w:r>
              <w:rPr>
                <w:rFonts w:hint="eastAsia" w:ascii="宋体" w:hAnsi="宋体" w:eastAsia="宋体" w:cs="宋体"/>
                <w:b w:val="0"/>
                <w:bCs/>
                <w:color w:val="auto"/>
                <w:szCs w:val="21"/>
                <w:highlight w:val="none"/>
              </w:rPr>
              <w:t>提供有运维期满后的运维计划，保障系统正常运行</w:t>
            </w:r>
            <w:r>
              <w:rPr>
                <w:rFonts w:hint="eastAsia" w:ascii="宋体" w:hAnsi="宋体" w:eastAsia="宋体" w:cs="宋体"/>
                <w:b w:val="0"/>
                <w:bCs/>
                <w:color w:val="auto"/>
                <w:kern w:val="0"/>
                <w:szCs w:val="21"/>
                <w:highlight w:val="none"/>
              </w:rPr>
              <w:t>。</w:t>
            </w:r>
          </w:p>
          <w:p w14:paraId="6C436FFA">
            <w:pPr>
              <w:pStyle w:val="8"/>
              <w:ind w:left="0" w:leftChars="0" w:firstLine="422" w:firstLineChars="200"/>
              <w:rPr>
                <w:rFonts w:hint="eastAsia" w:ascii="宋体" w:hAnsi="宋体" w:eastAsia="宋体" w:cs="宋体"/>
                <w:color w:val="auto"/>
                <w:highlight w:val="none"/>
              </w:rPr>
            </w:pPr>
            <w:r>
              <w:rPr>
                <w:rFonts w:hint="eastAsia" w:ascii="宋体" w:hAnsi="宋体" w:eastAsia="宋体" w:cs="宋体"/>
                <w:b/>
                <w:bCs w:val="0"/>
                <w:color w:val="auto"/>
                <w:sz w:val="21"/>
                <w:szCs w:val="21"/>
                <w:highlight w:val="none"/>
              </w:rPr>
              <w:t>注：未提供</w:t>
            </w:r>
            <w:r>
              <w:rPr>
                <w:rFonts w:hint="eastAsia" w:ascii="宋体" w:hAnsi="宋体" w:eastAsia="宋体" w:cs="宋体"/>
                <w:b/>
                <w:bCs w:val="0"/>
                <w:color w:val="auto"/>
                <w:sz w:val="21"/>
                <w:szCs w:val="21"/>
                <w:highlight w:val="none"/>
                <w:lang w:val="en-US" w:eastAsia="zh-CN"/>
              </w:rPr>
              <w:t>方案</w:t>
            </w:r>
            <w:r>
              <w:rPr>
                <w:rFonts w:hint="eastAsia" w:ascii="宋体" w:hAnsi="宋体" w:eastAsia="宋体" w:cs="宋体"/>
                <w:b/>
                <w:bCs w:val="0"/>
                <w:color w:val="auto"/>
                <w:sz w:val="21"/>
                <w:szCs w:val="21"/>
                <w:highlight w:val="none"/>
              </w:rPr>
              <w:t>或不符合最低入档条件的计0分。</w:t>
            </w:r>
          </w:p>
        </w:tc>
        <w:tc>
          <w:tcPr>
            <w:tcW w:w="635" w:type="pct"/>
            <w:tcBorders>
              <w:top w:val="single" w:color="auto" w:sz="4" w:space="0"/>
              <w:left w:val="single" w:color="auto" w:sz="4" w:space="0"/>
              <w:bottom w:val="single" w:color="auto" w:sz="4" w:space="0"/>
              <w:right w:val="single" w:color="auto" w:sz="4" w:space="0"/>
            </w:tcBorders>
            <w:noWrap w:val="0"/>
            <w:vAlign w:val="center"/>
          </w:tcPr>
          <w:p w14:paraId="05B4AA66">
            <w:pPr>
              <w:pStyle w:val="18"/>
              <w:keepNext w:val="0"/>
              <w:keepLines w:val="0"/>
              <w:pageBreakBefore w:val="0"/>
              <w:kinsoku/>
              <w:wordWrap/>
              <w:overflowPunct/>
              <w:topLinePunct w:val="0"/>
              <w:autoSpaceDE/>
              <w:autoSpaceDN/>
              <w:bidi w:val="0"/>
              <w:adjustRightInd/>
              <w:snapToGrid/>
              <w:spacing w:line="360" w:lineRule="exact"/>
              <w:jc w:val="center"/>
              <w:textAlignment w:val="auto"/>
              <w:rPr>
                <w:rFonts w:hint="eastAsia" w:ascii="宋体" w:hAnsi="宋体" w:eastAsia="宋体" w:cs="宋体"/>
                <w:b w:val="0"/>
                <w:bCs/>
                <w:color w:val="auto"/>
                <w:highlight w:val="none"/>
                <w:lang w:val="en-US" w:eastAsia="zh-CN"/>
              </w:rPr>
            </w:pPr>
            <w:r>
              <w:rPr>
                <w:rFonts w:hint="eastAsia" w:ascii="宋体" w:hAnsi="宋体" w:eastAsia="宋体" w:cs="宋体"/>
                <w:b w:val="0"/>
                <w:bCs/>
                <w:color w:val="auto"/>
                <w:highlight w:val="none"/>
              </w:rPr>
              <w:t>20</w:t>
            </w:r>
            <w:r>
              <w:rPr>
                <w:rFonts w:hint="eastAsia" w:ascii="宋体" w:hAnsi="宋体" w:eastAsia="宋体" w:cs="宋体"/>
                <w:b w:val="0"/>
                <w:bCs/>
                <w:color w:val="auto"/>
                <w:highlight w:val="none"/>
                <w:lang w:val="en-US" w:eastAsia="zh-CN"/>
              </w:rPr>
              <w:t>分</w:t>
            </w:r>
          </w:p>
        </w:tc>
      </w:tr>
      <w:tr w14:paraId="1F265F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77" w:type="pct"/>
            <w:tcBorders>
              <w:top w:val="single" w:color="auto" w:sz="4" w:space="0"/>
              <w:left w:val="single" w:color="auto" w:sz="4" w:space="0"/>
              <w:bottom w:val="single" w:color="auto" w:sz="4" w:space="0"/>
              <w:right w:val="single" w:color="auto" w:sz="4" w:space="0"/>
            </w:tcBorders>
            <w:noWrap w:val="0"/>
            <w:vAlign w:val="center"/>
          </w:tcPr>
          <w:p w14:paraId="766849C3">
            <w:pPr>
              <w:pStyle w:val="18"/>
              <w:keepNext w:val="0"/>
              <w:keepLines w:val="0"/>
              <w:pageBreakBefore w:val="0"/>
              <w:kinsoku/>
              <w:wordWrap/>
              <w:overflowPunct/>
              <w:topLinePunct w:val="0"/>
              <w:autoSpaceDE/>
              <w:autoSpaceDN/>
              <w:bidi w:val="0"/>
              <w:adjustRightInd/>
              <w:snapToGrid/>
              <w:spacing w:line="360" w:lineRule="exact"/>
              <w:jc w:val="center"/>
              <w:textAlignment w:val="auto"/>
              <w:rPr>
                <w:rFonts w:hint="eastAsia" w:ascii="宋体" w:hAnsi="宋体" w:eastAsia="宋体" w:cs="宋体"/>
                <w:b w:val="0"/>
                <w:bCs/>
                <w:color w:val="auto"/>
                <w:highlight w:val="none"/>
              </w:rPr>
            </w:pPr>
            <w:r>
              <w:rPr>
                <w:rFonts w:hint="eastAsia" w:ascii="宋体" w:hAnsi="宋体" w:eastAsia="宋体" w:cs="宋体"/>
                <w:b w:val="0"/>
                <w:bCs/>
                <w:color w:val="auto"/>
                <w:highlight w:val="none"/>
              </w:rPr>
              <w:t>6</w:t>
            </w:r>
          </w:p>
        </w:tc>
        <w:tc>
          <w:tcPr>
            <w:tcW w:w="593" w:type="pct"/>
            <w:tcBorders>
              <w:top w:val="single" w:color="auto" w:sz="4" w:space="0"/>
              <w:left w:val="single" w:color="auto" w:sz="4" w:space="0"/>
              <w:bottom w:val="single" w:color="auto" w:sz="4" w:space="0"/>
              <w:right w:val="single" w:color="auto" w:sz="4" w:space="0"/>
            </w:tcBorders>
            <w:noWrap w:val="0"/>
            <w:vAlign w:val="center"/>
          </w:tcPr>
          <w:p w14:paraId="157C30C9">
            <w:pPr>
              <w:pStyle w:val="18"/>
              <w:keepNext w:val="0"/>
              <w:keepLines w:val="0"/>
              <w:pageBreakBefore w:val="0"/>
              <w:kinsoku/>
              <w:wordWrap/>
              <w:overflowPunct/>
              <w:topLinePunct w:val="0"/>
              <w:autoSpaceDE/>
              <w:autoSpaceDN/>
              <w:bidi w:val="0"/>
              <w:adjustRightInd/>
              <w:snapToGrid/>
              <w:spacing w:line="360" w:lineRule="exact"/>
              <w:jc w:val="center"/>
              <w:textAlignment w:val="auto"/>
              <w:rPr>
                <w:rFonts w:hint="eastAsia" w:ascii="宋体" w:hAnsi="宋体" w:eastAsia="宋体" w:cs="宋体"/>
                <w:b w:val="0"/>
                <w:bCs/>
                <w:color w:val="auto"/>
                <w:highlight w:val="none"/>
              </w:rPr>
            </w:pPr>
            <w:r>
              <w:rPr>
                <w:rFonts w:hint="eastAsia" w:ascii="宋体" w:hAnsi="宋体" w:eastAsia="宋体" w:cs="宋体"/>
                <w:b w:val="0"/>
                <w:bCs/>
                <w:color w:val="auto"/>
                <w:szCs w:val="21"/>
                <w:highlight w:val="none"/>
              </w:rPr>
              <w:t>培训方案</w:t>
            </w:r>
          </w:p>
        </w:tc>
        <w:tc>
          <w:tcPr>
            <w:tcW w:w="3394" w:type="pct"/>
            <w:tcBorders>
              <w:top w:val="single" w:color="auto" w:sz="4" w:space="0"/>
              <w:left w:val="single" w:color="auto" w:sz="4" w:space="0"/>
              <w:bottom w:val="single" w:color="auto" w:sz="4" w:space="0"/>
              <w:right w:val="single" w:color="auto" w:sz="4" w:space="0"/>
            </w:tcBorders>
            <w:noWrap w:val="0"/>
            <w:vAlign w:val="top"/>
          </w:tcPr>
          <w:p w14:paraId="62361394">
            <w:pPr>
              <w:keepNext w:val="0"/>
              <w:keepLines w:val="0"/>
              <w:pageBreakBefore w:val="0"/>
              <w:kinsoku/>
              <w:wordWrap/>
              <w:overflowPunct/>
              <w:topLinePunct w:val="0"/>
              <w:autoSpaceDE/>
              <w:autoSpaceDN/>
              <w:bidi w:val="0"/>
              <w:adjustRightInd/>
              <w:snapToGrid/>
              <w:spacing w:line="360" w:lineRule="exact"/>
              <w:ind w:firstLine="420" w:firstLineChars="200"/>
              <w:jc w:val="left"/>
              <w:textAlignment w:val="auto"/>
              <w:rPr>
                <w:rFonts w:hint="eastAsia" w:ascii="宋体" w:hAnsi="宋体" w:eastAsia="宋体" w:cs="宋体"/>
                <w:b w:val="0"/>
                <w:bCs/>
                <w:color w:val="auto"/>
                <w:szCs w:val="21"/>
                <w:highlight w:val="none"/>
                <w:lang w:val="en-US" w:eastAsia="zh-CN"/>
              </w:rPr>
            </w:pPr>
            <w:r>
              <w:rPr>
                <w:rFonts w:hint="eastAsia" w:ascii="宋体" w:hAnsi="宋体" w:eastAsia="宋体" w:cs="宋体"/>
                <w:b w:val="0"/>
                <w:bCs/>
                <w:color w:val="auto"/>
                <w:szCs w:val="21"/>
                <w:highlight w:val="none"/>
                <w:lang w:val="en-US" w:eastAsia="zh-CN"/>
              </w:rPr>
              <w:t>一档（2分）：提供有培训方案，能承诺对工作人员、系统操作人员、采购人的要求进行系统培训，有培训内容、培训方法。</w:t>
            </w:r>
          </w:p>
          <w:p w14:paraId="7E3EAE5C">
            <w:pPr>
              <w:keepNext w:val="0"/>
              <w:keepLines w:val="0"/>
              <w:pageBreakBefore w:val="0"/>
              <w:kinsoku/>
              <w:wordWrap/>
              <w:overflowPunct/>
              <w:topLinePunct w:val="0"/>
              <w:autoSpaceDE/>
              <w:autoSpaceDN/>
              <w:bidi w:val="0"/>
              <w:adjustRightInd/>
              <w:snapToGrid/>
              <w:spacing w:line="360" w:lineRule="exact"/>
              <w:ind w:firstLine="420" w:firstLineChars="200"/>
              <w:jc w:val="left"/>
              <w:textAlignment w:val="auto"/>
              <w:rPr>
                <w:rFonts w:hint="eastAsia" w:ascii="宋体" w:hAnsi="宋体" w:eastAsia="宋体" w:cs="宋体"/>
                <w:b w:val="0"/>
                <w:bCs/>
                <w:color w:val="auto"/>
                <w:szCs w:val="21"/>
                <w:highlight w:val="none"/>
                <w:lang w:val="en-US" w:eastAsia="zh-CN"/>
              </w:rPr>
            </w:pPr>
            <w:r>
              <w:rPr>
                <w:rFonts w:hint="eastAsia" w:ascii="宋体" w:hAnsi="宋体" w:eastAsia="宋体" w:cs="宋体"/>
                <w:b w:val="0"/>
                <w:bCs/>
                <w:color w:val="auto"/>
                <w:szCs w:val="21"/>
                <w:highlight w:val="none"/>
                <w:lang w:val="en-US" w:eastAsia="zh-CN"/>
              </w:rPr>
              <w:t>二档（6分）：提供有培训方案，能承诺对工作人员、系统操作人员、采购人的要求进行系统培训，有培训内容、培训方法、培训时间、培训计划，拟投入专门负责培训的技术人员不少于2人，培训次数不少于2次，理论培训时长每次不低于10分钟，实操培训时长每次不低于10分钟。</w:t>
            </w:r>
          </w:p>
          <w:p w14:paraId="18A9FCD9">
            <w:pPr>
              <w:keepNext w:val="0"/>
              <w:keepLines w:val="0"/>
              <w:pageBreakBefore w:val="0"/>
              <w:kinsoku/>
              <w:wordWrap/>
              <w:overflowPunct/>
              <w:topLinePunct w:val="0"/>
              <w:autoSpaceDE/>
              <w:autoSpaceDN/>
              <w:bidi w:val="0"/>
              <w:adjustRightInd/>
              <w:snapToGrid/>
              <w:spacing w:line="360" w:lineRule="exact"/>
              <w:ind w:firstLine="420" w:firstLineChars="200"/>
              <w:jc w:val="left"/>
              <w:textAlignment w:val="auto"/>
              <w:rPr>
                <w:rFonts w:hint="eastAsia" w:ascii="宋体" w:hAnsi="宋体" w:eastAsia="宋体" w:cs="宋体"/>
                <w:b w:val="0"/>
                <w:bCs/>
                <w:color w:val="auto"/>
                <w:szCs w:val="21"/>
                <w:highlight w:val="none"/>
                <w:lang w:val="en-US" w:eastAsia="zh-CN"/>
              </w:rPr>
            </w:pPr>
            <w:r>
              <w:rPr>
                <w:rFonts w:hint="eastAsia" w:ascii="宋体" w:hAnsi="宋体" w:eastAsia="宋体" w:cs="宋体"/>
                <w:b w:val="0"/>
                <w:bCs/>
                <w:color w:val="auto"/>
                <w:szCs w:val="21"/>
                <w:highlight w:val="none"/>
                <w:lang w:val="en-US" w:eastAsia="zh-CN"/>
              </w:rPr>
              <w:t>三档（10分）：提供有培训方案，能承诺对工作人员、系统操作人员、采购人的要求进行系统培训，有培训内容、培训方法、培训时间、培训地点安排等内容，拟投入专门负责培训的技术人员不少于3人，培训次数不少于4次，理论培训时长每次不低于</w:t>
            </w:r>
            <w:r>
              <w:rPr>
                <w:rFonts w:hint="eastAsia" w:ascii="宋体" w:hAnsi="宋体" w:cs="宋体"/>
                <w:b w:val="0"/>
                <w:bCs/>
                <w:color w:val="auto"/>
                <w:szCs w:val="21"/>
                <w:highlight w:val="none"/>
                <w:lang w:val="en-US" w:eastAsia="zh-CN"/>
              </w:rPr>
              <w:t>10</w:t>
            </w:r>
            <w:r>
              <w:rPr>
                <w:rFonts w:hint="eastAsia" w:ascii="宋体" w:hAnsi="宋体" w:eastAsia="宋体" w:cs="宋体"/>
                <w:b w:val="0"/>
                <w:bCs/>
                <w:color w:val="auto"/>
                <w:szCs w:val="21"/>
                <w:highlight w:val="none"/>
                <w:lang w:val="en-US" w:eastAsia="zh-CN"/>
              </w:rPr>
              <w:t>分钟，实操培训时长每次不低于20分钟,拟投入专业技术人员具有相关培训经验并制定培训计划， 保证采购人相关人员能够独立操作使用和具有简单运维的能力。</w:t>
            </w:r>
          </w:p>
          <w:p w14:paraId="162C0308">
            <w:pPr>
              <w:keepNext w:val="0"/>
              <w:keepLines w:val="0"/>
              <w:pageBreakBefore w:val="0"/>
              <w:kinsoku/>
              <w:wordWrap/>
              <w:overflowPunct/>
              <w:topLinePunct w:val="0"/>
              <w:autoSpaceDE/>
              <w:autoSpaceDN/>
              <w:bidi w:val="0"/>
              <w:adjustRightInd/>
              <w:snapToGrid/>
              <w:spacing w:line="360" w:lineRule="exact"/>
              <w:ind w:firstLine="422" w:firstLineChars="200"/>
              <w:jc w:val="left"/>
              <w:textAlignment w:val="auto"/>
              <w:rPr>
                <w:rFonts w:hint="eastAsia" w:ascii="宋体" w:hAnsi="宋体" w:eastAsia="宋体" w:cs="宋体"/>
                <w:color w:val="auto"/>
                <w:highlight w:val="none"/>
              </w:rPr>
            </w:pPr>
            <w:r>
              <w:rPr>
                <w:rFonts w:hint="eastAsia" w:ascii="宋体" w:hAnsi="宋体" w:eastAsia="宋体" w:cs="宋体"/>
                <w:b/>
                <w:bCs w:val="0"/>
                <w:color w:val="auto"/>
                <w:szCs w:val="21"/>
                <w:highlight w:val="none"/>
              </w:rPr>
              <w:t>注：未提供</w:t>
            </w:r>
            <w:r>
              <w:rPr>
                <w:rFonts w:hint="eastAsia" w:ascii="宋体" w:hAnsi="宋体" w:eastAsia="宋体" w:cs="宋体"/>
                <w:b/>
                <w:bCs w:val="0"/>
                <w:color w:val="auto"/>
                <w:szCs w:val="21"/>
                <w:highlight w:val="none"/>
                <w:lang w:val="en-US" w:eastAsia="zh-CN"/>
              </w:rPr>
              <w:t>方案</w:t>
            </w:r>
            <w:r>
              <w:rPr>
                <w:rFonts w:hint="eastAsia" w:ascii="宋体" w:hAnsi="宋体" w:eastAsia="宋体" w:cs="宋体"/>
                <w:b/>
                <w:bCs w:val="0"/>
                <w:color w:val="auto"/>
                <w:szCs w:val="21"/>
                <w:highlight w:val="none"/>
              </w:rPr>
              <w:t>或不符合最低入档条件的计0分。</w:t>
            </w:r>
          </w:p>
        </w:tc>
        <w:tc>
          <w:tcPr>
            <w:tcW w:w="635" w:type="pct"/>
            <w:tcBorders>
              <w:top w:val="single" w:color="auto" w:sz="4" w:space="0"/>
              <w:left w:val="single" w:color="auto" w:sz="4" w:space="0"/>
              <w:bottom w:val="single" w:color="auto" w:sz="4" w:space="0"/>
              <w:right w:val="single" w:color="auto" w:sz="4" w:space="0"/>
            </w:tcBorders>
            <w:noWrap w:val="0"/>
            <w:vAlign w:val="center"/>
          </w:tcPr>
          <w:p w14:paraId="314C6C3B">
            <w:pPr>
              <w:pStyle w:val="18"/>
              <w:keepNext w:val="0"/>
              <w:keepLines w:val="0"/>
              <w:pageBreakBefore w:val="0"/>
              <w:kinsoku/>
              <w:wordWrap/>
              <w:overflowPunct/>
              <w:topLinePunct w:val="0"/>
              <w:autoSpaceDE/>
              <w:autoSpaceDN/>
              <w:bidi w:val="0"/>
              <w:adjustRightInd/>
              <w:snapToGrid/>
              <w:spacing w:line="360" w:lineRule="exact"/>
              <w:jc w:val="center"/>
              <w:textAlignment w:val="auto"/>
              <w:rPr>
                <w:rFonts w:hint="eastAsia" w:ascii="宋体" w:hAnsi="宋体" w:eastAsia="宋体" w:cs="宋体"/>
                <w:b w:val="0"/>
                <w:bCs/>
                <w:color w:val="auto"/>
                <w:highlight w:val="none"/>
                <w:lang w:val="en-US" w:eastAsia="zh-CN"/>
              </w:rPr>
            </w:pPr>
            <w:r>
              <w:rPr>
                <w:rFonts w:hint="eastAsia" w:ascii="宋体" w:hAnsi="宋体" w:eastAsia="宋体" w:cs="宋体"/>
                <w:b w:val="0"/>
                <w:bCs/>
                <w:color w:val="auto"/>
                <w:highlight w:val="none"/>
                <w:lang w:val="en-US" w:eastAsia="zh-CN"/>
              </w:rPr>
              <w:t>10分</w:t>
            </w:r>
          </w:p>
        </w:tc>
      </w:tr>
      <w:tr w14:paraId="4BE822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77" w:type="pct"/>
            <w:tcBorders>
              <w:top w:val="single" w:color="auto" w:sz="4" w:space="0"/>
              <w:left w:val="single" w:color="auto" w:sz="4" w:space="0"/>
              <w:bottom w:val="single" w:color="auto" w:sz="4" w:space="0"/>
              <w:right w:val="single" w:color="auto" w:sz="4" w:space="0"/>
            </w:tcBorders>
            <w:noWrap w:val="0"/>
            <w:vAlign w:val="center"/>
          </w:tcPr>
          <w:p w14:paraId="0ACE16D8">
            <w:pPr>
              <w:pStyle w:val="18"/>
              <w:keepNext w:val="0"/>
              <w:keepLines w:val="0"/>
              <w:pageBreakBefore w:val="0"/>
              <w:kinsoku/>
              <w:wordWrap/>
              <w:overflowPunct/>
              <w:topLinePunct w:val="0"/>
              <w:autoSpaceDE/>
              <w:autoSpaceDN/>
              <w:bidi w:val="0"/>
              <w:adjustRightInd/>
              <w:snapToGrid/>
              <w:spacing w:line="360" w:lineRule="exact"/>
              <w:jc w:val="center"/>
              <w:textAlignment w:val="auto"/>
              <w:rPr>
                <w:rFonts w:hint="eastAsia" w:ascii="宋体" w:hAnsi="宋体" w:eastAsia="宋体" w:cs="宋体"/>
                <w:bCs/>
                <w:color w:val="auto"/>
                <w:highlight w:val="none"/>
              </w:rPr>
            </w:pPr>
            <w:r>
              <w:rPr>
                <w:rFonts w:hint="eastAsia" w:ascii="宋体" w:hAnsi="宋体" w:eastAsia="宋体" w:cs="宋体"/>
                <w:bCs/>
                <w:color w:val="auto"/>
                <w:highlight w:val="none"/>
              </w:rPr>
              <w:t>7</w:t>
            </w:r>
          </w:p>
        </w:tc>
        <w:tc>
          <w:tcPr>
            <w:tcW w:w="593" w:type="pct"/>
            <w:tcBorders>
              <w:top w:val="single" w:color="auto" w:sz="4" w:space="0"/>
              <w:left w:val="single" w:color="auto" w:sz="4" w:space="0"/>
              <w:bottom w:val="single" w:color="auto" w:sz="4" w:space="0"/>
              <w:right w:val="single" w:color="auto" w:sz="4" w:space="0"/>
            </w:tcBorders>
            <w:noWrap w:val="0"/>
            <w:vAlign w:val="center"/>
          </w:tcPr>
          <w:p w14:paraId="6CB55E56">
            <w:pPr>
              <w:pStyle w:val="18"/>
              <w:keepNext w:val="0"/>
              <w:keepLines w:val="0"/>
              <w:pageBreakBefore w:val="0"/>
              <w:kinsoku/>
              <w:wordWrap/>
              <w:overflowPunct/>
              <w:topLinePunct w:val="0"/>
              <w:autoSpaceDE/>
              <w:autoSpaceDN/>
              <w:bidi w:val="0"/>
              <w:adjustRightInd/>
              <w:snapToGrid/>
              <w:spacing w:line="360" w:lineRule="exact"/>
              <w:jc w:val="center"/>
              <w:textAlignment w:val="auto"/>
              <w:rPr>
                <w:rFonts w:hint="eastAsia" w:ascii="宋体" w:hAnsi="宋体" w:eastAsia="宋体" w:cs="宋体"/>
                <w:b w:val="0"/>
                <w:bCs/>
                <w:color w:val="auto"/>
                <w:szCs w:val="21"/>
                <w:highlight w:val="none"/>
              </w:rPr>
            </w:pPr>
            <w:r>
              <w:rPr>
                <w:rFonts w:hint="eastAsia" w:ascii="宋体" w:hAnsi="宋体" w:eastAsia="宋体" w:cs="宋体"/>
                <w:b w:val="0"/>
                <w:bCs/>
                <w:color w:val="auto"/>
                <w:szCs w:val="21"/>
                <w:highlight w:val="none"/>
              </w:rPr>
              <w:t>业绩分</w:t>
            </w:r>
          </w:p>
        </w:tc>
        <w:tc>
          <w:tcPr>
            <w:tcW w:w="3394" w:type="pct"/>
            <w:tcBorders>
              <w:top w:val="single" w:color="auto" w:sz="4" w:space="0"/>
              <w:left w:val="single" w:color="auto" w:sz="4" w:space="0"/>
              <w:bottom w:val="single" w:color="auto" w:sz="4" w:space="0"/>
              <w:right w:val="single" w:color="auto" w:sz="4" w:space="0"/>
            </w:tcBorders>
            <w:noWrap w:val="0"/>
            <w:vAlign w:val="top"/>
          </w:tcPr>
          <w:p w14:paraId="2E6FC21A">
            <w:pPr>
              <w:pStyle w:val="18"/>
              <w:keepNext w:val="0"/>
              <w:keepLines w:val="0"/>
              <w:pageBreakBefore w:val="0"/>
              <w:kinsoku/>
              <w:wordWrap/>
              <w:overflowPunct/>
              <w:topLinePunct w:val="0"/>
              <w:autoSpaceDE/>
              <w:autoSpaceDN/>
              <w:bidi w:val="0"/>
              <w:adjustRightInd/>
              <w:snapToGrid/>
              <w:spacing w:line="360" w:lineRule="exact"/>
              <w:ind w:firstLine="420" w:firstLineChars="200"/>
              <w:textAlignment w:val="auto"/>
              <w:rPr>
                <w:rFonts w:hint="eastAsia" w:ascii="宋体" w:hAnsi="宋体" w:eastAsia="宋体" w:cs="宋体"/>
                <w:b/>
                <w:bCs/>
                <w:color w:val="auto"/>
                <w:szCs w:val="21"/>
                <w:highlight w:val="none"/>
              </w:rPr>
            </w:pPr>
            <w:r>
              <w:rPr>
                <w:rFonts w:hint="eastAsia" w:ascii="宋体" w:hAnsi="宋体" w:eastAsia="宋体" w:cs="宋体"/>
                <w:bCs/>
                <w:color w:val="auto"/>
                <w:szCs w:val="21"/>
                <w:highlight w:val="none"/>
              </w:rPr>
              <w:t>投标人202</w:t>
            </w:r>
            <w:r>
              <w:rPr>
                <w:rFonts w:hint="eastAsia" w:hAnsi="宋体" w:cs="宋体"/>
                <w:bCs/>
                <w:color w:val="auto"/>
                <w:szCs w:val="21"/>
                <w:highlight w:val="none"/>
                <w:lang w:val="en-US" w:eastAsia="zh-CN"/>
              </w:rPr>
              <w:t>3</w:t>
            </w:r>
            <w:r>
              <w:rPr>
                <w:rFonts w:hint="eastAsia" w:ascii="宋体" w:hAnsi="宋体" w:eastAsia="宋体" w:cs="宋体"/>
                <w:bCs/>
                <w:color w:val="auto"/>
                <w:szCs w:val="21"/>
                <w:highlight w:val="none"/>
              </w:rPr>
              <w:t>年</w:t>
            </w:r>
            <w:r>
              <w:rPr>
                <w:rFonts w:hint="eastAsia" w:hAnsi="宋体" w:cs="宋体"/>
                <w:bCs/>
                <w:color w:val="auto"/>
                <w:szCs w:val="21"/>
                <w:highlight w:val="none"/>
                <w:lang w:val="en-US" w:eastAsia="zh-CN"/>
              </w:rPr>
              <w:t>7</w:t>
            </w:r>
            <w:r>
              <w:rPr>
                <w:rFonts w:hint="eastAsia" w:ascii="宋体" w:hAnsi="宋体" w:eastAsia="宋体" w:cs="宋体"/>
                <w:bCs/>
                <w:color w:val="auto"/>
                <w:szCs w:val="21"/>
                <w:highlight w:val="none"/>
              </w:rPr>
              <w:t>月1日至投标文件截止时间（以合同签订时间为准)具有与采购内容相关的业绩，每提供一个项目业绩得1分，满分5分[提供验收报告或合同或中标（成交）通知书复印件</w:t>
            </w:r>
            <w:r>
              <w:rPr>
                <w:rFonts w:hint="eastAsia" w:ascii="宋体" w:hAnsi="宋体" w:eastAsia="宋体" w:cs="宋体"/>
                <w:color w:val="auto"/>
                <w:szCs w:val="21"/>
                <w:highlight w:val="none"/>
              </w:rPr>
              <w:t>，否则不予计分</w:t>
            </w:r>
            <w:r>
              <w:rPr>
                <w:rFonts w:hint="eastAsia" w:ascii="宋体" w:hAnsi="宋体" w:eastAsia="宋体" w:cs="宋体"/>
                <w:bCs/>
                <w:color w:val="auto"/>
                <w:szCs w:val="21"/>
                <w:highlight w:val="none"/>
              </w:rPr>
              <w:t>]。</w:t>
            </w:r>
          </w:p>
        </w:tc>
        <w:tc>
          <w:tcPr>
            <w:tcW w:w="635" w:type="pct"/>
            <w:tcBorders>
              <w:top w:val="single" w:color="auto" w:sz="4" w:space="0"/>
              <w:left w:val="single" w:color="auto" w:sz="4" w:space="0"/>
              <w:bottom w:val="single" w:color="auto" w:sz="4" w:space="0"/>
              <w:right w:val="single" w:color="auto" w:sz="4" w:space="0"/>
            </w:tcBorders>
            <w:noWrap w:val="0"/>
            <w:vAlign w:val="center"/>
          </w:tcPr>
          <w:p w14:paraId="58D65821">
            <w:pPr>
              <w:pStyle w:val="18"/>
              <w:keepNext w:val="0"/>
              <w:keepLines w:val="0"/>
              <w:pageBreakBefore w:val="0"/>
              <w:kinsoku/>
              <w:wordWrap/>
              <w:overflowPunct/>
              <w:topLinePunct w:val="0"/>
              <w:autoSpaceDE/>
              <w:autoSpaceDN/>
              <w:bidi w:val="0"/>
              <w:adjustRightInd/>
              <w:snapToGrid/>
              <w:spacing w:line="360" w:lineRule="exact"/>
              <w:jc w:val="center"/>
              <w:textAlignment w:val="auto"/>
              <w:rPr>
                <w:rFonts w:hint="eastAsia" w:ascii="宋体" w:hAnsi="宋体" w:eastAsia="宋体" w:cs="宋体"/>
                <w:bCs/>
                <w:color w:val="auto"/>
                <w:highlight w:val="none"/>
                <w:lang w:val="en-US" w:eastAsia="zh-CN"/>
              </w:rPr>
            </w:pPr>
            <w:r>
              <w:rPr>
                <w:rFonts w:hint="eastAsia" w:ascii="宋体" w:hAnsi="宋体" w:eastAsia="宋体" w:cs="宋体"/>
                <w:bCs/>
                <w:color w:val="auto"/>
                <w:highlight w:val="none"/>
              </w:rPr>
              <w:t>5</w:t>
            </w:r>
            <w:r>
              <w:rPr>
                <w:rFonts w:hint="eastAsia" w:ascii="宋体" w:hAnsi="宋体" w:eastAsia="宋体" w:cs="宋体"/>
                <w:bCs/>
                <w:color w:val="auto"/>
                <w:highlight w:val="none"/>
                <w:lang w:val="en-US" w:eastAsia="zh-CN"/>
              </w:rPr>
              <w:t>分</w:t>
            </w:r>
          </w:p>
        </w:tc>
      </w:tr>
      <w:tr w14:paraId="792795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77" w:type="pct"/>
            <w:tcBorders>
              <w:top w:val="single" w:color="auto" w:sz="4" w:space="0"/>
              <w:left w:val="single" w:color="auto" w:sz="4" w:space="0"/>
              <w:bottom w:val="single" w:color="auto" w:sz="4" w:space="0"/>
              <w:right w:val="single" w:color="auto" w:sz="4" w:space="0"/>
            </w:tcBorders>
            <w:noWrap w:val="0"/>
            <w:vAlign w:val="center"/>
          </w:tcPr>
          <w:p w14:paraId="074D905C">
            <w:pPr>
              <w:pStyle w:val="18"/>
              <w:keepNext w:val="0"/>
              <w:keepLines w:val="0"/>
              <w:pageBreakBefore w:val="0"/>
              <w:kinsoku/>
              <w:wordWrap/>
              <w:overflowPunct/>
              <w:topLinePunct w:val="0"/>
              <w:autoSpaceDE/>
              <w:autoSpaceDN/>
              <w:bidi w:val="0"/>
              <w:adjustRightInd/>
              <w:snapToGrid/>
              <w:spacing w:line="360" w:lineRule="exact"/>
              <w:jc w:val="center"/>
              <w:textAlignment w:val="auto"/>
              <w:rPr>
                <w:rFonts w:hint="eastAsia" w:ascii="宋体" w:hAnsi="宋体" w:eastAsia="宋体" w:cs="宋体"/>
                <w:bCs/>
                <w:color w:val="auto"/>
                <w:kern w:val="2"/>
                <w:sz w:val="21"/>
                <w:szCs w:val="20"/>
                <w:highlight w:val="none"/>
                <w:lang w:val="en-US" w:eastAsia="zh-CN" w:bidi="ar-SA"/>
              </w:rPr>
            </w:pPr>
            <w:r>
              <w:rPr>
                <w:rFonts w:hint="eastAsia" w:ascii="宋体" w:hAnsi="宋体" w:eastAsia="宋体" w:cs="宋体"/>
                <w:bCs/>
                <w:color w:val="auto"/>
                <w:highlight w:val="none"/>
                <w:lang w:val="en-US" w:eastAsia="zh-CN"/>
              </w:rPr>
              <w:t>8</w:t>
            </w:r>
          </w:p>
        </w:tc>
        <w:tc>
          <w:tcPr>
            <w:tcW w:w="593" w:type="pct"/>
            <w:tcBorders>
              <w:top w:val="single" w:color="auto" w:sz="4" w:space="0"/>
              <w:left w:val="single" w:color="auto" w:sz="4" w:space="0"/>
              <w:bottom w:val="single" w:color="auto" w:sz="4" w:space="0"/>
              <w:right w:val="single" w:color="auto" w:sz="4" w:space="0"/>
            </w:tcBorders>
            <w:noWrap w:val="0"/>
            <w:vAlign w:val="center"/>
          </w:tcPr>
          <w:p w14:paraId="6456BBB1">
            <w:pPr>
              <w:pStyle w:val="18"/>
              <w:keepNext w:val="0"/>
              <w:keepLines w:val="0"/>
              <w:pageBreakBefore w:val="0"/>
              <w:kinsoku/>
              <w:wordWrap/>
              <w:overflowPunct/>
              <w:topLinePunct w:val="0"/>
              <w:autoSpaceDE/>
              <w:autoSpaceDN/>
              <w:bidi w:val="0"/>
              <w:adjustRightInd/>
              <w:snapToGrid/>
              <w:spacing w:line="360" w:lineRule="exact"/>
              <w:jc w:val="center"/>
              <w:textAlignment w:val="auto"/>
              <w:rPr>
                <w:rFonts w:hint="eastAsia" w:ascii="宋体" w:hAnsi="宋体" w:eastAsia="宋体" w:cs="宋体"/>
                <w:b w:val="0"/>
                <w:bCs/>
                <w:color w:val="auto"/>
                <w:kern w:val="2"/>
                <w:sz w:val="21"/>
                <w:szCs w:val="21"/>
                <w:highlight w:val="none"/>
                <w:lang w:val="en-US" w:eastAsia="zh-CN" w:bidi="ar-SA"/>
              </w:rPr>
            </w:pPr>
            <w:r>
              <w:rPr>
                <w:rFonts w:hint="eastAsia" w:ascii="宋体" w:hAnsi="宋体" w:eastAsia="宋体" w:cs="宋体"/>
                <w:b w:val="0"/>
                <w:bCs/>
                <w:color w:val="auto"/>
                <w:szCs w:val="21"/>
                <w:highlight w:val="none"/>
                <w:lang w:val="en-US" w:eastAsia="zh-CN"/>
              </w:rPr>
              <w:t>履约能力</w:t>
            </w:r>
          </w:p>
        </w:tc>
        <w:tc>
          <w:tcPr>
            <w:tcW w:w="3394" w:type="pct"/>
            <w:tcBorders>
              <w:top w:val="single" w:color="auto" w:sz="4" w:space="0"/>
              <w:left w:val="single" w:color="auto" w:sz="4" w:space="0"/>
              <w:bottom w:val="single" w:color="auto" w:sz="4" w:space="0"/>
              <w:right w:val="single" w:color="auto" w:sz="4" w:space="0"/>
            </w:tcBorders>
            <w:noWrap w:val="0"/>
            <w:vAlign w:val="top"/>
          </w:tcPr>
          <w:p w14:paraId="75D63603">
            <w:pPr>
              <w:pStyle w:val="18"/>
              <w:keepNext w:val="0"/>
              <w:keepLines w:val="0"/>
              <w:pageBreakBefore w:val="0"/>
              <w:numPr>
                <w:ilvl w:val="0"/>
                <w:numId w:val="0"/>
              </w:numPr>
              <w:kinsoku/>
              <w:wordWrap/>
              <w:overflowPunct/>
              <w:topLinePunct w:val="0"/>
              <w:autoSpaceDE/>
              <w:autoSpaceDN/>
              <w:bidi w:val="0"/>
              <w:adjustRightInd/>
              <w:snapToGrid/>
              <w:spacing w:line="360" w:lineRule="exact"/>
              <w:ind w:firstLine="420" w:firstLineChars="200"/>
              <w:textAlignment w:val="auto"/>
              <w:rPr>
                <w:rFonts w:hint="eastAsia" w:ascii="宋体" w:hAnsi="宋体" w:eastAsia="宋体" w:cs="宋体"/>
                <w:bCs/>
                <w:color w:val="auto"/>
                <w:kern w:val="2"/>
                <w:sz w:val="21"/>
                <w:szCs w:val="21"/>
                <w:highlight w:val="none"/>
                <w:lang w:val="en-US" w:eastAsia="zh-CN" w:bidi="ar-SA"/>
              </w:rPr>
            </w:pPr>
            <w:r>
              <w:rPr>
                <w:rFonts w:hint="eastAsia" w:ascii="宋体" w:hAnsi="宋体" w:eastAsia="宋体" w:cs="宋体"/>
                <w:bCs/>
                <w:color w:val="auto"/>
                <w:szCs w:val="21"/>
                <w:highlight w:val="none"/>
                <w:lang w:val="en-US" w:eastAsia="zh-CN"/>
              </w:rPr>
              <w:t>投标人具备ISO9001、ISO20000、ISO27001证书的，每具备1个得1</w:t>
            </w:r>
            <w:r>
              <w:rPr>
                <w:rFonts w:hint="eastAsia" w:hAnsi="宋体" w:cs="宋体"/>
                <w:bCs/>
                <w:color w:val="auto"/>
                <w:szCs w:val="21"/>
                <w:highlight w:val="none"/>
                <w:lang w:val="en-US" w:eastAsia="zh-CN"/>
              </w:rPr>
              <w:t>分</w:t>
            </w:r>
            <w:r>
              <w:rPr>
                <w:rFonts w:hint="eastAsia" w:ascii="宋体" w:hAnsi="宋体" w:eastAsia="宋体" w:cs="宋体"/>
                <w:bCs/>
                <w:color w:val="auto"/>
                <w:szCs w:val="21"/>
                <w:highlight w:val="none"/>
                <w:lang w:val="en-US" w:eastAsia="zh-CN"/>
              </w:rPr>
              <w:t>，共3分。</w:t>
            </w:r>
            <w:r>
              <w:rPr>
                <w:rFonts w:hint="eastAsia" w:ascii="宋体" w:hAnsi="宋体" w:eastAsia="宋体" w:cs="宋体"/>
                <w:bCs/>
                <w:color w:val="auto"/>
                <w:szCs w:val="21"/>
                <w:highlight w:val="none"/>
              </w:rPr>
              <w:t>[提供</w:t>
            </w:r>
            <w:r>
              <w:rPr>
                <w:rFonts w:hint="eastAsia" w:ascii="宋体" w:hAnsi="宋体" w:eastAsia="宋体" w:cs="宋体"/>
                <w:bCs/>
                <w:color w:val="auto"/>
                <w:szCs w:val="21"/>
                <w:highlight w:val="none"/>
                <w:lang w:val="en-US" w:eastAsia="zh-CN"/>
              </w:rPr>
              <w:t>证书</w:t>
            </w:r>
            <w:r>
              <w:rPr>
                <w:rFonts w:hint="eastAsia" w:ascii="宋体" w:hAnsi="宋体" w:eastAsia="宋体" w:cs="宋体"/>
                <w:bCs/>
                <w:color w:val="auto"/>
                <w:szCs w:val="21"/>
                <w:highlight w:val="none"/>
              </w:rPr>
              <w:t>复印件</w:t>
            </w:r>
            <w:r>
              <w:rPr>
                <w:rFonts w:hint="eastAsia" w:ascii="宋体" w:hAnsi="宋体" w:eastAsia="宋体" w:cs="宋体"/>
                <w:color w:val="auto"/>
                <w:szCs w:val="21"/>
                <w:highlight w:val="none"/>
              </w:rPr>
              <w:t>，否则不予计分</w:t>
            </w:r>
            <w:r>
              <w:rPr>
                <w:rFonts w:hint="eastAsia" w:ascii="宋体" w:hAnsi="宋体" w:eastAsia="宋体" w:cs="宋体"/>
                <w:bCs/>
                <w:color w:val="auto"/>
                <w:szCs w:val="21"/>
                <w:highlight w:val="none"/>
              </w:rPr>
              <w:t>]</w:t>
            </w:r>
          </w:p>
        </w:tc>
        <w:tc>
          <w:tcPr>
            <w:tcW w:w="635" w:type="pct"/>
            <w:tcBorders>
              <w:top w:val="single" w:color="auto" w:sz="4" w:space="0"/>
              <w:left w:val="single" w:color="auto" w:sz="4" w:space="0"/>
              <w:bottom w:val="single" w:color="auto" w:sz="4" w:space="0"/>
              <w:right w:val="single" w:color="auto" w:sz="4" w:space="0"/>
            </w:tcBorders>
            <w:noWrap w:val="0"/>
            <w:vAlign w:val="center"/>
          </w:tcPr>
          <w:p w14:paraId="280CFD98">
            <w:pPr>
              <w:pStyle w:val="18"/>
              <w:keepNext w:val="0"/>
              <w:keepLines w:val="0"/>
              <w:pageBreakBefore w:val="0"/>
              <w:kinsoku/>
              <w:wordWrap/>
              <w:overflowPunct/>
              <w:topLinePunct w:val="0"/>
              <w:autoSpaceDE/>
              <w:autoSpaceDN/>
              <w:bidi w:val="0"/>
              <w:adjustRightInd/>
              <w:snapToGrid/>
              <w:spacing w:line="360" w:lineRule="exact"/>
              <w:jc w:val="center"/>
              <w:textAlignment w:val="auto"/>
              <w:rPr>
                <w:rFonts w:hint="eastAsia" w:ascii="宋体" w:hAnsi="宋体" w:eastAsia="宋体" w:cs="宋体"/>
                <w:bCs/>
                <w:color w:val="auto"/>
                <w:kern w:val="2"/>
                <w:sz w:val="21"/>
                <w:szCs w:val="20"/>
                <w:highlight w:val="none"/>
                <w:lang w:val="en-US" w:eastAsia="zh-CN" w:bidi="ar-SA"/>
              </w:rPr>
            </w:pPr>
            <w:r>
              <w:rPr>
                <w:rFonts w:hint="eastAsia" w:ascii="宋体" w:hAnsi="宋体" w:eastAsia="宋体" w:cs="宋体"/>
                <w:bCs/>
                <w:color w:val="auto"/>
                <w:highlight w:val="none"/>
                <w:lang w:val="en-US" w:eastAsia="zh-CN"/>
              </w:rPr>
              <w:t>3分</w:t>
            </w:r>
          </w:p>
        </w:tc>
      </w:tr>
      <w:tr w14:paraId="6168E8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364" w:type="pct"/>
            <w:gridSpan w:val="3"/>
            <w:tcBorders>
              <w:top w:val="single" w:color="auto" w:sz="4" w:space="0"/>
              <w:left w:val="single" w:color="auto" w:sz="4" w:space="0"/>
              <w:bottom w:val="single" w:color="auto" w:sz="4" w:space="0"/>
              <w:right w:val="single" w:color="auto" w:sz="4" w:space="0"/>
            </w:tcBorders>
            <w:noWrap w:val="0"/>
            <w:vAlign w:val="top"/>
          </w:tcPr>
          <w:p w14:paraId="5AEE0D4C">
            <w:pPr>
              <w:pStyle w:val="18"/>
              <w:keepNext w:val="0"/>
              <w:keepLines w:val="0"/>
              <w:pageBreakBefore w:val="0"/>
              <w:kinsoku/>
              <w:wordWrap/>
              <w:overflowPunct/>
              <w:topLinePunct w:val="0"/>
              <w:autoSpaceDE/>
              <w:autoSpaceDN/>
              <w:bidi w:val="0"/>
              <w:adjustRightInd/>
              <w:snapToGrid/>
              <w:spacing w:line="360" w:lineRule="exact"/>
              <w:textAlignment w:val="auto"/>
              <w:rPr>
                <w:rFonts w:hint="eastAsia" w:ascii="宋体" w:hAnsi="宋体" w:eastAsia="宋体" w:cs="宋体"/>
                <w:b/>
                <w:bCs/>
                <w:color w:val="auto"/>
                <w:szCs w:val="21"/>
                <w:highlight w:val="none"/>
              </w:rPr>
            </w:pPr>
            <w:r>
              <w:rPr>
                <w:rFonts w:hint="eastAsia" w:ascii="宋体" w:hAnsi="宋体" w:eastAsia="宋体" w:cs="宋体"/>
                <w:b w:val="0"/>
                <w:bCs w:val="0"/>
                <w:color w:val="auto"/>
                <w:kern w:val="0"/>
                <w:szCs w:val="21"/>
                <w:highlight w:val="none"/>
                <w:lang w:bidi="ar"/>
              </w:rPr>
              <w:t>总得分=1+2+3+4+5+6+</w:t>
            </w:r>
            <w:r>
              <w:rPr>
                <w:rFonts w:hint="eastAsia" w:ascii="宋体" w:hAnsi="宋体" w:eastAsia="宋体" w:cs="宋体"/>
                <w:b w:val="0"/>
                <w:bCs w:val="0"/>
                <w:color w:val="auto"/>
                <w:kern w:val="0"/>
                <w:szCs w:val="21"/>
                <w:highlight w:val="none"/>
                <w:lang w:val="en-US" w:eastAsia="zh-CN" w:bidi="ar"/>
              </w:rPr>
              <w:t>7+</w:t>
            </w:r>
            <w:r>
              <w:rPr>
                <w:rFonts w:hint="eastAsia" w:ascii="宋体" w:hAnsi="宋体" w:eastAsia="宋体" w:cs="宋体"/>
                <w:b w:val="0"/>
                <w:bCs w:val="0"/>
                <w:color w:val="auto"/>
                <w:kern w:val="0"/>
                <w:szCs w:val="21"/>
                <w:highlight w:val="none"/>
                <w:lang w:bidi="ar"/>
              </w:rPr>
              <w:t>8</w:t>
            </w:r>
          </w:p>
        </w:tc>
        <w:tc>
          <w:tcPr>
            <w:tcW w:w="635" w:type="pct"/>
            <w:tcBorders>
              <w:top w:val="single" w:color="auto" w:sz="4" w:space="0"/>
              <w:left w:val="single" w:color="auto" w:sz="4" w:space="0"/>
              <w:bottom w:val="single" w:color="auto" w:sz="4" w:space="0"/>
              <w:right w:val="single" w:color="auto" w:sz="4" w:space="0"/>
            </w:tcBorders>
            <w:noWrap w:val="0"/>
            <w:vAlign w:val="center"/>
          </w:tcPr>
          <w:p w14:paraId="50169540">
            <w:pPr>
              <w:pStyle w:val="18"/>
              <w:keepNext w:val="0"/>
              <w:keepLines w:val="0"/>
              <w:pageBreakBefore w:val="0"/>
              <w:kinsoku/>
              <w:wordWrap/>
              <w:overflowPunct/>
              <w:topLinePunct w:val="0"/>
              <w:autoSpaceDE/>
              <w:autoSpaceDN/>
              <w:bidi w:val="0"/>
              <w:adjustRightInd/>
              <w:snapToGrid/>
              <w:spacing w:line="360" w:lineRule="exact"/>
              <w:jc w:val="center"/>
              <w:textAlignment w:val="auto"/>
              <w:rPr>
                <w:rFonts w:hint="eastAsia" w:ascii="宋体" w:hAnsi="宋体" w:eastAsia="宋体" w:cs="宋体"/>
                <w:bCs/>
                <w:color w:val="auto"/>
                <w:highlight w:val="none"/>
                <w:lang w:val="en-US" w:eastAsia="zh-CN"/>
              </w:rPr>
            </w:pPr>
            <w:r>
              <w:rPr>
                <w:rFonts w:hint="eastAsia" w:ascii="宋体" w:hAnsi="宋体" w:eastAsia="宋体" w:cs="宋体"/>
                <w:bCs/>
                <w:color w:val="auto"/>
                <w:highlight w:val="none"/>
              </w:rPr>
              <w:t>100</w:t>
            </w:r>
            <w:r>
              <w:rPr>
                <w:rFonts w:hint="eastAsia" w:ascii="宋体" w:hAnsi="宋体" w:eastAsia="宋体" w:cs="宋体"/>
                <w:bCs/>
                <w:color w:val="auto"/>
                <w:highlight w:val="none"/>
                <w:lang w:val="en-US" w:eastAsia="zh-CN"/>
              </w:rPr>
              <w:t>分</w:t>
            </w:r>
          </w:p>
        </w:tc>
      </w:tr>
    </w:tbl>
    <w:p w14:paraId="65ACCCB9">
      <w:pPr>
        <w:numPr>
          <w:ilvl w:val="0"/>
          <w:numId w:val="0"/>
        </w:numPr>
        <w:jc w:val="center"/>
        <w:rPr>
          <w:rFonts w:hint="eastAsia" w:ascii="宋体" w:hAnsi="宋体" w:eastAsia="宋体" w:cs="宋体"/>
          <w:b/>
          <w:bCs/>
          <w:color w:val="auto"/>
          <w:sz w:val="32"/>
          <w:szCs w:val="32"/>
          <w:highlight w:val="none"/>
          <w:lang w:val="en-US" w:eastAsia="zh-CN"/>
        </w:rPr>
      </w:pPr>
      <w:r>
        <w:rPr>
          <w:rFonts w:hint="eastAsia" w:ascii="宋体" w:hAnsi="宋体" w:eastAsia="宋体" w:cs="宋体"/>
          <w:b/>
          <w:bCs/>
          <w:color w:val="auto"/>
          <w:sz w:val="32"/>
          <w:szCs w:val="32"/>
          <w:highlight w:val="none"/>
          <w:lang w:val="en-US" w:eastAsia="zh-CN"/>
        </w:rPr>
        <w:t>分标2适用</w:t>
      </w:r>
    </w:p>
    <w:tbl>
      <w:tblPr>
        <w:tblStyle w:val="35"/>
        <w:tblW w:w="1008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30"/>
        <w:gridCol w:w="1150"/>
        <w:gridCol w:w="6717"/>
        <w:gridCol w:w="1389"/>
      </w:tblGrid>
      <w:tr w14:paraId="527D5E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30" w:type="dxa"/>
            <w:noWrap w:val="0"/>
            <w:vAlign w:val="center"/>
          </w:tcPr>
          <w:p w14:paraId="7C2441E2">
            <w:pPr>
              <w:keepNext w:val="0"/>
              <w:keepLines w:val="0"/>
              <w:pageBreakBefore w:val="0"/>
              <w:widowControl/>
              <w:kinsoku/>
              <w:wordWrap/>
              <w:overflowPunct/>
              <w:topLinePunct w:val="0"/>
              <w:autoSpaceDE/>
              <w:autoSpaceDN/>
              <w:bidi w:val="0"/>
              <w:spacing w:line="360" w:lineRule="exact"/>
              <w:jc w:val="center"/>
              <w:rPr>
                <w:rFonts w:hint="eastAsia" w:ascii="宋体" w:hAnsi="宋体" w:eastAsia="宋体" w:cs="宋体"/>
                <w:b/>
                <w:bCs/>
                <w:color w:val="auto"/>
                <w:kern w:val="0"/>
                <w:sz w:val="21"/>
                <w:szCs w:val="21"/>
                <w:highlight w:val="none"/>
              </w:rPr>
            </w:pPr>
            <w:r>
              <w:rPr>
                <w:rFonts w:hint="eastAsia" w:ascii="宋体" w:hAnsi="宋体" w:eastAsia="宋体" w:cs="宋体"/>
                <w:b/>
                <w:bCs/>
                <w:color w:val="auto"/>
                <w:kern w:val="0"/>
                <w:sz w:val="21"/>
                <w:szCs w:val="21"/>
                <w:highlight w:val="none"/>
              </w:rPr>
              <w:t>序号</w:t>
            </w:r>
          </w:p>
        </w:tc>
        <w:tc>
          <w:tcPr>
            <w:tcW w:w="1150" w:type="dxa"/>
            <w:noWrap w:val="0"/>
            <w:vAlign w:val="center"/>
          </w:tcPr>
          <w:p w14:paraId="58E3BFCB">
            <w:pPr>
              <w:keepNext w:val="0"/>
              <w:keepLines w:val="0"/>
              <w:pageBreakBefore w:val="0"/>
              <w:widowControl/>
              <w:kinsoku/>
              <w:wordWrap/>
              <w:overflowPunct/>
              <w:topLinePunct w:val="0"/>
              <w:autoSpaceDE/>
              <w:autoSpaceDN/>
              <w:bidi w:val="0"/>
              <w:spacing w:line="360" w:lineRule="exact"/>
              <w:jc w:val="center"/>
              <w:rPr>
                <w:rFonts w:hint="eastAsia" w:ascii="宋体" w:hAnsi="宋体" w:eastAsia="宋体" w:cs="宋体"/>
                <w:b/>
                <w:bCs/>
                <w:color w:val="auto"/>
                <w:kern w:val="0"/>
                <w:sz w:val="21"/>
                <w:szCs w:val="21"/>
                <w:highlight w:val="none"/>
              </w:rPr>
            </w:pPr>
            <w:r>
              <w:rPr>
                <w:rFonts w:hint="eastAsia" w:ascii="宋体" w:hAnsi="宋体" w:eastAsia="宋体" w:cs="宋体"/>
                <w:b/>
                <w:bCs/>
                <w:color w:val="auto"/>
                <w:kern w:val="0"/>
                <w:sz w:val="21"/>
                <w:szCs w:val="21"/>
                <w:highlight w:val="none"/>
              </w:rPr>
              <w:t>评审因素</w:t>
            </w:r>
          </w:p>
        </w:tc>
        <w:tc>
          <w:tcPr>
            <w:tcW w:w="6717" w:type="dxa"/>
            <w:noWrap w:val="0"/>
            <w:vAlign w:val="center"/>
          </w:tcPr>
          <w:p w14:paraId="760D0FB0">
            <w:pPr>
              <w:keepNext w:val="0"/>
              <w:keepLines w:val="0"/>
              <w:pageBreakBefore w:val="0"/>
              <w:widowControl/>
              <w:kinsoku/>
              <w:wordWrap/>
              <w:overflowPunct/>
              <w:topLinePunct w:val="0"/>
              <w:autoSpaceDE/>
              <w:autoSpaceDN/>
              <w:bidi w:val="0"/>
              <w:spacing w:line="360" w:lineRule="exact"/>
              <w:jc w:val="center"/>
              <w:rPr>
                <w:rFonts w:hint="eastAsia" w:ascii="宋体" w:hAnsi="宋体" w:eastAsia="宋体" w:cs="宋体"/>
                <w:color w:val="auto"/>
                <w:sz w:val="21"/>
                <w:szCs w:val="21"/>
                <w:highlight w:val="none"/>
                <w:lang w:val="en-US" w:eastAsia="zh-CN"/>
              </w:rPr>
            </w:pPr>
            <w:r>
              <w:rPr>
                <w:rFonts w:hint="eastAsia" w:ascii="宋体" w:hAnsi="宋体" w:eastAsia="宋体" w:cs="宋体"/>
                <w:b/>
                <w:bCs/>
                <w:color w:val="auto"/>
                <w:sz w:val="21"/>
                <w:szCs w:val="21"/>
                <w:highlight w:val="none"/>
              </w:rPr>
              <w:t>评审因素具体内容</w:t>
            </w:r>
          </w:p>
        </w:tc>
        <w:tc>
          <w:tcPr>
            <w:tcW w:w="1389" w:type="dxa"/>
            <w:noWrap w:val="0"/>
            <w:vAlign w:val="center"/>
          </w:tcPr>
          <w:p w14:paraId="21782906">
            <w:pPr>
              <w:keepNext w:val="0"/>
              <w:keepLines w:val="0"/>
              <w:pageBreakBefore w:val="0"/>
              <w:widowControl/>
              <w:kinsoku/>
              <w:wordWrap/>
              <w:overflowPunct/>
              <w:topLinePunct w:val="0"/>
              <w:autoSpaceDE/>
              <w:autoSpaceDN/>
              <w:bidi w:val="0"/>
              <w:spacing w:line="360" w:lineRule="exact"/>
              <w:jc w:val="center"/>
              <w:rPr>
                <w:rFonts w:hint="eastAsia" w:ascii="宋体" w:hAnsi="宋体" w:eastAsia="宋体" w:cs="宋体"/>
                <w:b/>
                <w:bCs/>
                <w:color w:val="auto"/>
                <w:kern w:val="0"/>
                <w:sz w:val="21"/>
                <w:szCs w:val="21"/>
                <w:highlight w:val="none"/>
              </w:rPr>
            </w:pPr>
            <w:r>
              <w:rPr>
                <w:rFonts w:hint="eastAsia" w:ascii="宋体" w:hAnsi="宋体" w:eastAsia="宋体" w:cs="宋体"/>
                <w:b/>
                <w:bCs/>
                <w:color w:val="auto"/>
                <w:kern w:val="0"/>
                <w:sz w:val="21"/>
                <w:szCs w:val="21"/>
                <w:highlight w:val="none"/>
              </w:rPr>
              <w:t>分值</w:t>
            </w:r>
          </w:p>
        </w:tc>
      </w:tr>
      <w:tr w14:paraId="6C0F97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30" w:type="dxa"/>
            <w:noWrap w:val="0"/>
            <w:vAlign w:val="center"/>
          </w:tcPr>
          <w:p w14:paraId="58D13CC6">
            <w:pPr>
              <w:keepNext w:val="0"/>
              <w:keepLines w:val="0"/>
              <w:pageBreakBefore w:val="0"/>
              <w:widowControl/>
              <w:kinsoku/>
              <w:wordWrap/>
              <w:overflowPunct/>
              <w:topLinePunct w:val="0"/>
              <w:autoSpaceDE/>
              <w:autoSpaceDN/>
              <w:bidi w:val="0"/>
              <w:spacing w:line="360" w:lineRule="exact"/>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1</w:t>
            </w:r>
          </w:p>
        </w:tc>
        <w:tc>
          <w:tcPr>
            <w:tcW w:w="1150" w:type="dxa"/>
            <w:noWrap w:val="0"/>
            <w:vAlign w:val="center"/>
          </w:tcPr>
          <w:p w14:paraId="030C74C8">
            <w:pPr>
              <w:keepNext w:val="0"/>
              <w:keepLines w:val="0"/>
              <w:pageBreakBefore w:val="0"/>
              <w:widowControl/>
              <w:kinsoku/>
              <w:wordWrap/>
              <w:overflowPunct/>
              <w:topLinePunct w:val="0"/>
              <w:autoSpaceDE/>
              <w:autoSpaceDN/>
              <w:bidi w:val="0"/>
              <w:spacing w:line="360" w:lineRule="exact"/>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价格分</w:t>
            </w:r>
          </w:p>
        </w:tc>
        <w:tc>
          <w:tcPr>
            <w:tcW w:w="6717" w:type="dxa"/>
            <w:noWrap w:val="0"/>
            <w:vAlign w:val="top"/>
          </w:tcPr>
          <w:p w14:paraId="44BB42FE">
            <w:pPr>
              <w:keepNext w:val="0"/>
              <w:keepLines w:val="0"/>
              <w:pageBreakBefore w:val="0"/>
              <w:kinsoku/>
              <w:wordWrap/>
              <w:overflowPunct/>
              <w:topLinePunct w:val="0"/>
              <w:autoSpaceDE/>
              <w:autoSpaceDN/>
              <w:bidi w:val="0"/>
              <w:snapToGrid w:val="0"/>
              <w:spacing w:line="360" w:lineRule="exact"/>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（1）</w:t>
            </w:r>
            <w:r>
              <w:rPr>
                <w:rFonts w:hint="eastAsia" w:ascii="宋体" w:hAnsi="宋体" w:eastAsia="宋体" w:cs="宋体"/>
                <w:color w:val="auto"/>
                <w:sz w:val="21"/>
                <w:szCs w:val="21"/>
                <w:highlight w:val="none"/>
              </w:rPr>
              <w:t>本项目为</w:t>
            </w:r>
            <w:r>
              <w:rPr>
                <w:rFonts w:hint="eastAsia" w:ascii="宋体" w:hAnsi="宋体" w:eastAsia="宋体" w:cs="宋体"/>
                <w:b/>
                <w:bCs/>
                <w:color w:val="auto"/>
                <w:sz w:val="21"/>
                <w:szCs w:val="21"/>
                <w:highlight w:val="none"/>
              </w:rPr>
              <w:t>专门面向中小</w:t>
            </w:r>
            <w:r>
              <w:rPr>
                <w:rFonts w:hint="eastAsia" w:ascii="宋体" w:hAnsi="宋体" w:eastAsia="宋体" w:cs="宋体"/>
                <w:b/>
                <w:bCs/>
                <w:color w:val="auto"/>
                <w:sz w:val="21"/>
                <w:szCs w:val="21"/>
                <w:highlight w:val="none"/>
                <w:lang w:val="en-US" w:eastAsia="zh-CN"/>
              </w:rPr>
              <w:t>微</w:t>
            </w:r>
            <w:r>
              <w:rPr>
                <w:rFonts w:hint="eastAsia" w:ascii="宋体" w:hAnsi="宋体" w:eastAsia="宋体" w:cs="宋体"/>
                <w:b/>
                <w:bCs/>
                <w:color w:val="auto"/>
                <w:sz w:val="21"/>
                <w:szCs w:val="21"/>
                <w:highlight w:val="none"/>
              </w:rPr>
              <w:t>企业采购的项</w:t>
            </w:r>
            <w:r>
              <w:rPr>
                <w:rFonts w:hint="eastAsia" w:ascii="宋体" w:hAnsi="宋体" w:eastAsia="宋体" w:cs="宋体"/>
                <w:color w:val="auto"/>
                <w:sz w:val="21"/>
                <w:szCs w:val="21"/>
                <w:highlight w:val="none"/>
              </w:rPr>
              <w:t>目，不再执行政策价格扣除，评标价＝投标报价；</w:t>
            </w:r>
          </w:p>
          <w:p w14:paraId="602BA929">
            <w:pPr>
              <w:keepNext w:val="0"/>
              <w:keepLines w:val="0"/>
              <w:pageBreakBefore w:val="0"/>
              <w:kinsoku/>
              <w:wordWrap/>
              <w:overflowPunct/>
              <w:topLinePunct w:val="0"/>
              <w:autoSpaceDE/>
              <w:autoSpaceDN/>
              <w:bidi w:val="0"/>
              <w:snapToGrid w:val="0"/>
              <w:spacing w:line="360" w:lineRule="exact"/>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（2）以进入综合评分环节的最低的评标报价为基准价，基准价报价得分为10分。</w:t>
            </w:r>
          </w:p>
          <w:p w14:paraId="38CAB8D5">
            <w:pPr>
              <w:keepNext w:val="0"/>
              <w:keepLines w:val="0"/>
              <w:pageBreakBefore w:val="0"/>
              <w:kinsoku/>
              <w:wordWrap/>
              <w:overflowPunct/>
              <w:topLinePunct w:val="0"/>
              <w:autoSpaceDE/>
              <w:autoSpaceDN/>
              <w:bidi w:val="0"/>
              <w:snapToGrid w:val="0"/>
              <w:spacing w:line="360" w:lineRule="exact"/>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 xml:space="preserve">（3）价格分计算公式：        </w:t>
            </w:r>
          </w:p>
          <w:p w14:paraId="375C077F">
            <w:pPr>
              <w:pStyle w:val="18"/>
              <w:keepNext w:val="0"/>
              <w:keepLines w:val="0"/>
              <w:pageBreakBefore w:val="0"/>
              <w:kinsoku/>
              <w:wordWrap/>
              <w:overflowPunct/>
              <w:topLinePunct w:val="0"/>
              <w:autoSpaceDE/>
              <w:autoSpaceDN/>
              <w:bidi w:val="0"/>
              <w:spacing w:line="360" w:lineRule="exact"/>
              <w:rPr>
                <w:rFonts w:hint="eastAsia" w:ascii="宋体" w:hAnsi="宋体" w:eastAsia="宋体" w:cs="宋体"/>
                <w:color w:val="auto"/>
                <w:sz w:val="21"/>
                <w:szCs w:val="21"/>
                <w:highlight w:val="none"/>
              </w:rPr>
            </w:pPr>
            <w:r>
              <w:rPr>
                <w:rFonts w:hint="eastAsia" w:ascii="宋体" w:hAnsi="宋体" w:eastAsia="宋体" w:cs="宋体"/>
                <w:bCs/>
                <w:color w:val="auto"/>
                <w:sz w:val="21"/>
                <w:szCs w:val="21"/>
                <w:highlight w:val="none"/>
              </w:rPr>
              <w:t>某投标人价格分=基准价/某投标人评标报价金额×10分</w:t>
            </w:r>
            <w:r>
              <w:rPr>
                <w:rFonts w:hint="eastAsia" w:ascii="宋体" w:hAnsi="宋体" w:eastAsia="宋体" w:cs="宋体"/>
                <w:color w:val="auto"/>
                <w:sz w:val="21"/>
                <w:szCs w:val="21"/>
                <w:highlight w:val="none"/>
              </w:rPr>
              <w:t xml:space="preserve">   </w:t>
            </w:r>
          </w:p>
          <w:p w14:paraId="6E37CEB6">
            <w:pPr>
              <w:pStyle w:val="18"/>
              <w:keepNext w:val="0"/>
              <w:keepLines w:val="0"/>
              <w:pageBreakBefore w:val="0"/>
              <w:kinsoku/>
              <w:wordWrap/>
              <w:overflowPunct/>
              <w:topLinePunct w:val="0"/>
              <w:autoSpaceDE/>
              <w:autoSpaceDN/>
              <w:bidi w:val="0"/>
              <w:spacing w:line="360" w:lineRule="exact"/>
              <w:rPr>
                <w:rFonts w:hint="eastAsia" w:ascii="宋体" w:hAnsi="宋体" w:eastAsia="宋体" w:cs="宋体"/>
                <w:color w:val="auto"/>
                <w:sz w:val="21"/>
                <w:szCs w:val="21"/>
                <w:highlight w:val="none"/>
                <w:lang w:eastAsia="zh-CN"/>
              </w:rPr>
            </w:pPr>
            <w:r>
              <w:rPr>
                <w:rFonts w:hint="eastAsia" w:ascii="宋体" w:hAnsi="宋体" w:eastAsia="宋体" w:cs="宋体"/>
                <w:b w:val="0"/>
                <w:bCs w:val="0"/>
                <w:color w:val="auto"/>
                <w:sz w:val="21"/>
                <w:szCs w:val="21"/>
                <w:highlight w:val="none"/>
                <w:lang w:eastAsia="zh-CN"/>
              </w:rPr>
              <w:t>（</w:t>
            </w:r>
            <w:r>
              <w:rPr>
                <w:rFonts w:hint="eastAsia" w:ascii="宋体" w:hAnsi="宋体" w:eastAsia="宋体" w:cs="宋体"/>
                <w:b w:val="0"/>
                <w:bCs w:val="0"/>
                <w:color w:val="auto"/>
                <w:sz w:val="21"/>
                <w:szCs w:val="21"/>
                <w:highlight w:val="none"/>
                <w:lang w:val="en-US" w:eastAsia="zh-CN"/>
              </w:rPr>
              <w:t>4</w:t>
            </w:r>
            <w:r>
              <w:rPr>
                <w:rFonts w:hint="eastAsia" w:ascii="宋体" w:hAnsi="宋体" w:eastAsia="宋体" w:cs="宋体"/>
                <w:b w:val="0"/>
                <w:bCs w:val="0"/>
                <w:color w:val="auto"/>
                <w:sz w:val="21"/>
                <w:szCs w:val="21"/>
                <w:highlight w:val="none"/>
                <w:lang w:eastAsia="zh-CN"/>
              </w:rPr>
              <w:t>）</w:t>
            </w:r>
            <w:r>
              <w:rPr>
                <w:rFonts w:hint="eastAsia" w:ascii="宋体" w:hAnsi="宋体" w:eastAsia="宋体" w:cs="宋体"/>
                <w:b w:val="0"/>
                <w:bCs w:val="0"/>
                <w:color w:val="auto"/>
                <w:sz w:val="21"/>
                <w:szCs w:val="21"/>
                <w:highlight w:val="none"/>
              </w:rPr>
              <w:t>评标委员会认为投标人的报价明显低于其他通过符合性审查投标人的报价，有可能影响产品质量或者不能诚信履约的，应当要求其在评标现场合理的时间内提供书面说明【提交详细的报价明细说明文件及测算表，包括项目的服务、货物、运输、安装验收等、人工成本包括项目人员的数量、工作时间及其工资和福利支出成本，以及服务项目实施过程中可能涉及的其他费用】，必要时提交相关证明材料；投标人不能证明其报价合理性的，评标委员会应当将其作为无效投标处理。</w:t>
            </w:r>
          </w:p>
        </w:tc>
        <w:tc>
          <w:tcPr>
            <w:tcW w:w="1389" w:type="dxa"/>
            <w:noWrap w:val="0"/>
            <w:vAlign w:val="center"/>
          </w:tcPr>
          <w:p w14:paraId="2479B860">
            <w:pPr>
              <w:keepNext w:val="0"/>
              <w:keepLines w:val="0"/>
              <w:pageBreakBefore w:val="0"/>
              <w:widowControl/>
              <w:kinsoku/>
              <w:wordWrap/>
              <w:overflowPunct/>
              <w:topLinePunct w:val="0"/>
              <w:autoSpaceDE/>
              <w:autoSpaceDN/>
              <w:bidi w:val="0"/>
              <w:spacing w:line="360" w:lineRule="exact"/>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lang w:val="en-US" w:eastAsia="zh-CN"/>
              </w:rPr>
              <w:t>10</w:t>
            </w:r>
            <w:r>
              <w:rPr>
                <w:rFonts w:hint="eastAsia" w:ascii="宋体" w:hAnsi="宋体" w:eastAsia="宋体" w:cs="宋体"/>
                <w:color w:val="auto"/>
                <w:kern w:val="0"/>
                <w:sz w:val="21"/>
                <w:szCs w:val="21"/>
                <w:highlight w:val="none"/>
              </w:rPr>
              <w:t>分</w:t>
            </w:r>
          </w:p>
        </w:tc>
      </w:tr>
      <w:tr w14:paraId="4F8F84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30" w:type="dxa"/>
            <w:noWrap w:val="0"/>
            <w:vAlign w:val="center"/>
          </w:tcPr>
          <w:p w14:paraId="1BB1D54D">
            <w:pPr>
              <w:keepNext w:val="0"/>
              <w:keepLines w:val="0"/>
              <w:pageBreakBefore w:val="0"/>
              <w:widowControl/>
              <w:kinsoku/>
              <w:wordWrap/>
              <w:overflowPunct/>
              <w:topLinePunct w:val="0"/>
              <w:autoSpaceDE/>
              <w:autoSpaceDN/>
              <w:bidi w:val="0"/>
              <w:spacing w:line="360" w:lineRule="exact"/>
              <w:jc w:val="center"/>
              <w:rPr>
                <w:rFonts w:hint="eastAsia" w:ascii="宋体" w:hAnsi="宋体" w:eastAsia="宋体" w:cs="宋体"/>
                <w:color w:val="auto"/>
                <w:kern w:val="0"/>
                <w:sz w:val="21"/>
                <w:szCs w:val="21"/>
                <w:highlight w:val="none"/>
              </w:rPr>
            </w:pPr>
            <w:r>
              <w:rPr>
                <w:rFonts w:hint="eastAsia" w:ascii="宋体" w:hAnsi="宋体" w:eastAsia="宋体" w:cs="宋体"/>
                <w:bCs/>
                <w:color w:val="auto"/>
                <w:kern w:val="0"/>
                <w:sz w:val="21"/>
                <w:szCs w:val="21"/>
                <w:highlight w:val="none"/>
              </w:rPr>
              <w:t>2</w:t>
            </w:r>
          </w:p>
        </w:tc>
        <w:tc>
          <w:tcPr>
            <w:tcW w:w="1150" w:type="dxa"/>
            <w:noWrap w:val="0"/>
            <w:vAlign w:val="center"/>
          </w:tcPr>
          <w:p w14:paraId="0BE38718">
            <w:pPr>
              <w:keepNext w:val="0"/>
              <w:keepLines w:val="0"/>
              <w:pageBreakBefore w:val="0"/>
              <w:widowControl/>
              <w:kinsoku/>
              <w:wordWrap/>
              <w:overflowPunct/>
              <w:topLinePunct w:val="0"/>
              <w:autoSpaceDE/>
              <w:autoSpaceDN/>
              <w:bidi w:val="0"/>
              <w:spacing w:line="360" w:lineRule="exact"/>
              <w:jc w:val="center"/>
              <w:rPr>
                <w:rFonts w:hint="eastAsia" w:ascii="宋体" w:hAnsi="宋体" w:eastAsia="宋体" w:cs="宋体"/>
                <w:color w:val="auto"/>
                <w:kern w:val="0"/>
                <w:sz w:val="21"/>
                <w:szCs w:val="21"/>
                <w:highlight w:val="none"/>
              </w:rPr>
            </w:pPr>
            <w:r>
              <w:rPr>
                <w:rFonts w:hint="eastAsia" w:ascii="宋体" w:hAnsi="宋体" w:eastAsia="宋体" w:cs="宋体"/>
                <w:bCs/>
                <w:color w:val="auto"/>
                <w:kern w:val="0"/>
                <w:sz w:val="21"/>
                <w:szCs w:val="21"/>
                <w:highlight w:val="none"/>
              </w:rPr>
              <w:t>技术分</w:t>
            </w:r>
          </w:p>
        </w:tc>
        <w:tc>
          <w:tcPr>
            <w:tcW w:w="8106" w:type="dxa"/>
            <w:gridSpan w:val="2"/>
            <w:noWrap w:val="0"/>
            <w:vAlign w:val="center"/>
          </w:tcPr>
          <w:p w14:paraId="6D348674">
            <w:pPr>
              <w:keepNext w:val="0"/>
              <w:keepLines w:val="0"/>
              <w:pageBreakBefore w:val="0"/>
              <w:widowControl/>
              <w:kinsoku/>
              <w:wordWrap/>
              <w:overflowPunct/>
              <w:topLinePunct w:val="0"/>
              <w:autoSpaceDE/>
              <w:autoSpaceDN/>
              <w:bidi w:val="0"/>
              <w:spacing w:line="360" w:lineRule="exact"/>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评审因素</w:t>
            </w:r>
          </w:p>
        </w:tc>
      </w:tr>
      <w:tr w14:paraId="3427C0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30" w:type="dxa"/>
            <w:noWrap w:val="0"/>
            <w:vAlign w:val="center"/>
          </w:tcPr>
          <w:p w14:paraId="2DD32CFA">
            <w:pPr>
              <w:keepNext w:val="0"/>
              <w:keepLines w:val="0"/>
              <w:pageBreakBefore w:val="0"/>
              <w:kinsoku/>
              <w:wordWrap/>
              <w:overflowPunct/>
              <w:topLinePunct w:val="0"/>
              <w:autoSpaceDE/>
              <w:autoSpaceDN/>
              <w:bidi w:val="0"/>
              <w:adjustRightInd w:val="0"/>
              <w:spacing w:line="360" w:lineRule="exact"/>
              <w:ind w:left="-105" w:leftChars="-50" w:right="-105" w:rightChars="-50"/>
              <w:jc w:val="center"/>
              <w:textAlignment w:val="baseline"/>
              <w:rPr>
                <w:rFonts w:hint="eastAsia" w:ascii="宋体" w:hAnsi="宋体" w:eastAsia="宋体" w:cs="宋体"/>
                <w:bCs/>
                <w:color w:val="auto"/>
                <w:kern w:val="0"/>
                <w:sz w:val="21"/>
                <w:szCs w:val="21"/>
                <w:highlight w:val="none"/>
              </w:rPr>
            </w:pPr>
            <w:r>
              <w:rPr>
                <w:rFonts w:hint="eastAsia" w:ascii="宋体" w:hAnsi="宋体" w:eastAsia="宋体" w:cs="宋体"/>
                <w:bCs/>
                <w:color w:val="auto"/>
                <w:kern w:val="0"/>
                <w:sz w:val="21"/>
                <w:szCs w:val="21"/>
                <w:highlight w:val="none"/>
              </w:rPr>
              <w:t>2.1</w:t>
            </w:r>
          </w:p>
        </w:tc>
        <w:tc>
          <w:tcPr>
            <w:tcW w:w="1150" w:type="dxa"/>
            <w:noWrap w:val="0"/>
            <w:vAlign w:val="center"/>
          </w:tcPr>
          <w:p w14:paraId="7A468B33">
            <w:pPr>
              <w:keepNext w:val="0"/>
              <w:keepLines w:val="0"/>
              <w:pageBreakBefore w:val="0"/>
              <w:kinsoku/>
              <w:wordWrap/>
              <w:overflowPunct/>
              <w:topLinePunct w:val="0"/>
              <w:autoSpaceDE/>
              <w:autoSpaceDN/>
              <w:bidi w:val="0"/>
              <w:adjustRightInd w:val="0"/>
              <w:spacing w:line="360" w:lineRule="exact"/>
              <w:jc w:val="center"/>
              <w:textAlignment w:val="baseline"/>
              <w:rPr>
                <w:rFonts w:hint="eastAsia" w:ascii="宋体" w:hAnsi="宋体" w:eastAsia="宋体" w:cs="宋体"/>
                <w:b/>
                <w:color w:val="auto"/>
                <w:kern w:val="0"/>
                <w:sz w:val="21"/>
                <w:szCs w:val="21"/>
                <w:highlight w:val="none"/>
                <w:lang w:val="en-US" w:eastAsia="zh-CN"/>
              </w:rPr>
            </w:pPr>
            <w:r>
              <w:rPr>
                <w:rFonts w:hint="eastAsia" w:ascii="宋体" w:hAnsi="宋体" w:eastAsia="宋体" w:cs="宋体"/>
                <w:b w:val="0"/>
                <w:bCs/>
                <w:color w:val="auto"/>
                <w:kern w:val="0"/>
                <w:sz w:val="21"/>
                <w:szCs w:val="21"/>
                <w:highlight w:val="none"/>
                <w:lang w:val="en-US" w:eastAsia="zh-CN"/>
              </w:rPr>
              <w:t>对项目的理解</w:t>
            </w:r>
          </w:p>
        </w:tc>
        <w:tc>
          <w:tcPr>
            <w:tcW w:w="6717" w:type="dxa"/>
            <w:noWrap w:val="0"/>
            <w:vAlign w:val="center"/>
          </w:tcPr>
          <w:p w14:paraId="77466D31">
            <w:pPr>
              <w:keepNext w:val="0"/>
              <w:keepLines w:val="0"/>
              <w:pageBreakBefore w:val="0"/>
              <w:widowControl/>
              <w:suppressLineNumbers w:val="0"/>
              <w:kinsoku/>
              <w:wordWrap/>
              <w:overflowPunct/>
              <w:topLinePunct w:val="0"/>
              <w:autoSpaceDE/>
              <w:autoSpaceDN/>
              <w:bidi w:val="0"/>
              <w:spacing w:line="36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val="en-US" w:eastAsia="zh-CN" w:bidi="ar"/>
              </w:rPr>
              <w:t>一档（5分）：供应商对项目实施目的、工作内容、工作重点及关键点的理解认识不准确，实施计划过于简单，缺乏核心环节规划，可操作性极差；</w:t>
            </w:r>
          </w:p>
          <w:p w14:paraId="306A3F8E">
            <w:pPr>
              <w:keepNext w:val="0"/>
              <w:keepLines w:val="0"/>
              <w:pageBreakBefore w:val="0"/>
              <w:widowControl/>
              <w:suppressLineNumbers w:val="0"/>
              <w:kinsoku/>
              <w:wordWrap/>
              <w:overflowPunct/>
              <w:topLinePunct w:val="0"/>
              <w:autoSpaceDE/>
              <w:autoSpaceDN/>
              <w:bidi w:val="0"/>
              <w:spacing w:line="360" w:lineRule="exact"/>
              <w:ind w:firstLine="420" w:firstLineChars="200"/>
              <w:jc w:val="left"/>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二档（10分）：供应商对项目实施目的、工作内容的理解基本准确，对工作重点认识不够清晰，实施计划框架完整但细节缺失，物料采购、标本/模型选配计划基本贴合项目特点，具备基础可操作性；</w:t>
            </w:r>
          </w:p>
          <w:p w14:paraId="3683AE8E">
            <w:pPr>
              <w:keepNext w:val="0"/>
              <w:keepLines w:val="0"/>
              <w:pageBreakBefore w:val="0"/>
              <w:widowControl/>
              <w:suppressLineNumbers w:val="0"/>
              <w:kinsoku/>
              <w:wordWrap/>
              <w:overflowPunct/>
              <w:topLinePunct w:val="0"/>
              <w:autoSpaceDE/>
              <w:autoSpaceDN/>
              <w:bidi w:val="0"/>
              <w:spacing w:line="360" w:lineRule="exact"/>
              <w:ind w:firstLine="420" w:firstLineChars="200"/>
              <w:jc w:val="left"/>
              <w:rPr>
                <w:rFonts w:hint="eastAsia" w:ascii="宋体" w:hAnsi="宋体" w:eastAsia="宋体" w:cs="宋体"/>
                <w:color w:val="auto"/>
                <w:highlight w:val="none"/>
              </w:rPr>
            </w:pPr>
            <w:r>
              <w:rPr>
                <w:rFonts w:hint="eastAsia" w:ascii="宋体" w:hAnsi="宋体" w:eastAsia="宋体" w:cs="宋体"/>
                <w:color w:val="auto"/>
                <w:kern w:val="0"/>
                <w:sz w:val="21"/>
                <w:szCs w:val="21"/>
                <w:highlight w:val="none"/>
                <w:lang w:val="en-US" w:eastAsia="zh-CN" w:bidi="ar"/>
              </w:rPr>
              <w:t>三档（15分）：供应商对项目实施目的、工作内容、工作重点及关键点的理解全面准确，对项目环境现状有基本调研分析，实施计划系统且可操作性强，包含布展、采购、标本/模型选配、技术服务等核心模块，内容完整，符合项目采购基本需求；</w:t>
            </w:r>
          </w:p>
          <w:p w14:paraId="3DFC9D97">
            <w:pPr>
              <w:keepNext w:val="0"/>
              <w:keepLines w:val="0"/>
              <w:pageBreakBefore w:val="0"/>
              <w:widowControl/>
              <w:suppressLineNumbers w:val="0"/>
              <w:kinsoku/>
              <w:wordWrap/>
              <w:overflowPunct/>
              <w:topLinePunct w:val="0"/>
              <w:autoSpaceDE/>
              <w:autoSpaceDN/>
              <w:bidi w:val="0"/>
              <w:spacing w:line="360" w:lineRule="exact"/>
              <w:ind w:firstLine="420" w:firstLineChars="200"/>
              <w:jc w:val="left"/>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四档（20分）：供应商对项目实施目的、工作内容的理解准确深刻，对工作重点、关键点及环境现状有深入调研和详细图文分析，实施计划兼具系统性与针对性，涵盖布展、采购、标本/模型选配、技术服务、质量保证等全流程，内容详实、切合实际，完全满足甚至超出项目采购需求。</w:t>
            </w:r>
          </w:p>
          <w:p w14:paraId="6A16C25C">
            <w:pPr>
              <w:keepNext w:val="0"/>
              <w:keepLines w:val="0"/>
              <w:pageBreakBefore w:val="0"/>
              <w:widowControl/>
              <w:suppressLineNumbers w:val="0"/>
              <w:kinsoku/>
              <w:wordWrap/>
              <w:overflowPunct/>
              <w:topLinePunct w:val="0"/>
              <w:autoSpaceDE/>
              <w:autoSpaceDN/>
              <w:bidi w:val="0"/>
              <w:spacing w:line="360" w:lineRule="exact"/>
              <w:ind w:firstLine="422" w:firstLineChars="200"/>
              <w:jc w:val="left"/>
              <w:rPr>
                <w:rFonts w:hint="eastAsia" w:ascii="宋体" w:hAnsi="宋体" w:eastAsia="宋体" w:cs="宋体"/>
                <w:color w:val="auto"/>
                <w:highlight w:val="none"/>
                <w:lang w:val="en-US"/>
              </w:rPr>
            </w:pPr>
            <w:r>
              <w:rPr>
                <w:rFonts w:hint="eastAsia" w:ascii="宋体" w:hAnsi="宋体" w:eastAsia="宋体" w:cs="宋体"/>
                <w:b/>
                <w:bCs w:val="0"/>
                <w:color w:val="auto"/>
                <w:sz w:val="21"/>
                <w:szCs w:val="21"/>
                <w:highlight w:val="none"/>
              </w:rPr>
              <w:t>注：未提供</w:t>
            </w:r>
            <w:r>
              <w:rPr>
                <w:rFonts w:hint="eastAsia" w:ascii="宋体" w:hAnsi="宋体" w:eastAsia="宋体" w:cs="宋体"/>
                <w:b/>
                <w:bCs w:val="0"/>
                <w:color w:val="auto"/>
                <w:sz w:val="21"/>
                <w:szCs w:val="21"/>
                <w:highlight w:val="none"/>
                <w:lang w:val="en-US" w:eastAsia="zh-CN"/>
              </w:rPr>
              <w:t>方案</w:t>
            </w:r>
            <w:r>
              <w:rPr>
                <w:rFonts w:hint="eastAsia" w:ascii="宋体" w:hAnsi="宋体" w:eastAsia="宋体" w:cs="宋体"/>
                <w:b/>
                <w:bCs w:val="0"/>
                <w:color w:val="auto"/>
                <w:sz w:val="21"/>
                <w:szCs w:val="21"/>
                <w:highlight w:val="none"/>
              </w:rPr>
              <w:t>或不符合最低入档条件的计0分。</w:t>
            </w:r>
          </w:p>
        </w:tc>
        <w:tc>
          <w:tcPr>
            <w:tcW w:w="1389" w:type="dxa"/>
            <w:noWrap w:val="0"/>
            <w:vAlign w:val="center"/>
          </w:tcPr>
          <w:p w14:paraId="05DF9A97">
            <w:pPr>
              <w:keepNext w:val="0"/>
              <w:keepLines w:val="0"/>
              <w:pageBreakBefore w:val="0"/>
              <w:kinsoku/>
              <w:wordWrap/>
              <w:overflowPunct/>
              <w:topLinePunct w:val="0"/>
              <w:autoSpaceDE/>
              <w:autoSpaceDN/>
              <w:bidi w:val="0"/>
              <w:spacing w:line="360" w:lineRule="exact"/>
              <w:jc w:val="center"/>
              <w:rPr>
                <w:rFonts w:hint="eastAsia" w:ascii="宋体" w:hAnsi="宋体" w:eastAsia="宋体" w:cs="宋体"/>
                <w:bCs/>
                <w:color w:val="auto"/>
                <w:kern w:val="0"/>
                <w:sz w:val="21"/>
                <w:szCs w:val="21"/>
                <w:highlight w:val="none"/>
              </w:rPr>
            </w:pPr>
            <w:r>
              <w:rPr>
                <w:rFonts w:hint="eastAsia" w:ascii="宋体" w:hAnsi="宋体" w:eastAsia="宋体" w:cs="宋体"/>
                <w:bCs/>
                <w:color w:val="auto"/>
                <w:kern w:val="0"/>
                <w:sz w:val="21"/>
                <w:szCs w:val="21"/>
                <w:highlight w:val="none"/>
                <w:lang w:val="en-US" w:eastAsia="zh-CN"/>
              </w:rPr>
              <w:t>20</w:t>
            </w:r>
            <w:r>
              <w:rPr>
                <w:rFonts w:hint="eastAsia" w:ascii="宋体" w:hAnsi="宋体" w:eastAsia="宋体" w:cs="宋体"/>
                <w:bCs/>
                <w:color w:val="auto"/>
                <w:kern w:val="0"/>
                <w:sz w:val="21"/>
                <w:szCs w:val="21"/>
                <w:highlight w:val="none"/>
              </w:rPr>
              <w:t>分</w:t>
            </w:r>
          </w:p>
        </w:tc>
      </w:tr>
      <w:tr w14:paraId="033588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30" w:type="dxa"/>
            <w:noWrap w:val="0"/>
            <w:vAlign w:val="center"/>
          </w:tcPr>
          <w:p w14:paraId="3D7DE298">
            <w:pPr>
              <w:keepNext w:val="0"/>
              <w:keepLines w:val="0"/>
              <w:pageBreakBefore w:val="0"/>
              <w:kinsoku/>
              <w:wordWrap/>
              <w:overflowPunct/>
              <w:topLinePunct w:val="0"/>
              <w:autoSpaceDE/>
              <w:autoSpaceDN/>
              <w:bidi w:val="0"/>
              <w:adjustRightInd w:val="0"/>
              <w:spacing w:line="360" w:lineRule="exact"/>
              <w:ind w:left="-105" w:leftChars="-50" w:right="-105" w:rightChars="-50"/>
              <w:jc w:val="center"/>
              <w:textAlignment w:val="baseline"/>
              <w:rPr>
                <w:rFonts w:hint="eastAsia" w:ascii="宋体" w:hAnsi="宋体" w:eastAsia="宋体" w:cs="宋体"/>
                <w:bCs/>
                <w:color w:val="auto"/>
                <w:kern w:val="0"/>
                <w:sz w:val="21"/>
                <w:szCs w:val="21"/>
                <w:highlight w:val="none"/>
                <w:lang w:val="en-US" w:eastAsia="zh-CN"/>
              </w:rPr>
            </w:pPr>
            <w:r>
              <w:rPr>
                <w:rFonts w:hint="eastAsia" w:ascii="宋体" w:hAnsi="宋体" w:eastAsia="宋体" w:cs="宋体"/>
                <w:bCs/>
                <w:color w:val="auto"/>
                <w:kern w:val="0"/>
                <w:sz w:val="21"/>
                <w:szCs w:val="21"/>
                <w:highlight w:val="none"/>
                <w:lang w:val="en-US" w:eastAsia="zh-CN"/>
              </w:rPr>
              <w:t>2.2</w:t>
            </w:r>
          </w:p>
        </w:tc>
        <w:tc>
          <w:tcPr>
            <w:tcW w:w="1150" w:type="dxa"/>
            <w:noWrap w:val="0"/>
            <w:vAlign w:val="center"/>
          </w:tcPr>
          <w:p w14:paraId="42F7FD47">
            <w:pPr>
              <w:keepNext w:val="0"/>
              <w:keepLines w:val="0"/>
              <w:pageBreakBefore w:val="0"/>
              <w:kinsoku/>
              <w:wordWrap/>
              <w:overflowPunct/>
              <w:topLinePunct w:val="0"/>
              <w:autoSpaceDE/>
              <w:autoSpaceDN/>
              <w:bidi w:val="0"/>
              <w:adjustRightInd w:val="0"/>
              <w:spacing w:line="360" w:lineRule="exact"/>
              <w:jc w:val="center"/>
              <w:textAlignment w:val="baseline"/>
              <w:rPr>
                <w:rFonts w:hint="eastAsia" w:ascii="宋体" w:hAnsi="宋体" w:eastAsia="宋体" w:cs="宋体"/>
                <w:b w:val="0"/>
                <w:bCs/>
                <w:color w:val="auto"/>
                <w:kern w:val="0"/>
                <w:sz w:val="21"/>
                <w:szCs w:val="21"/>
                <w:highlight w:val="none"/>
                <w:lang w:val="en-US" w:eastAsia="zh-CN"/>
              </w:rPr>
            </w:pPr>
            <w:r>
              <w:rPr>
                <w:rFonts w:hint="eastAsia" w:ascii="宋体" w:hAnsi="宋体" w:eastAsia="宋体" w:cs="宋体"/>
                <w:b w:val="0"/>
                <w:bCs/>
                <w:color w:val="auto"/>
                <w:kern w:val="0"/>
                <w:sz w:val="21"/>
                <w:szCs w:val="21"/>
                <w:highlight w:val="none"/>
                <w:lang w:val="en-US" w:eastAsia="zh-CN"/>
              </w:rPr>
              <w:t>整体实施方案</w:t>
            </w:r>
          </w:p>
        </w:tc>
        <w:tc>
          <w:tcPr>
            <w:tcW w:w="6717" w:type="dxa"/>
            <w:noWrap w:val="0"/>
            <w:vAlign w:val="center"/>
          </w:tcPr>
          <w:p w14:paraId="4E081BFB">
            <w:pPr>
              <w:pStyle w:val="18"/>
              <w:keepNext w:val="0"/>
              <w:keepLines w:val="0"/>
              <w:pageBreakBefore w:val="0"/>
              <w:kinsoku/>
              <w:wordWrap/>
              <w:overflowPunct/>
              <w:topLinePunct w:val="0"/>
              <w:autoSpaceDE/>
              <w:autoSpaceDN/>
              <w:bidi w:val="0"/>
              <w:spacing w:line="360" w:lineRule="exact"/>
              <w:ind w:firstLine="420" w:firstLineChars="200"/>
              <w:rPr>
                <w:rFonts w:hint="eastAsia" w:ascii="宋体" w:hAnsi="宋体" w:eastAsia="宋体" w:cs="宋体"/>
                <w:bCs/>
                <w:color w:val="auto"/>
                <w:kern w:val="2"/>
                <w:sz w:val="21"/>
                <w:szCs w:val="21"/>
                <w:highlight w:val="none"/>
              </w:rPr>
            </w:pPr>
            <w:r>
              <w:rPr>
                <w:rFonts w:hint="eastAsia" w:ascii="宋体" w:hAnsi="宋体" w:eastAsia="宋体" w:cs="宋体"/>
                <w:bCs/>
                <w:color w:val="auto"/>
                <w:kern w:val="2"/>
                <w:sz w:val="21"/>
                <w:szCs w:val="21"/>
                <w:highlight w:val="none"/>
              </w:rPr>
              <w:t>一档</w:t>
            </w:r>
            <w:r>
              <w:rPr>
                <w:rFonts w:hint="eastAsia" w:ascii="宋体" w:hAnsi="宋体" w:eastAsia="宋体" w:cs="宋体"/>
                <w:bCs/>
                <w:color w:val="auto"/>
                <w:sz w:val="21"/>
                <w:szCs w:val="21"/>
                <w:highlight w:val="none"/>
                <w:lang w:eastAsia="zh-CN"/>
              </w:rPr>
              <w:t>（</w:t>
            </w:r>
            <w:r>
              <w:rPr>
                <w:rFonts w:hint="eastAsia" w:ascii="宋体" w:hAnsi="宋体" w:eastAsia="宋体" w:cs="宋体"/>
                <w:bCs/>
                <w:color w:val="auto"/>
                <w:sz w:val="21"/>
                <w:szCs w:val="21"/>
                <w:highlight w:val="none"/>
                <w:lang w:val="en-US" w:eastAsia="zh-CN"/>
              </w:rPr>
              <w:t>4</w:t>
            </w:r>
            <w:r>
              <w:rPr>
                <w:rFonts w:hint="eastAsia" w:ascii="宋体" w:hAnsi="宋体" w:eastAsia="宋体" w:cs="宋体"/>
                <w:bCs/>
                <w:color w:val="auto"/>
                <w:sz w:val="21"/>
                <w:szCs w:val="21"/>
                <w:highlight w:val="none"/>
              </w:rPr>
              <w:t>分</w:t>
            </w:r>
            <w:r>
              <w:rPr>
                <w:rFonts w:hint="eastAsia" w:ascii="宋体" w:hAnsi="宋体" w:eastAsia="宋体" w:cs="宋体"/>
                <w:bCs/>
                <w:color w:val="auto"/>
                <w:sz w:val="21"/>
                <w:szCs w:val="21"/>
                <w:highlight w:val="none"/>
                <w:lang w:eastAsia="zh-CN"/>
              </w:rPr>
              <w:t>）</w:t>
            </w:r>
            <w:r>
              <w:rPr>
                <w:rFonts w:hint="eastAsia" w:ascii="宋体" w:hAnsi="宋体" w:eastAsia="宋体" w:cs="宋体"/>
                <w:bCs/>
                <w:color w:val="auto"/>
                <w:kern w:val="2"/>
                <w:sz w:val="21"/>
                <w:szCs w:val="21"/>
                <w:highlight w:val="none"/>
              </w:rPr>
              <w:t>：仅提出基础实施方案，内容简单粗糙，未明确实施思路和核心环节，仅能满足少量核心服务需求，整体可行性较差；</w:t>
            </w:r>
          </w:p>
          <w:p w14:paraId="7ED97FFB">
            <w:pPr>
              <w:pStyle w:val="18"/>
              <w:keepNext w:val="0"/>
              <w:keepLines w:val="0"/>
              <w:pageBreakBefore w:val="0"/>
              <w:kinsoku/>
              <w:wordWrap/>
              <w:overflowPunct/>
              <w:topLinePunct w:val="0"/>
              <w:autoSpaceDE/>
              <w:autoSpaceDN/>
              <w:bidi w:val="0"/>
              <w:spacing w:line="360" w:lineRule="exact"/>
              <w:ind w:firstLine="420" w:firstLineChars="200"/>
              <w:rPr>
                <w:rFonts w:hint="eastAsia" w:ascii="宋体" w:hAnsi="宋体" w:eastAsia="宋体" w:cs="宋体"/>
                <w:bCs/>
                <w:color w:val="auto"/>
                <w:kern w:val="2"/>
                <w:sz w:val="21"/>
                <w:szCs w:val="21"/>
                <w:highlight w:val="none"/>
                <w:lang w:eastAsia="zh-CN"/>
              </w:rPr>
            </w:pPr>
            <w:r>
              <w:rPr>
                <w:rFonts w:hint="eastAsia" w:ascii="宋体" w:hAnsi="宋体" w:eastAsia="宋体" w:cs="宋体"/>
                <w:bCs/>
                <w:color w:val="auto"/>
                <w:kern w:val="2"/>
                <w:sz w:val="21"/>
                <w:szCs w:val="21"/>
                <w:highlight w:val="none"/>
              </w:rPr>
              <w:t>二档</w:t>
            </w:r>
            <w:r>
              <w:rPr>
                <w:rFonts w:hint="eastAsia" w:ascii="宋体" w:hAnsi="宋体" w:eastAsia="宋体" w:cs="宋体"/>
                <w:bCs/>
                <w:color w:val="auto"/>
                <w:sz w:val="21"/>
                <w:szCs w:val="21"/>
                <w:highlight w:val="none"/>
                <w:lang w:eastAsia="zh-CN"/>
              </w:rPr>
              <w:t>（</w:t>
            </w:r>
            <w:r>
              <w:rPr>
                <w:rFonts w:hint="eastAsia" w:ascii="宋体" w:hAnsi="宋体" w:eastAsia="宋体" w:cs="宋体"/>
                <w:bCs/>
                <w:color w:val="auto"/>
                <w:sz w:val="21"/>
                <w:szCs w:val="21"/>
                <w:highlight w:val="none"/>
                <w:lang w:val="en-US" w:eastAsia="zh-CN"/>
              </w:rPr>
              <w:t>12</w:t>
            </w:r>
            <w:r>
              <w:rPr>
                <w:rFonts w:hint="eastAsia" w:ascii="宋体" w:hAnsi="宋体" w:eastAsia="宋体" w:cs="宋体"/>
                <w:bCs/>
                <w:color w:val="auto"/>
                <w:sz w:val="21"/>
                <w:szCs w:val="21"/>
                <w:highlight w:val="none"/>
              </w:rPr>
              <w:t>分</w:t>
            </w:r>
            <w:r>
              <w:rPr>
                <w:rFonts w:hint="eastAsia" w:ascii="宋体" w:hAnsi="宋体" w:eastAsia="宋体" w:cs="宋体"/>
                <w:bCs/>
                <w:color w:val="auto"/>
                <w:sz w:val="21"/>
                <w:szCs w:val="21"/>
                <w:highlight w:val="none"/>
                <w:lang w:eastAsia="zh-CN"/>
              </w:rPr>
              <w:t>）</w:t>
            </w:r>
            <w:r>
              <w:rPr>
                <w:rFonts w:hint="eastAsia" w:ascii="宋体" w:hAnsi="宋体" w:eastAsia="宋体" w:cs="宋体"/>
                <w:bCs/>
                <w:color w:val="auto"/>
                <w:kern w:val="2"/>
                <w:sz w:val="21"/>
                <w:szCs w:val="21"/>
                <w:highlight w:val="none"/>
              </w:rPr>
              <w:t>：实施方案具备基本框架，包含简单的实施思路和技术路线，组织机构初步明确，保障措施和服务承诺较为笼统，可满足部分服务需求；</w:t>
            </w:r>
          </w:p>
          <w:p w14:paraId="0B79FCA8">
            <w:pPr>
              <w:keepNext w:val="0"/>
              <w:keepLines w:val="0"/>
              <w:pageBreakBefore w:val="0"/>
              <w:kinsoku/>
              <w:wordWrap/>
              <w:overflowPunct/>
              <w:topLinePunct w:val="0"/>
              <w:autoSpaceDE/>
              <w:autoSpaceDN/>
              <w:bidi w:val="0"/>
              <w:snapToGrid w:val="0"/>
              <w:spacing w:line="360" w:lineRule="exact"/>
              <w:ind w:firstLine="420" w:firstLineChars="200"/>
              <w:jc w:val="left"/>
              <w:rPr>
                <w:rFonts w:hint="eastAsia" w:ascii="宋体" w:hAnsi="宋体" w:eastAsia="宋体" w:cs="宋体"/>
                <w:bCs/>
                <w:color w:val="auto"/>
                <w:kern w:val="2"/>
                <w:sz w:val="21"/>
                <w:szCs w:val="21"/>
                <w:highlight w:val="none"/>
              </w:rPr>
            </w:pPr>
            <w:r>
              <w:rPr>
                <w:rFonts w:hint="eastAsia" w:ascii="宋体" w:hAnsi="宋体" w:eastAsia="宋体" w:cs="宋体"/>
                <w:bCs/>
                <w:color w:val="auto"/>
                <w:kern w:val="2"/>
                <w:sz w:val="21"/>
                <w:szCs w:val="21"/>
                <w:highlight w:val="none"/>
              </w:rPr>
              <w:t>三档</w:t>
            </w:r>
            <w:r>
              <w:rPr>
                <w:rFonts w:hint="eastAsia" w:ascii="宋体" w:hAnsi="宋体" w:eastAsia="宋体" w:cs="宋体"/>
                <w:bCs/>
                <w:color w:val="auto"/>
                <w:sz w:val="21"/>
                <w:szCs w:val="21"/>
                <w:highlight w:val="none"/>
                <w:lang w:eastAsia="zh-CN"/>
              </w:rPr>
              <w:t>（</w:t>
            </w:r>
            <w:r>
              <w:rPr>
                <w:rFonts w:hint="eastAsia" w:ascii="宋体" w:hAnsi="宋体" w:eastAsia="宋体" w:cs="宋体"/>
                <w:bCs/>
                <w:color w:val="auto"/>
                <w:sz w:val="21"/>
                <w:szCs w:val="21"/>
                <w:highlight w:val="none"/>
                <w:lang w:val="en-US" w:eastAsia="zh-CN"/>
              </w:rPr>
              <w:t>20</w:t>
            </w:r>
            <w:r>
              <w:rPr>
                <w:rFonts w:hint="eastAsia" w:ascii="宋体" w:hAnsi="宋体" w:eastAsia="宋体" w:cs="宋体"/>
                <w:bCs/>
                <w:color w:val="auto"/>
                <w:sz w:val="21"/>
                <w:szCs w:val="21"/>
                <w:highlight w:val="none"/>
              </w:rPr>
              <w:t>分</w:t>
            </w:r>
            <w:r>
              <w:rPr>
                <w:rFonts w:hint="eastAsia" w:ascii="宋体" w:hAnsi="宋体" w:eastAsia="宋体" w:cs="宋体"/>
                <w:bCs/>
                <w:color w:val="auto"/>
                <w:sz w:val="21"/>
                <w:szCs w:val="21"/>
                <w:highlight w:val="none"/>
                <w:lang w:eastAsia="zh-CN"/>
              </w:rPr>
              <w:t>）</w:t>
            </w:r>
            <w:r>
              <w:rPr>
                <w:rFonts w:hint="eastAsia" w:ascii="宋体" w:hAnsi="宋体" w:eastAsia="宋体" w:cs="宋体"/>
                <w:bCs/>
                <w:color w:val="auto"/>
                <w:kern w:val="2"/>
                <w:sz w:val="21"/>
                <w:szCs w:val="21"/>
                <w:highlight w:val="none"/>
              </w:rPr>
              <w:t>：实施方案详细完整，实施思路和技术路线条理清晰、可操作性较强，组织机构齐全，保障措施和服务承诺具体可行，能够基本满足全部服务需求。</w:t>
            </w:r>
          </w:p>
          <w:p w14:paraId="49063750">
            <w:pPr>
              <w:keepNext w:val="0"/>
              <w:keepLines w:val="0"/>
              <w:pageBreakBefore w:val="0"/>
              <w:kinsoku/>
              <w:wordWrap/>
              <w:overflowPunct/>
              <w:topLinePunct w:val="0"/>
              <w:autoSpaceDE/>
              <w:autoSpaceDN/>
              <w:bidi w:val="0"/>
              <w:snapToGrid w:val="0"/>
              <w:spacing w:line="36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bCs/>
                <w:color w:val="auto"/>
                <w:kern w:val="2"/>
                <w:sz w:val="21"/>
                <w:szCs w:val="21"/>
                <w:highlight w:val="none"/>
                <w:lang w:val="en-US" w:eastAsia="zh-CN"/>
              </w:rPr>
              <w:t>四</w:t>
            </w:r>
            <w:r>
              <w:rPr>
                <w:rFonts w:hint="eastAsia" w:ascii="宋体" w:hAnsi="宋体" w:eastAsia="宋体" w:cs="宋体"/>
                <w:bCs/>
                <w:color w:val="auto"/>
                <w:kern w:val="2"/>
                <w:sz w:val="21"/>
                <w:szCs w:val="21"/>
                <w:highlight w:val="none"/>
              </w:rPr>
              <w:t>档</w:t>
            </w:r>
            <w:r>
              <w:rPr>
                <w:rFonts w:hint="eastAsia" w:ascii="宋体" w:hAnsi="宋体" w:eastAsia="宋体" w:cs="宋体"/>
                <w:bCs/>
                <w:color w:val="auto"/>
                <w:sz w:val="21"/>
                <w:szCs w:val="21"/>
                <w:highlight w:val="none"/>
                <w:lang w:eastAsia="zh-CN"/>
              </w:rPr>
              <w:t>（</w:t>
            </w:r>
            <w:r>
              <w:rPr>
                <w:rFonts w:hint="eastAsia" w:ascii="宋体" w:hAnsi="宋体" w:eastAsia="宋体" w:cs="宋体"/>
                <w:bCs/>
                <w:color w:val="auto"/>
                <w:sz w:val="21"/>
                <w:szCs w:val="21"/>
                <w:highlight w:val="none"/>
                <w:lang w:val="en-US" w:eastAsia="zh-CN"/>
              </w:rPr>
              <w:t>28</w:t>
            </w:r>
            <w:r>
              <w:rPr>
                <w:rFonts w:hint="eastAsia" w:ascii="宋体" w:hAnsi="宋体" w:eastAsia="宋体" w:cs="宋体"/>
                <w:bCs/>
                <w:color w:val="auto"/>
                <w:sz w:val="21"/>
                <w:szCs w:val="21"/>
                <w:highlight w:val="none"/>
              </w:rPr>
              <w:t>分</w:t>
            </w:r>
            <w:r>
              <w:rPr>
                <w:rFonts w:hint="eastAsia" w:ascii="宋体" w:hAnsi="宋体" w:eastAsia="宋体" w:cs="宋体"/>
                <w:bCs/>
                <w:color w:val="auto"/>
                <w:sz w:val="21"/>
                <w:szCs w:val="21"/>
                <w:highlight w:val="none"/>
                <w:lang w:eastAsia="zh-CN"/>
              </w:rPr>
              <w:t>）</w:t>
            </w:r>
            <w:r>
              <w:rPr>
                <w:rFonts w:hint="eastAsia" w:ascii="宋体" w:hAnsi="宋体" w:eastAsia="宋体" w:cs="宋体"/>
                <w:bCs/>
                <w:color w:val="auto"/>
                <w:kern w:val="2"/>
                <w:sz w:val="21"/>
                <w:szCs w:val="21"/>
                <w:highlight w:val="none"/>
              </w:rPr>
              <w:t>：实施方案全面系统、优质高效，实施思路与技术路线科学严谨、可操作性极强，组织机构完善，保障措施有力，服务承诺具体且有保障，完全满足服务需求，部分环节可超出预期。</w:t>
            </w:r>
          </w:p>
          <w:p w14:paraId="54F10D7D">
            <w:pPr>
              <w:keepNext w:val="0"/>
              <w:keepLines w:val="0"/>
              <w:pageBreakBefore w:val="0"/>
              <w:widowControl/>
              <w:suppressLineNumbers w:val="0"/>
              <w:kinsoku/>
              <w:wordWrap/>
              <w:overflowPunct/>
              <w:topLinePunct w:val="0"/>
              <w:autoSpaceDE/>
              <w:autoSpaceDN/>
              <w:bidi w:val="0"/>
              <w:spacing w:line="360" w:lineRule="exact"/>
              <w:ind w:firstLine="422" w:firstLineChars="200"/>
              <w:jc w:val="left"/>
              <w:rPr>
                <w:rFonts w:hint="eastAsia" w:ascii="宋体" w:hAnsi="宋体" w:eastAsia="宋体" w:cs="宋体"/>
                <w:color w:val="auto"/>
                <w:highlight w:val="none"/>
              </w:rPr>
            </w:pPr>
            <w:r>
              <w:rPr>
                <w:rFonts w:hint="eastAsia" w:ascii="宋体" w:hAnsi="宋体" w:eastAsia="宋体" w:cs="宋体"/>
                <w:b/>
                <w:bCs w:val="0"/>
                <w:color w:val="auto"/>
                <w:sz w:val="21"/>
                <w:szCs w:val="21"/>
                <w:highlight w:val="none"/>
              </w:rPr>
              <w:t>注：未提供</w:t>
            </w:r>
            <w:r>
              <w:rPr>
                <w:rFonts w:hint="eastAsia" w:ascii="宋体" w:hAnsi="宋体" w:eastAsia="宋体" w:cs="宋体"/>
                <w:b/>
                <w:bCs w:val="0"/>
                <w:color w:val="auto"/>
                <w:sz w:val="21"/>
                <w:szCs w:val="21"/>
                <w:highlight w:val="none"/>
                <w:lang w:val="en-US" w:eastAsia="zh-CN"/>
              </w:rPr>
              <w:t>方案</w:t>
            </w:r>
            <w:r>
              <w:rPr>
                <w:rFonts w:hint="eastAsia" w:ascii="宋体" w:hAnsi="宋体" w:eastAsia="宋体" w:cs="宋体"/>
                <w:b/>
                <w:bCs w:val="0"/>
                <w:color w:val="auto"/>
                <w:sz w:val="21"/>
                <w:szCs w:val="21"/>
                <w:highlight w:val="none"/>
              </w:rPr>
              <w:t>或不符合最低入档条件的计0分。</w:t>
            </w:r>
          </w:p>
        </w:tc>
        <w:tc>
          <w:tcPr>
            <w:tcW w:w="1389" w:type="dxa"/>
            <w:noWrap w:val="0"/>
            <w:vAlign w:val="center"/>
          </w:tcPr>
          <w:p w14:paraId="6931356A">
            <w:pPr>
              <w:keepNext w:val="0"/>
              <w:keepLines w:val="0"/>
              <w:pageBreakBefore w:val="0"/>
              <w:kinsoku/>
              <w:wordWrap/>
              <w:overflowPunct/>
              <w:topLinePunct w:val="0"/>
              <w:autoSpaceDE/>
              <w:autoSpaceDN/>
              <w:bidi w:val="0"/>
              <w:spacing w:line="360" w:lineRule="exact"/>
              <w:ind w:firstLine="420" w:firstLineChars="200"/>
              <w:rPr>
                <w:rFonts w:hint="eastAsia" w:ascii="宋体" w:hAnsi="宋体" w:eastAsia="宋体" w:cs="宋体"/>
                <w:bCs/>
                <w:color w:val="auto"/>
                <w:kern w:val="0"/>
                <w:sz w:val="21"/>
                <w:szCs w:val="21"/>
                <w:highlight w:val="none"/>
                <w:lang w:val="en-US" w:eastAsia="zh-CN"/>
              </w:rPr>
            </w:pPr>
            <w:r>
              <w:rPr>
                <w:rFonts w:hint="eastAsia" w:ascii="宋体" w:hAnsi="宋体" w:eastAsia="宋体" w:cs="宋体"/>
                <w:bCs/>
                <w:color w:val="auto"/>
                <w:kern w:val="0"/>
                <w:sz w:val="21"/>
                <w:szCs w:val="21"/>
                <w:highlight w:val="none"/>
                <w:lang w:val="en-US" w:eastAsia="zh-CN"/>
              </w:rPr>
              <w:t>28分</w:t>
            </w:r>
          </w:p>
        </w:tc>
      </w:tr>
      <w:tr w14:paraId="4B81ED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30" w:type="dxa"/>
            <w:noWrap w:val="0"/>
            <w:vAlign w:val="center"/>
          </w:tcPr>
          <w:p w14:paraId="5F577C46">
            <w:pPr>
              <w:keepNext w:val="0"/>
              <w:keepLines w:val="0"/>
              <w:pageBreakBefore w:val="0"/>
              <w:kinsoku/>
              <w:wordWrap/>
              <w:overflowPunct/>
              <w:topLinePunct w:val="0"/>
              <w:autoSpaceDE/>
              <w:autoSpaceDN/>
              <w:bidi w:val="0"/>
              <w:adjustRightInd w:val="0"/>
              <w:spacing w:line="360" w:lineRule="exact"/>
              <w:ind w:left="-105" w:leftChars="-50" w:right="-105" w:rightChars="-50"/>
              <w:jc w:val="center"/>
              <w:textAlignment w:val="baseline"/>
              <w:rPr>
                <w:rFonts w:hint="eastAsia" w:ascii="宋体" w:hAnsi="宋体" w:eastAsia="宋体" w:cs="宋体"/>
                <w:bCs/>
                <w:color w:val="auto"/>
                <w:kern w:val="0"/>
                <w:sz w:val="21"/>
                <w:szCs w:val="21"/>
                <w:highlight w:val="none"/>
                <w:lang w:val="en-US" w:eastAsia="zh-CN"/>
              </w:rPr>
            </w:pPr>
            <w:r>
              <w:rPr>
                <w:rFonts w:hint="eastAsia" w:ascii="宋体" w:hAnsi="宋体" w:eastAsia="宋体" w:cs="宋体"/>
                <w:bCs/>
                <w:color w:val="auto"/>
                <w:kern w:val="0"/>
                <w:sz w:val="21"/>
                <w:szCs w:val="21"/>
                <w:highlight w:val="none"/>
                <w:lang w:val="en-US" w:eastAsia="zh-CN"/>
              </w:rPr>
              <w:t>2.3</w:t>
            </w:r>
          </w:p>
        </w:tc>
        <w:tc>
          <w:tcPr>
            <w:tcW w:w="1150" w:type="dxa"/>
            <w:noWrap w:val="0"/>
            <w:vAlign w:val="center"/>
          </w:tcPr>
          <w:p w14:paraId="272E5A7E">
            <w:pPr>
              <w:keepNext w:val="0"/>
              <w:keepLines w:val="0"/>
              <w:pageBreakBefore w:val="0"/>
              <w:kinsoku/>
              <w:wordWrap/>
              <w:overflowPunct/>
              <w:topLinePunct w:val="0"/>
              <w:autoSpaceDE/>
              <w:autoSpaceDN/>
              <w:bidi w:val="0"/>
              <w:spacing w:line="360" w:lineRule="exact"/>
              <w:jc w:val="center"/>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售后服务承诺分</w:t>
            </w:r>
          </w:p>
        </w:tc>
        <w:tc>
          <w:tcPr>
            <w:tcW w:w="6717" w:type="dxa"/>
            <w:noWrap w:val="0"/>
            <w:vAlign w:val="center"/>
          </w:tcPr>
          <w:p w14:paraId="39F96A65">
            <w:pPr>
              <w:keepNext w:val="0"/>
              <w:keepLines w:val="0"/>
              <w:pageBreakBefore w:val="0"/>
              <w:kinsoku/>
              <w:wordWrap/>
              <w:overflowPunct/>
              <w:topLinePunct w:val="0"/>
              <w:autoSpaceDE/>
              <w:autoSpaceDN/>
              <w:bidi w:val="0"/>
              <w:spacing w:line="36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一档（5分）：供应商提供的售后服务承诺（含服务期限、服务响应时间、日常巡查计划、养护计划及问题整改速度等）核心要素不全，针对性薄弱，未结合项目实际需求，整体可行性低；</w:t>
            </w:r>
          </w:p>
          <w:p w14:paraId="6EAFF699">
            <w:pPr>
              <w:keepNext w:val="0"/>
              <w:keepLines w:val="0"/>
              <w:pageBreakBefore w:val="0"/>
              <w:kinsoku/>
              <w:wordWrap/>
              <w:overflowPunct/>
              <w:topLinePunct w:val="0"/>
              <w:autoSpaceDE/>
              <w:autoSpaceDN/>
              <w:bidi w:val="0"/>
              <w:spacing w:line="36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二档（10分）：供应商提供的售后服务承诺（含服务期限、服务响应时间、日常巡查计划、养护计划及问题整改速度等）要素基本齐全，有初步针对性，内容较笼统，具备基础可行性；</w:t>
            </w:r>
          </w:p>
          <w:p w14:paraId="75B35DAA">
            <w:pPr>
              <w:keepNext w:val="0"/>
              <w:keepLines w:val="0"/>
              <w:pageBreakBefore w:val="0"/>
              <w:kinsoku/>
              <w:wordWrap/>
              <w:overflowPunct/>
              <w:topLinePunct w:val="0"/>
              <w:autoSpaceDE/>
              <w:autoSpaceDN/>
              <w:bidi w:val="0"/>
              <w:spacing w:line="360" w:lineRule="exact"/>
              <w:ind w:firstLine="420" w:firstLineChars="200"/>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三档（15分）：供应商提供的售后服务承诺（含服务期限、服务响应时间、日常巡查计划、养护计划及问题整改速度等）详细完整，贴合项目实际需求，针对性较强，各项承诺可落地执行；</w:t>
            </w:r>
          </w:p>
          <w:p w14:paraId="52F4C490">
            <w:pPr>
              <w:keepNext w:val="0"/>
              <w:keepLines w:val="0"/>
              <w:pageBreakBefore w:val="0"/>
              <w:kinsoku/>
              <w:wordWrap/>
              <w:overflowPunct/>
              <w:topLinePunct w:val="0"/>
              <w:autoSpaceDE/>
              <w:autoSpaceDN/>
              <w:bidi w:val="0"/>
              <w:spacing w:line="360" w:lineRule="exact"/>
              <w:ind w:firstLine="420" w:firstLineChars="200"/>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四档（20分）：供应商提供的售后服务承诺（含服务期限、服务响应时间、日常巡查计划、养护计划及问题整改速度等）全面详实、逻辑严谨，针对性极强，完全契合项目需求，各项承诺有明确落地保障，可行性极高。</w:t>
            </w:r>
          </w:p>
          <w:p w14:paraId="107517E8">
            <w:pPr>
              <w:keepNext w:val="0"/>
              <w:keepLines w:val="0"/>
              <w:pageBreakBefore w:val="0"/>
              <w:widowControl/>
              <w:suppressLineNumbers w:val="0"/>
              <w:kinsoku/>
              <w:wordWrap/>
              <w:overflowPunct/>
              <w:topLinePunct w:val="0"/>
              <w:autoSpaceDE/>
              <w:autoSpaceDN/>
              <w:bidi w:val="0"/>
              <w:spacing w:line="360" w:lineRule="exact"/>
              <w:ind w:firstLine="422" w:firstLineChars="200"/>
              <w:jc w:val="left"/>
              <w:rPr>
                <w:rFonts w:hint="eastAsia" w:ascii="宋体" w:hAnsi="宋体" w:eastAsia="宋体" w:cs="宋体"/>
                <w:color w:val="auto"/>
                <w:highlight w:val="none"/>
                <w:lang w:val="en-US" w:eastAsia="zh-CN"/>
              </w:rPr>
            </w:pPr>
            <w:r>
              <w:rPr>
                <w:rFonts w:hint="eastAsia" w:ascii="宋体" w:hAnsi="宋体" w:eastAsia="宋体" w:cs="宋体"/>
                <w:b/>
                <w:bCs w:val="0"/>
                <w:color w:val="auto"/>
                <w:sz w:val="21"/>
                <w:szCs w:val="21"/>
                <w:highlight w:val="none"/>
              </w:rPr>
              <w:t>注：未提供</w:t>
            </w:r>
            <w:r>
              <w:rPr>
                <w:rFonts w:hint="eastAsia" w:ascii="宋体" w:hAnsi="宋体" w:eastAsia="宋体" w:cs="宋体"/>
                <w:b/>
                <w:bCs w:val="0"/>
                <w:color w:val="auto"/>
                <w:sz w:val="21"/>
                <w:szCs w:val="21"/>
                <w:highlight w:val="none"/>
                <w:lang w:val="en-US" w:eastAsia="zh-CN"/>
              </w:rPr>
              <w:t>方案</w:t>
            </w:r>
            <w:r>
              <w:rPr>
                <w:rFonts w:hint="eastAsia" w:ascii="宋体" w:hAnsi="宋体" w:eastAsia="宋体" w:cs="宋体"/>
                <w:b/>
                <w:bCs w:val="0"/>
                <w:color w:val="auto"/>
                <w:sz w:val="21"/>
                <w:szCs w:val="21"/>
                <w:highlight w:val="none"/>
              </w:rPr>
              <w:t>或不符合最低入档条件的计0分。</w:t>
            </w:r>
          </w:p>
        </w:tc>
        <w:tc>
          <w:tcPr>
            <w:tcW w:w="1389" w:type="dxa"/>
            <w:noWrap w:val="0"/>
            <w:vAlign w:val="center"/>
          </w:tcPr>
          <w:p w14:paraId="5258D476">
            <w:pPr>
              <w:keepNext w:val="0"/>
              <w:keepLines w:val="0"/>
              <w:pageBreakBefore w:val="0"/>
              <w:kinsoku/>
              <w:wordWrap/>
              <w:overflowPunct/>
              <w:topLinePunct w:val="0"/>
              <w:autoSpaceDE/>
              <w:autoSpaceDN/>
              <w:bidi w:val="0"/>
              <w:spacing w:line="360" w:lineRule="exact"/>
              <w:jc w:val="center"/>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20分</w:t>
            </w:r>
          </w:p>
        </w:tc>
      </w:tr>
      <w:tr w14:paraId="3C6C44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30" w:type="dxa"/>
            <w:noWrap w:val="0"/>
            <w:vAlign w:val="center"/>
          </w:tcPr>
          <w:p w14:paraId="6DF821CA">
            <w:pPr>
              <w:keepNext w:val="0"/>
              <w:keepLines w:val="0"/>
              <w:pageBreakBefore w:val="0"/>
              <w:widowControl/>
              <w:kinsoku/>
              <w:wordWrap/>
              <w:overflowPunct/>
              <w:topLinePunct w:val="0"/>
              <w:autoSpaceDE/>
              <w:autoSpaceDN/>
              <w:bidi w:val="0"/>
              <w:spacing w:line="360" w:lineRule="exact"/>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3</w:t>
            </w:r>
          </w:p>
        </w:tc>
        <w:tc>
          <w:tcPr>
            <w:tcW w:w="1150" w:type="dxa"/>
            <w:noWrap w:val="0"/>
            <w:vAlign w:val="center"/>
          </w:tcPr>
          <w:p w14:paraId="722433F3">
            <w:pPr>
              <w:keepNext w:val="0"/>
              <w:keepLines w:val="0"/>
              <w:pageBreakBefore w:val="0"/>
              <w:widowControl/>
              <w:kinsoku/>
              <w:wordWrap/>
              <w:overflowPunct/>
              <w:topLinePunct w:val="0"/>
              <w:autoSpaceDE/>
              <w:autoSpaceDN/>
              <w:bidi w:val="0"/>
              <w:spacing w:line="360" w:lineRule="exact"/>
              <w:jc w:val="center"/>
              <w:rPr>
                <w:rFonts w:hint="eastAsia" w:ascii="宋体" w:hAnsi="宋体" w:eastAsia="宋体" w:cs="宋体"/>
                <w:bCs/>
                <w:color w:val="auto"/>
                <w:sz w:val="21"/>
                <w:szCs w:val="21"/>
                <w:highlight w:val="none"/>
                <w:lang w:val="en-US" w:eastAsia="zh-CN"/>
              </w:rPr>
            </w:pPr>
            <w:r>
              <w:rPr>
                <w:rFonts w:hint="eastAsia" w:ascii="宋体" w:hAnsi="宋体" w:eastAsia="宋体" w:cs="宋体"/>
                <w:bCs/>
                <w:color w:val="auto"/>
                <w:sz w:val="21"/>
                <w:szCs w:val="21"/>
                <w:highlight w:val="none"/>
                <w:lang w:val="en-US" w:eastAsia="zh-CN"/>
              </w:rPr>
              <w:t>商务分</w:t>
            </w:r>
          </w:p>
        </w:tc>
        <w:tc>
          <w:tcPr>
            <w:tcW w:w="8106" w:type="dxa"/>
            <w:gridSpan w:val="2"/>
            <w:noWrap w:val="0"/>
            <w:vAlign w:val="center"/>
          </w:tcPr>
          <w:p w14:paraId="2612A548">
            <w:pPr>
              <w:keepNext w:val="0"/>
              <w:keepLines w:val="0"/>
              <w:pageBreakBefore w:val="0"/>
              <w:widowControl/>
              <w:kinsoku/>
              <w:wordWrap/>
              <w:overflowPunct/>
              <w:topLinePunct w:val="0"/>
              <w:autoSpaceDE/>
              <w:autoSpaceDN/>
              <w:bidi w:val="0"/>
              <w:spacing w:line="360" w:lineRule="exact"/>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评审因素</w:t>
            </w:r>
          </w:p>
        </w:tc>
      </w:tr>
      <w:tr w14:paraId="1A93C2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30" w:type="dxa"/>
            <w:noWrap w:val="0"/>
            <w:vAlign w:val="center"/>
          </w:tcPr>
          <w:p w14:paraId="58E80952">
            <w:pPr>
              <w:keepNext w:val="0"/>
              <w:keepLines w:val="0"/>
              <w:pageBreakBefore w:val="0"/>
              <w:widowControl/>
              <w:kinsoku/>
              <w:wordWrap/>
              <w:overflowPunct/>
              <w:topLinePunct w:val="0"/>
              <w:autoSpaceDE/>
              <w:autoSpaceDN/>
              <w:bidi w:val="0"/>
              <w:adjustRightInd/>
              <w:spacing w:line="36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3.1</w:t>
            </w:r>
          </w:p>
        </w:tc>
        <w:tc>
          <w:tcPr>
            <w:tcW w:w="1150" w:type="dxa"/>
            <w:noWrap w:val="0"/>
            <w:vAlign w:val="center"/>
          </w:tcPr>
          <w:p w14:paraId="40433D46">
            <w:pPr>
              <w:keepNext w:val="0"/>
              <w:keepLines w:val="0"/>
              <w:pageBreakBefore w:val="0"/>
              <w:widowControl/>
              <w:kinsoku/>
              <w:wordWrap/>
              <w:overflowPunct/>
              <w:topLinePunct w:val="0"/>
              <w:autoSpaceDE/>
              <w:autoSpaceDN/>
              <w:bidi w:val="0"/>
              <w:adjustRightInd/>
              <w:spacing w:line="360" w:lineRule="exact"/>
              <w:jc w:val="center"/>
              <w:textAlignment w:val="auto"/>
              <w:rPr>
                <w:rFonts w:hint="eastAsia" w:ascii="宋体" w:hAnsi="宋体" w:eastAsia="宋体" w:cs="宋体"/>
                <w:bCs/>
                <w:color w:val="auto"/>
                <w:sz w:val="21"/>
                <w:szCs w:val="21"/>
                <w:highlight w:val="none"/>
              </w:rPr>
            </w:pPr>
            <w:r>
              <w:rPr>
                <w:rFonts w:hint="eastAsia" w:ascii="宋体" w:hAnsi="宋体" w:eastAsia="宋体" w:cs="宋体"/>
                <w:bCs/>
                <w:color w:val="auto"/>
                <w:kern w:val="0"/>
                <w:sz w:val="21"/>
                <w:szCs w:val="21"/>
                <w:highlight w:val="none"/>
                <w:lang w:val="en-US" w:eastAsia="zh-CN"/>
              </w:rPr>
              <w:t>投入人员分</w:t>
            </w:r>
          </w:p>
        </w:tc>
        <w:tc>
          <w:tcPr>
            <w:tcW w:w="6717" w:type="dxa"/>
            <w:noWrap w:val="0"/>
            <w:vAlign w:val="top"/>
          </w:tcPr>
          <w:p w14:paraId="324BBCE8">
            <w:pPr>
              <w:keepNext w:val="0"/>
              <w:keepLines w:val="0"/>
              <w:pageBreakBefore w:val="0"/>
              <w:numPr>
                <w:ilvl w:val="0"/>
                <w:numId w:val="0"/>
              </w:numPr>
              <w:kinsoku/>
              <w:wordWrap/>
              <w:overflowPunct/>
              <w:topLinePunct w:val="0"/>
              <w:autoSpaceDE/>
              <w:autoSpaceDN/>
              <w:bidi w:val="0"/>
              <w:adjustRightInd/>
              <w:snapToGrid w:val="0"/>
              <w:spacing w:line="360" w:lineRule="exact"/>
              <w:ind w:firstLine="420" w:firstLineChars="200"/>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1、项目负责人：具有本科（含）以上学历得2分，具有中级及以上工程师职称的得3分。满分5分。</w:t>
            </w:r>
          </w:p>
          <w:p w14:paraId="0685C994">
            <w:pPr>
              <w:pStyle w:val="122"/>
              <w:keepNext w:val="0"/>
              <w:keepLines w:val="0"/>
              <w:pageBreakBefore w:val="0"/>
              <w:kinsoku/>
              <w:wordWrap/>
              <w:overflowPunct/>
              <w:topLinePunct w:val="0"/>
              <w:autoSpaceDE/>
              <w:autoSpaceDN/>
              <w:bidi w:val="0"/>
              <w:adjustRightInd/>
              <w:spacing w:line="360" w:lineRule="exact"/>
              <w:ind w:left="0" w:leftChars="0" w:firstLine="420" w:firstLineChars="20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2、拟投入除项目负责人外的其他人员中，具有本科及以上学历（设计类专业或动物学类专业或植物学类专业）或具备中级及以上职称（设计类或林业类或生态类)的，每个得1分，满分5分。</w:t>
            </w:r>
          </w:p>
          <w:p w14:paraId="360D1A28">
            <w:pPr>
              <w:keepNext w:val="0"/>
              <w:keepLines w:val="0"/>
              <w:pageBreakBefore w:val="0"/>
              <w:kinsoku/>
              <w:wordWrap/>
              <w:overflowPunct/>
              <w:topLinePunct w:val="0"/>
              <w:autoSpaceDE/>
              <w:autoSpaceDN/>
              <w:bidi w:val="0"/>
              <w:adjustRightInd/>
              <w:spacing w:line="360" w:lineRule="exact"/>
              <w:ind w:firstLine="422" w:firstLineChars="200"/>
              <w:textAlignment w:val="auto"/>
              <w:rPr>
                <w:rFonts w:hint="eastAsia" w:ascii="宋体" w:hAnsi="宋体" w:eastAsia="宋体" w:cs="宋体"/>
                <w:color w:val="auto"/>
                <w:highlight w:val="none"/>
                <w:lang w:val="en-US" w:eastAsia="zh-CN"/>
              </w:rPr>
            </w:pPr>
            <w:r>
              <w:rPr>
                <w:rFonts w:hint="eastAsia" w:ascii="宋体" w:hAnsi="宋体" w:eastAsia="宋体" w:cs="宋体"/>
                <w:b/>
                <w:bCs/>
                <w:color w:val="auto"/>
                <w:sz w:val="21"/>
                <w:szCs w:val="21"/>
                <w:highlight w:val="none"/>
                <w:lang w:val="en-US" w:eastAsia="zh-CN"/>
              </w:rPr>
              <w:t>备注：投标</w:t>
            </w:r>
            <w:r>
              <w:rPr>
                <w:rFonts w:hint="eastAsia" w:ascii="宋体" w:hAnsi="宋体" w:eastAsia="宋体" w:cs="宋体"/>
                <w:b/>
                <w:bCs/>
                <w:color w:val="auto"/>
                <w:sz w:val="21"/>
                <w:szCs w:val="21"/>
                <w:highlight w:val="none"/>
              </w:rPr>
              <w:t>文件</w:t>
            </w:r>
            <w:r>
              <w:rPr>
                <w:rFonts w:hint="eastAsia" w:ascii="宋体" w:hAnsi="宋体" w:eastAsia="宋体" w:cs="宋体"/>
                <w:b/>
                <w:bCs/>
                <w:color w:val="auto"/>
                <w:sz w:val="21"/>
                <w:szCs w:val="21"/>
                <w:highlight w:val="none"/>
                <w:lang w:val="en-US" w:eastAsia="zh-CN"/>
              </w:rPr>
              <w:t>中须</w:t>
            </w:r>
            <w:r>
              <w:rPr>
                <w:rFonts w:hint="eastAsia" w:ascii="宋体" w:hAnsi="宋体" w:eastAsia="宋体" w:cs="宋体"/>
                <w:b/>
                <w:bCs/>
                <w:color w:val="auto"/>
                <w:sz w:val="21"/>
                <w:szCs w:val="21"/>
                <w:highlight w:val="none"/>
              </w:rPr>
              <w:t>提供相应人员有效的证书复印件</w:t>
            </w:r>
            <w:r>
              <w:rPr>
                <w:rFonts w:hint="eastAsia" w:ascii="宋体" w:hAnsi="宋体" w:eastAsia="宋体" w:cs="宋体"/>
                <w:b/>
                <w:bCs/>
                <w:color w:val="auto"/>
                <w:sz w:val="21"/>
                <w:szCs w:val="21"/>
                <w:highlight w:val="none"/>
                <w:lang w:val="en-US" w:eastAsia="zh-CN"/>
              </w:rPr>
              <w:t>以及投标文件递交截止时间前半年内任意一个月投标人为其员工缴纳的社保证明复印件或有效的劳动合同复印件并</w:t>
            </w:r>
            <w:r>
              <w:rPr>
                <w:rFonts w:hint="eastAsia" w:ascii="宋体" w:hAnsi="宋体" w:eastAsia="宋体" w:cs="宋体"/>
                <w:b/>
                <w:bCs/>
                <w:color w:val="auto"/>
                <w:sz w:val="21"/>
                <w:szCs w:val="21"/>
                <w:highlight w:val="none"/>
              </w:rPr>
              <w:t>加盖供应商</w:t>
            </w:r>
            <w:r>
              <w:rPr>
                <w:rFonts w:hint="eastAsia" w:ascii="宋体" w:hAnsi="宋体" w:eastAsia="宋体" w:cs="宋体"/>
                <w:b/>
                <w:bCs/>
                <w:color w:val="auto"/>
                <w:sz w:val="21"/>
                <w:szCs w:val="21"/>
                <w:highlight w:val="none"/>
                <w:lang w:val="en-US" w:eastAsia="zh-CN"/>
              </w:rPr>
              <w:t>公章或电子签章，</w:t>
            </w:r>
            <w:r>
              <w:rPr>
                <w:rFonts w:hint="eastAsia" w:ascii="宋体" w:hAnsi="宋体" w:eastAsia="宋体" w:cs="宋体"/>
                <w:b/>
                <w:bCs/>
                <w:color w:val="auto"/>
                <w:sz w:val="21"/>
                <w:szCs w:val="21"/>
                <w:highlight w:val="none"/>
                <w:lang w:eastAsia="zh-CN"/>
              </w:rPr>
              <w:t>未按要求提供</w:t>
            </w:r>
            <w:r>
              <w:rPr>
                <w:rFonts w:hint="eastAsia" w:ascii="宋体" w:hAnsi="宋体" w:eastAsia="宋体" w:cs="宋体"/>
                <w:b/>
                <w:bCs/>
                <w:color w:val="auto"/>
                <w:sz w:val="21"/>
                <w:szCs w:val="21"/>
                <w:highlight w:val="none"/>
                <w:lang w:val="en-US" w:eastAsia="zh-CN"/>
              </w:rPr>
              <w:t>的</w:t>
            </w:r>
            <w:r>
              <w:rPr>
                <w:rFonts w:hint="eastAsia" w:ascii="宋体" w:hAnsi="宋体" w:eastAsia="宋体" w:cs="宋体"/>
                <w:b/>
                <w:bCs/>
                <w:color w:val="auto"/>
                <w:sz w:val="21"/>
                <w:szCs w:val="21"/>
                <w:highlight w:val="none"/>
                <w:lang w:eastAsia="zh-CN"/>
              </w:rPr>
              <w:t>不</w:t>
            </w:r>
            <w:r>
              <w:rPr>
                <w:rFonts w:hint="eastAsia" w:ascii="宋体" w:hAnsi="宋体" w:eastAsia="宋体" w:cs="宋体"/>
                <w:b/>
                <w:bCs/>
                <w:color w:val="auto"/>
                <w:sz w:val="21"/>
                <w:szCs w:val="21"/>
                <w:highlight w:val="none"/>
                <w:lang w:val="en-US" w:eastAsia="zh-CN"/>
              </w:rPr>
              <w:t>计</w:t>
            </w:r>
            <w:r>
              <w:rPr>
                <w:rFonts w:hint="eastAsia" w:ascii="宋体" w:hAnsi="宋体" w:eastAsia="宋体" w:cs="宋体"/>
                <w:b/>
                <w:bCs/>
                <w:color w:val="auto"/>
                <w:sz w:val="21"/>
                <w:szCs w:val="21"/>
                <w:highlight w:val="none"/>
                <w:lang w:eastAsia="zh-CN"/>
              </w:rPr>
              <w:t>分。</w:t>
            </w:r>
          </w:p>
        </w:tc>
        <w:tc>
          <w:tcPr>
            <w:tcW w:w="1389" w:type="dxa"/>
            <w:noWrap w:val="0"/>
            <w:vAlign w:val="center"/>
          </w:tcPr>
          <w:p w14:paraId="339F7874">
            <w:pPr>
              <w:keepNext w:val="0"/>
              <w:keepLines w:val="0"/>
              <w:pageBreakBefore w:val="0"/>
              <w:widowControl/>
              <w:kinsoku/>
              <w:wordWrap/>
              <w:overflowPunct/>
              <w:topLinePunct w:val="0"/>
              <w:autoSpaceDE/>
              <w:autoSpaceDN/>
              <w:bidi w:val="0"/>
              <w:adjustRightInd/>
              <w:spacing w:line="36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sz w:val="21"/>
                <w:szCs w:val="21"/>
                <w:highlight w:val="none"/>
                <w:lang w:val="en-US" w:eastAsia="zh-CN"/>
              </w:rPr>
              <w:t>10</w:t>
            </w:r>
            <w:r>
              <w:rPr>
                <w:rFonts w:hint="eastAsia" w:ascii="宋体" w:hAnsi="宋体" w:eastAsia="宋体" w:cs="宋体"/>
                <w:color w:val="auto"/>
                <w:sz w:val="21"/>
                <w:szCs w:val="21"/>
                <w:highlight w:val="none"/>
              </w:rPr>
              <w:t>分</w:t>
            </w:r>
          </w:p>
        </w:tc>
      </w:tr>
      <w:tr w14:paraId="7F5DC5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30" w:type="dxa"/>
            <w:noWrap w:val="0"/>
            <w:vAlign w:val="center"/>
          </w:tcPr>
          <w:p w14:paraId="1B664757">
            <w:pPr>
              <w:keepNext w:val="0"/>
              <w:keepLines w:val="0"/>
              <w:pageBreakBefore w:val="0"/>
              <w:widowControl/>
              <w:kinsoku/>
              <w:wordWrap/>
              <w:overflowPunct/>
              <w:topLinePunct w:val="0"/>
              <w:autoSpaceDE/>
              <w:autoSpaceDN/>
              <w:bidi w:val="0"/>
              <w:adjustRightInd/>
              <w:spacing w:line="360" w:lineRule="exact"/>
              <w:jc w:val="center"/>
              <w:textAlignment w:val="auto"/>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3.2</w:t>
            </w:r>
          </w:p>
        </w:tc>
        <w:tc>
          <w:tcPr>
            <w:tcW w:w="1150" w:type="dxa"/>
            <w:noWrap w:val="0"/>
            <w:vAlign w:val="center"/>
          </w:tcPr>
          <w:p w14:paraId="502D4821">
            <w:pPr>
              <w:keepNext w:val="0"/>
              <w:keepLines w:val="0"/>
              <w:pageBreakBefore w:val="0"/>
              <w:widowControl/>
              <w:kinsoku/>
              <w:wordWrap/>
              <w:overflowPunct/>
              <w:topLinePunct w:val="0"/>
              <w:autoSpaceDE/>
              <w:autoSpaceDN/>
              <w:bidi w:val="0"/>
              <w:adjustRightInd/>
              <w:spacing w:line="360" w:lineRule="exact"/>
              <w:jc w:val="center"/>
              <w:textAlignment w:val="auto"/>
              <w:rPr>
                <w:rFonts w:hint="eastAsia" w:ascii="宋体" w:hAnsi="宋体" w:eastAsia="宋体" w:cs="宋体"/>
                <w:b/>
                <w:bCs/>
                <w:color w:val="auto"/>
                <w:sz w:val="21"/>
                <w:szCs w:val="21"/>
                <w:highlight w:val="none"/>
              </w:rPr>
            </w:pPr>
            <w:r>
              <w:rPr>
                <w:rFonts w:hint="eastAsia" w:ascii="宋体" w:hAnsi="宋体" w:eastAsia="宋体" w:cs="宋体"/>
                <w:b w:val="0"/>
                <w:bCs w:val="0"/>
                <w:color w:val="auto"/>
                <w:sz w:val="21"/>
                <w:szCs w:val="21"/>
                <w:highlight w:val="none"/>
              </w:rPr>
              <w:t>信誉业绩分</w:t>
            </w:r>
          </w:p>
        </w:tc>
        <w:tc>
          <w:tcPr>
            <w:tcW w:w="6717" w:type="dxa"/>
            <w:noWrap w:val="0"/>
            <w:vAlign w:val="top"/>
          </w:tcPr>
          <w:p w14:paraId="562E1FBC">
            <w:pPr>
              <w:keepNext w:val="0"/>
              <w:keepLines w:val="0"/>
              <w:pageBreakBefore w:val="0"/>
              <w:kinsoku/>
              <w:wordWrap/>
              <w:overflowPunct/>
              <w:topLinePunct w:val="0"/>
              <w:autoSpaceDE/>
              <w:autoSpaceDN/>
              <w:bidi w:val="0"/>
              <w:adjustRightInd/>
              <w:spacing w:line="360" w:lineRule="exact"/>
              <w:ind w:firstLine="420" w:firstLineChars="200"/>
              <w:textAlignment w:val="auto"/>
              <w:rPr>
                <w:rFonts w:hint="eastAsia" w:ascii="宋体" w:hAnsi="宋体" w:eastAsia="宋体" w:cs="宋体"/>
                <w:bCs/>
                <w:color w:val="auto"/>
                <w:kern w:val="0"/>
                <w:sz w:val="21"/>
                <w:szCs w:val="21"/>
                <w:highlight w:val="none"/>
              </w:rPr>
            </w:pPr>
            <w:r>
              <w:rPr>
                <w:rFonts w:hint="eastAsia" w:ascii="宋体" w:hAnsi="宋体" w:eastAsia="宋体" w:cs="宋体"/>
                <w:bCs/>
                <w:color w:val="auto"/>
                <w:kern w:val="0"/>
                <w:sz w:val="21"/>
                <w:szCs w:val="21"/>
                <w:highlight w:val="none"/>
              </w:rPr>
              <w:t>20</w:t>
            </w:r>
            <w:r>
              <w:rPr>
                <w:rFonts w:hint="eastAsia" w:ascii="宋体" w:hAnsi="宋体" w:eastAsia="宋体" w:cs="宋体"/>
                <w:bCs/>
                <w:color w:val="auto"/>
                <w:kern w:val="0"/>
                <w:sz w:val="21"/>
                <w:szCs w:val="21"/>
                <w:highlight w:val="none"/>
                <w:lang w:val="en-US" w:eastAsia="zh-CN"/>
              </w:rPr>
              <w:t>2</w:t>
            </w:r>
            <w:r>
              <w:rPr>
                <w:rFonts w:hint="eastAsia" w:ascii="宋体" w:hAnsi="宋体" w:cs="宋体"/>
                <w:bCs/>
                <w:color w:val="auto"/>
                <w:kern w:val="0"/>
                <w:sz w:val="21"/>
                <w:szCs w:val="21"/>
                <w:highlight w:val="none"/>
                <w:lang w:val="en-US" w:eastAsia="zh-CN"/>
              </w:rPr>
              <w:t>3</w:t>
            </w:r>
            <w:r>
              <w:rPr>
                <w:rFonts w:hint="eastAsia" w:ascii="宋体" w:hAnsi="宋体" w:eastAsia="宋体" w:cs="宋体"/>
                <w:bCs/>
                <w:color w:val="auto"/>
                <w:kern w:val="0"/>
                <w:sz w:val="21"/>
                <w:szCs w:val="21"/>
                <w:highlight w:val="none"/>
              </w:rPr>
              <w:t>年</w:t>
            </w:r>
            <w:r>
              <w:rPr>
                <w:rFonts w:hint="eastAsia" w:ascii="宋体" w:hAnsi="宋体" w:cs="宋体"/>
                <w:bCs/>
                <w:color w:val="auto"/>
                <w:kern w:val="0"/>
                <w:sz w:val="21"/>
                <w:szCs w:val="21"/>
                <w:highlight w:val="none"/>
                <w:lang w:val="en-US" w:eastAsia="zh-CN"/>
              </w:rPr>
              <w:t>7</w:t>
            </w:r>
            <w:r>
              <w:rPr>
                <w:rFonts w:hint="eastAsia" w:ascii="宋体" w:hAnsi="宋体" w:eastAsia="宋体" w:cs="宋体"/>
                <w:bCs/>
                <w:color w:val="auto"/>
                <w:kern w:val="0"/>
                <w:sz w:val="21"/>
                <w:szCs w:val="21"/>
                <w:highlight w:val="none"/>
              </w:rPr>
              <w:t>月1日以来供应商</w:t>
            </w:r>
            <w:r>
              <w:rPr>
                <w:rFonts w:hint="eastAsia" w:ascii="宋体" w:hAnsi="宋体" w:eastAsia="宋体" w:cs="宋体"/>
                <w:bCs/>
                <w:color w:val="auto"/>
                <w:kern w:val="0"/>
                <w:sz w:val="21"/>
                <w:szCs w:val="21"/>
                <w:highlight w:val="none"/>
                <w:lang w:val="en-US" w:eastAsia="zh-CN"/>
              </w:rPr>
              <w:t>承接过</w:t>
            </w:r>
            <w:r>
              <w:rPr>
                <w:rFonts w:hint="eastAsia" w:ascii="宋体" w:hAnsi="宋体" w:eastAsia="宋体" w:cs="宋体"/>
                <w:color w:val="auto"/>
                <w:sz w:val="21"/>
                <w:szCs w:val="21"/>
                <w:highlight w:val="none"/>
                <w:lang w:eastAsia="zh-CN"/>
              </w:rPr>
              <w:t>自然保护区</w:t>
            </w:r>
            <w:r>
              <w:rPr>
                <w:rFonts w:hint="eastAsia" w:ascii="宋体" w:hAnsi="宋体" w:eastAsia="宋体" w:cs="宋体"/>
                <w:color w:val="auto"/>
                <w:sz w:val="21"/>
                <w:szCs w:val="21"/>
                <w:highlight w:val="none"/>
                <w:lang w:val="en-US" w:eastAsia="zh-CN"/>
              </w:rPr>
              <w:t>或</w:t>
            </w:r>
            <w:r>
              <w:rPr>
                <w:rFonts w:hint="eastAsia" w:ascii="宋体" w:hAnsi="宋体" w:eastAsia="宋体" w:cs="宋体"/>
                <w:color w:val="auto"/>
                <w:sz w:val="21"/>
                <w:szCs w:val="21"/>
                <w:highlight w:val="none"/>
                <w:lang w:eastAsia="zh-CN"/>
              </w:rPr>
              <w:t>湿地公园</w:t>
            </w:r>
            <w:r>
              <w:rPr>
                <w:rFonts w:hint="eastAsia" w:ascii="宋体" w:hAnsi="宋体" w:eastAsia="宋体" w:cs="宋体"/>
                <w:bCs/>
                <w:color w:val="auto"/>
                <w:kern w:val="0"/>
                <w:sz w:val="21"/>
                <w:szCs w:val="21"/>
                <w:highlight w:val="none"/>
                <w:lang w:val="en-US" w:eastAsia="zh-CN"/>
              </w:rPr>
              <w:t>类似项目业绩的，</w:t>
            </w:r>
            <w:r>
              <w:rPr>
                <w:rFonts w:hint="eastAsia" w:ascii="宋体" w:hAnsi="宋体" w:eastAsia="宋体" w:cs="宋体"/>
                <w:bCs/>
                <w:color w:val="auto"/>
                <w:kern w:val="0"/>
                <w:sz w:val="21"/>
                <w:szCs w:val="21"/>
                <w:highlight w:val="none"/>
              </w:rPr>
              <w:t xml:space="preserve">每个项目得 </w:t>
            </w:r>
            <w:r>
              <w:rPr>
                <w:rFonts w:hint="eastAsia" w:ascii="宋体" w:hAnsi="宋体" w:eastAsia="宋体" w:cs="宋体"/>
                <w:bCs/>
                <w:color w:val="auto"/>
                <w:kern w:val="0"/>
                <w:sz w:val="21"/>
                <w:szCs w:val="21"/>
                <w:highlight w:val="none"/>
                <w:lang w:val="en-US" w:eastAsia="zh-CN"/>
              </w:rPr>
              <w:t>2</w:t>
            </w:r>
            <w:r>
              <w:rPr>
                <w:rFonts w:hint="eastAsia" w:ascii="宋体" w:hAnsi="宋体" w:eastAsia="宋体" w:cs="宋体"/>
                <w:bCs/>
                <w:color w:val="auto"/>
                <w:kern w:val="0"/>
                <w:sz w:val="21"/>
                <w:szCs w:val="21"/>
                <w:highlight w:val="none"/>
              </w:rPr>
              <w:t xml:space="preserve">分，满分 </w:t>
            </w:r>
            <w:r>
              <w:rPr>
                <w:rFonts w:hint="eastAsia" w:ascii="宋体" w:hAnsi="宋体" w:eastAsia="宋体" w:cs="宋体"/>
                <w:bCs/>
                <w:color w:val="auto"/>
                <w:kern w:val="0"/>
                <w:sz w:val="21"/>
                <w:szCs w:val="21"/>
                <w:highlight w:val="none"/>
                <w:lang w:val="en-US" w:eastAsia="zh-CN"/>
              </w:rPr>
              <w:t>12</w:t>
            </w:r>
            <w:r>
              <w:rPr>
                <w:rFonts w:hint="eastAsia" w:ascii="宋体" w:hAnsi="宋体" w:eastAsia="宋体" w:cs="宋体"/>
                <w:bCs/>
                <w:color w:val="auto"/>
                <w:kern w:val="0"/>
                <w:sz w:val="21"/>
                <w:szCs w:val="21"/>
                <w:highlight w:val="none"/>
              </w:rPr>
              <w:t>分。</w:t>
            </w:r>
          </w:p>
          <w:p w14:paraId="5C982F03">
            <w:pPr>
              <w:keepNext w:val="0"/>
              <w:keepLines w:val="0"/>
              <w:pageBreakBefore w:val="0"/>
              <w:kinsoku/>
              <w:wordWrap/>
              <w:overflowPunct/>
              <w:topLinePunct w:val="0"/>
              <w:autoSpaceDE/>
              <w:autoSpaceDN/>
              <w:bidi w:val="0"/>
              <w:adjustRightInd/>
              <w:spacing w:line="360" w:lineRule="exact"/>
              <w:ind w:firstLine="422" w:firstLineChars="200"/>
              <w:textAlignment w:val="auto"/>
              <w:rPr>
                <w:rFonts w:hint="eastAsia" w:ascii="宋体" w:hAnsi="宋体" w:eastAsia="宋体" w:cs="宋体"/>
                <w:bCs/>
                <w:color w:val="auto"/>
                <w:kern w:val="0"/>
                <w:sz w:val="21"/>
                <w:szCs w:val="21"/>
                <w:highlight w:val="none"/>
              </w:rPr>
            </w:pPr>
            <w:r>
              <w:rPr>
                <w:rFonts w:hint="eastAsia" w:ascii="宋体" w:hAnsi="宋体" w:eastAsia="宋体" w:cs="宋体"/>
                <w:b/>
                <w:bCs w:val="0"/>
                <w:color w:val="auto"/>
                <w:kern w:val="0"/>
                <w:sz w:val="21"/>
                <w:szCs w:val="21"/>
                <w:highlight w:val="none"/>
                <w:lang w:val="en-US" w:eastAsia="zh-CN"/>
              </w:rPr>
              <w:t>备注：以中标（成交）通知书或签订的项目合同为准，并能清晰反映项目的名称、服务内容，否则将不予评审，同一个编号的项目有两个或两个以上的分标中标的只算一次</w:t>
            </w:r>
            <w:r>
              <w:rPr>
                <w:rFonts w:hint="eastAsia" w:ascii="宋体" w:hAnsi="宋体" w:eastAsia="宋体" w:cs="宋体"/>
                <w:b/>
                <w:bCs w:val="0"/>
                <w:color w:val="auto"/>
                <w:kern w:val="0"/>
                <w:sz w:val="21"/>
                <w:szCs w:val="21"/>
                <w:highlight w:val="none"/>
              </w:rPr>
              <w:t>。</w:t>
            </w:r>
          </w:p>
        </w:tc>
        <w:tc>
          <w:tcPr>
            <w:tcW w:w="1389" w:type="dxa"/>
            <w:noWrap w:val="0"/>
            <w:vAlign w:val="center"/>
          </w:tcPr>
          <w:p w14:paraId="58FD0CC4">
            <w:pPr>
              <w:keepNext w:val="0"/>
              <w:keepLines w:val="0"/>
              <w:pageBreakBefore w:val="0"/>
              <w:widowControl/>
              <w:kinsoku/>
              <w:wordWrap/>
              <w:overflowPunct/>
              <w:topLinePunct w:val="0"/>
              <w:autoSpaceDE/>
              <w:autoSpaceDN/>
              <w:bidi w:val="0"/>
              <w:adjustRightInd/>
              <w:spacing w:line="360" w:lineRule="exact"/>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12分</w:t>
            </w:r>
          </w:p>
        </w:tc>
      </w:tr>
      <w:tr w14:paraId="679379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697" w:type="dxa"/>
            <w:gridSpan w:val="3"/>
            <w:noWrap w:val="0"/>
            <w:vAlign w:val="top"/>
          </w:tcPr>
          <w:p w14:paraId="1728C9AE">
            <w:pPr>
              <w:pStyle w:val="18"/>
              <w:keepNext w:val="0"/>
              <w:keepLines w:val="0"/>
              <w:pageBreakBefore w:val="0"/>
              <w:kinsoku/>
              <w:wordWrap/>
              <w:overflowPunct/>
              <w:topLinePunct w:val="0"/>
              <w:autoSpaceDE/>
              <w:autoSpaceDN/>
              <w:bidi w:val="0"/>
              <w:spacing w:line="360" w:lineRule="exact"/>
              <w:rPr>
                <w:rFonts w:hint="eastAsia" w:ascii="宋体" w:hAnsi="宋体" w:eastAsia="宋体" w:cs="宋体"/>
                <w:bCs/>
                <w:color w:val="auto"/>
                <w:kern w:val="2"/>
                <w:sz w:val="21"/>
                <w:szCs w:val="21"/>
                <w:highlight w:val="none"/>
                <w:lang w:val="en-US" w:eastAsia="zh-CN"/>
              </w:rPr>
            </w:pPr>
            <w:r>
              <w:rPr>
                <w:rFonts w:hint="eastAsia" w:ascii="宋体" w:hAnsi="宋体" w:eastAsia="宋体" w:cs="宋体"/>
                <w:bCs/>
                <w:color w:val="auto"/>
                <w:kern w:val="2"/>
                <w:sz w:val="21"/>
                <w:szCs w:val="21"/>
                <w:highlight w:val="none"/>
              </w:rPr>
              <w:t>总得分＝1＋2＋3</w:t>
            </w:r>
          </w:p>
        </w:tc>
        <w:tc>
          <w:tcPr>
            <w:tcW w:w="1389" w:type="dxa"/>
            <w:noWrap w:val="0"/>
            <w:vAlign w:val="center"/>
          </w:tcPr>
          <w:p w14:paraId="49696AC0">
            <w:pPr>
              <w:keepNext w:val="0"/>
              <w:keepLines w:val="0"/>
              <w:pageBreakBefore w:val="0"/>
              <w:widowControl/>
              <w:kinsoku/>
              <w:wordWrap/>
              <w:overflowPunct/>
              <w:topLinePunct w:val="0"/>
              <w:autoSpaceDE/>
              <w:autoSpaceDN/>
              <w:bidi w:val="0"/>
              <w:spacing w:line="360" w:lineRule="exact"/>
              <w:jc w:val="center"/>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100分</w:t>
            </w:r>
          </w:p>
        </w:tc>
      </w:tr>
    </w:tbl>
    <w:p w14:paraId="3374ABFF">
      <w:pPr>
        <w:rPr>
          <w:rFonts w:hint="eastAsia" w:ascii="宋体" w:hAnsi="宋体" w:eastAsia="宋体" w:cs="宋体"/>
          <w:bCs/>
          <w:color w:val="auto"/>
          <w:highlight w:val="none"/>
          <w:u w:val="single"/>
          <w:lang w:val="en-US" w:eastAsia="zh-CN"/>
        </w:rPr>
      </w:pPr>
    </w:p>
    <w:bookmarkEnd w:id="20"/>
    <w:p w14:paraId="1B16C22D">
      <w:pPr>
        <w:rPr>
          <w:rFonts w:hint="eastAsia" w:ascii="宋体" w:hAnsi="宋体" w:eastAsia="宋体" w:cs="宋体"/>
          <w:color w:val="auto"/>
          <w:highlight w:val="none"/>
        </w:rPr>
      </w:pPr>
      <w:bookmarkStart w:id="21" w:name="_Toc4895"/>
    </w:p>
    <w:p w14:paraId="7746F3E6">
      <w:pPr>
        <w:pStyle w:val="3"/>
        <w:jc w:val="center"/>
        <w:rPr>
          <w:rFonts w:hint="eastAsia" w:ascii="宋体" w:hAnsi="宋体" w:eastAsia="宋体" w:cs="宋体"/>
          <w:b w:val="0"/>
          <w:color w:val="auto"/>
          <w:sz w:val="30"/>
          <w:szCs w:val="30"/>
          <w:highlight w:val="none"/>
        </w:rPr>
      </w:pPr>
      <w:r>
        <w:rPr>
          <w:rFonts w:hint="eastAsia" w:ascii="宋体" w:hAnsi="宋体" w:eastAsia="宋体" w:cs="宋体"/>
          <w:b w:val="0"/>
          <w:color w:val="auto"/>
          <w:sz w:val="30"/>
          <w:szCs w:val="30"/>
          <w:highlight w:val="none"/>
        </w:rPr>
        <w:t>第四节中标候选人推荐原则</w:t>
      </w:r>
      <w:bookmarkEnd w:id="21"/>
    </w:p>
    <w:p w14:paraId="3906B621">
      <w:pPr>
        <w:pStyle w:val="18"/>
        <w:numPr>
          <w:ilvl w:val="0"/>
          <w:numId w:val="5"/>
        </w:numPr>
        <w:spacing w:line="360" w:lineRule="auto"/>
        <w:contextualSpacing/>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综合评分法</w:t>
      </w:r>
    </w:p>
    <w:p w14:paraId="71935C0E">
      <w:pPr>
        <w:pStyle w:val="18"/>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评标委员会将根据总得分由高到低排列次序并推荐中标候选人。总得分相同的，以投标报价由低到高顺序排列。得分相同且投标报价相同的并列，投标文件满足招标文件全部实质性要求，且按照评审因素的量化指标评审得分最高的投标人为排名第一的中标候选人。</w:t>
      </w:r>
    </w:p>
    <w:p w14:paraId="687F7505">
      <w:pPr>
        <w:pStyle w:val="18"/>
        <w:spacing w:line="360" w:lineRule="auto"/>
        <w:ind w:firstLine="482" w:firstLineChars="200"/>
        <w:rPr>
          <w:rFonts w:hint="eastAsia" w:ascii="宋体" w:hAnsi="宋体" w:eastAsia="宋体" w:cs="宋体"/>
          <w:color w:val="auto"/>
          <w:highlight w:val="none"/>
        </w:rPr>
      </w:pPr>
      <w:r>
        <w:rPr>
          <w:rFonts w:hint="eastAsia" w:ascii="宋体" w:hAnsi="宋体" w:eastAsia="宋体" w:cs="宋体"/>
          <w:b/>
          <w:bCs/>
          <w:color w:val="auto"/>
          <w:sz w:val="24"/>
          <w:szCs w:val="24"/>
          <w:highlight w:val="none"/>
        </w:rPr>
        <w:t>（二）最低评标报价法</w:t>
      </w:r>
    </w:p>
    <w:p w14:paraId="26DE24D1">
      <w:pPr>
        <w:pStyle w:val="18"/>
        <w:tabs>
          <w:tab w:val="left" w:pos="2472"/>
        </w:tabs>
        <w:spacing w:line="480" w:lineRule="exact"/>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评标委员会将按照有效报价从低到高排序并推荐中标候选人。投标报价相同的并列，投标文件满足招标文件全部实质性要求且投标报价最低的投标人为排名第一的中标候选人；评标价相同且前述指标均相同时，由评标委员会各成员对评标价相同的供应商，当场投票表决，得票多者优先，并依照次序确定1家中标供应商。</w:t>
      </w:r>
    </w:p>
    <w:p w14:paraId="1842E8F3">
      <w:pPr>
        <w:pStyle w:val="3"/>
        <w:spacing w:before="0" w:after="0" w:line="360" w:lineRule="auto"/>
        <w:ind w:firstLine="600" w:firstLineChars="200"/>
        <w:jc w:val="center"/>
        <w:rPr>
          <w:rFonts w:hint="eastAsia" w:ascii="宋体" w:hAnsi="宋体" w:eastAsia="宋体" w:cs="宋体"/>
          <w:b w:val="0"/>
          <w:color w:val="auto"/>
          <w:sz w:val="30"/>
          <w:szCs w:val="30"/>
          <w:highlight w:val="none"/>
        </w:rPr>
      </w:pPr>
      <w:bookmarkStart w:id="22" w:name="_Toc11638"/>
      <w:r>
        <w:rPr>
          <w:rFonts w:hint="eastAsia" w:ascii="宋体" w:hAnsi="宋体" w:eastAsia="宋体" w:cs="宋体"/>
          <w:b w:val="0"/>
          <w:color w:val="auto"/>
          <w:sz w:val="30"/>
          <w:szCs w:val="30"/>
          <w:highlight w:val="none"/>
        </w:rPr>
        <w:t>第五节评标报告</w:t>
      </w:r>
      <w:bookmarkEnd w:id="22"/>
    </w:p>
    <w:p w14:paraId="05068C0D">
      <w:pPr>
        <w:pStyle w:val="73"/>
        <w:spacing w:before="0"/>
        <w:ind w:firstLine="482"/>
        <w:rPr>
          <w:rFonts w:hint="eastAsia" w:ascii="宋体" w:hAnsi="宋体" w:eastAsia="宋体" w:cs="宋体"/>
          <w:b/>
          <w:bCs/>
          <w:color w:val="auto"/>
          <w:szCs w:val="24"/>
          <w:highlight w:val="none"/>
        </w:rPr>
      </w:pPr>
      <w:r>
        <w:rPr>
          <w:rFonts w:hint="eastAsia" w:ascii="宋体" w:hAnsi="宋体" w:eastAsia="宋体" w:cs="宋体"/>
          <w:b/>
          <w:bCs/>
          <w:color w:val="auto"/>
          <w:szCs w:val="24"/>
          <w:highlight w:val="none"/>
        </w:rPr>
        <w:t>（一）评标报告与推荐中标候选人</w:t>
      </w:r>
    </w:p>
    <w:p w14:paraId="13DDFEA4">
      <w:pPr>
        <w:pStyle w:val="18"/>
        <w:tabs>
          <w:tab w:val="left" w:pos="2472"/>
        </w:tabs>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评标委员会根据原始评标记录和评标结果编写评标报告，并通过电子交易平台向采购人、采购代理机构提交。</w:t>
      </w:r>
    </w:p>
    <w:p w14:paraId="17943748">
      <w:pPr>
        <w:widowControl/>
        <w:spacing w:line="360" w:lineRule="auto"/>
        <w:ind w:firstLine="482" w:firstLineChars="200"/>
        <w:jc w:val="left"/>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（二）评标争议事项处理</w:t>
      </w:r>
    </w:p>
    <w:p w14:paraId="42044F23">
      <w:pPr>
        <w:pStyle w:val="18"/>
        <w:tabs>
          <w:tab w:val="left" w:pos="2472"/>
        </w:tabs>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评标委员会成员对需要共同认定的事项存在争议的，应当按照少数服从多数的原则作出结论。持不同意见的评标委员会成员应当在评标报告上签署不同意见及理由，否则视为同意评标报告。</w:t>
      </w:r>
    </w:p>
    <w:p w14:paraId="3F7B65DE">
      <w:pPr>
        <w:widowControl/>
        <w:jc w:val="left"/>
        <w:rPr>
          <w:rFonts w:hint="eastAsia" w:ascii="宋体" w:hAnsi="宋体" w:eastAsia="宋体" w:cs="宋体"/>
          <w:b/>
          <w:color w:val="auto"/>
          <w:sz w:val="36"/>
          <w:szCs w:val="20"/>
          <w:highlight w:val="none"/>
        </w:rPr>
        <w:sectPr>
          <w:pgSz w:w="11906" w:h="16838"/>
          <w:pgMar w:top="1134" w:right="1134" w:bottom="1134" w:left="1134" w:header="720" w:footer="720" w:gutter="0"/>
          <w:cols w:space="720" w:num="1"/>
          <w:docGrid w:type="lines" w:linePitch="331" w:charSpace="0"/>
        </w:sectPr>
      </w:pPr>
    </w:p>
    <w:p w14:paraId="3A98ABCF">
      <w:pPr>
        <w:pStyle w:val="18"/>
        <w:tabs>
          <w:tab w:val="left" w:pos="2472"/>
        </w:tabs>
        <w:spacing w:line="460" w:lineRule="exact"/>
        <w:jc w:val="center"/>
        <w:rPr>
          <w:rFonts w:hint="eastAsia" w:ascii="宋体" w:hAnsi="宋体" w:eastAsia="宋体" w:cs="宋体"/>
          <w:b/>
          <w:color w:val="auto"/>
          <w:sz w:val="36"/>
          <w:highlight w:val="none"/>
        </w:rPr>
      </w:pPr>
    </w:p>
    <w:p w14:paraId="59ADF1EC">
      <w:pPr>
        <w:pStyle w:val="18"/>
        <w:tabs>
          <w:tab w:val="left" w:pos="2472"/>
        </w:tabs>
        <w:spacing w:line="460" w:lineRule="exact"/>
        <w:jc w:val="center"/>
        <w:rPr>
          <w:rFonts w:hint="eastAsia" w:ascii="宋体" w:hAnsi="宋体" w:eastAsia="宋体" w:cs="宋体"/>
          <w:b/>
          <w:color w:val="auto"/>
          <w:sz w:val="36"/>
          <w:highlight w:val="none"/>
        </w:rPr>
      </w:pPr>
    </w:p>
    <w:p w14:paraId="1414A8CA">
      <w:pPr>
        <w:rPr>
          <w:rFonts w:hint="eastAsia" w:ascii="宋体" w:hAnsi="宋体" w:eastAsia="宋体" w:cs="宋体"/>
          <w:color w:val="auto"/>
          <w:highlight w:val="none"/>
        </w:rPr>
      </w:pPr>
    </w:p>
    <w:p w14:paraId="783CC24E">
      <w:pPr>
        <w:pStyle w:val="18"/>
        <w:tabs>
          <w:tab w:val="left" w:pos="2472"/>
        </w:tabs>
        <w:spacing w:line="460" w:lineRule="exact"/>
        <w:jc w:val="center"/>
        <w:rPr>
          <w:rFonts w:hint="eastAsia" w:ascii="宋体" w:hAnsi="宋体" w:eastAsia="宋体" w:cs="宋体"/>
          <w:b/>
          <w:color w:val="auto"/>
          <w:sz w:val="36"/>
          <w:highlight w:val="none"/>
        </w:rPr>
      </w:pPr>
    </w:p>
    <w:p w14:paraId="01BBB093">
      <w:pPr>
        <w:pStyle w:val="18"/>
        <w:tabs>
          <w:tab w:val="left" w:pos="2472"/>
        </w:tabs>
        <w:spacing w:line="460" w:lineRule="exact"/>
        <w:jc w:val="center"/>
        <w:rPr>
          <w:rFonts w:hint="eastAsia" w:ascii="宋体" w:hAnsi="宋体" w:eastAsia="宋体" w:cs="宋体"/>
          <w:b/>
          <w:color w:val="auto"/>
          <w:sz w:val="36"/>
          <w:highlight w:val="none"/>
        </w:rPr>
      </w:pPr>
    </w:p>
    <w:p w14:paraId="621645D6">
      <w:pPr>
        <w:pStyle w:val="18"/>
        <w:tabs>
          <w:tab w:val="left" w:pos="2472"/>
        </w:tabs>
        <w:spacing w:line="460" w:lineRule="exact"/>
        <w:jc w:val="center"/>
        <w:rPr>
          <w:rFonts w:hint="eastAsia" w:ascii="宋体" w:hAnsi="宋体" w:eastAsia="宋体" w:cs="宋体"/>
          <w:b/>
          <w:color w:val="auto"/>
          <w:sz w:val="36"/>
          <w:highlight w:val="none"/>
        </w:rPr>
      </w:pPr>
    </w:p>
    <w:p w14:paraId="0115EE57">
      <w:pPr>
        <w:pStyle w:val="18"/>
        <w:tabs>
          <w:tab w:val="left" w:pos="2472"/>
        </w:tabs>
        <w:spacing w:line="460" w:lineRule="exact"/>
        <w:jc w:val="center"/>
        <w:rPr>
          <w:rFonts w:hint="eastAsia" w:ascii="宋体" w:hAnsi="宋体" w:eastAsia="宋体" w:cs="宋体"/>
          <w:b/>
          <w:color w:val="auto"/>
          <w:sz w:val="36"/>
          <w:highlight w:val="none"/>
        </w:rPr>
      </w:pPr>
    </w:p>
    <w:p w14:paraId="01F6B5EE">
      <w:pPr>
        <w:pStyle w:val="18"/>
        <w:tabs>
          <w:tab w:val="left" w:pos="2472"/>
        </w:tabs>
        <w:spacing w:line="460" w:lineRule="exact"/>
        <w:jc w:val="center"/>
        <w:rPr>
          <w:rFonts w:hint="eastAsia" w:ascii="宋体" w:hAnsi="宋体" w:eastAsia="宋体" w:cs="宋体"/>
          <w:b/>
          <w:color w:val="auto"/>
          <w:sz w:val="36"/>
          <w:highlight w:val="none"/>
        </w:rPr>
      </w:pPr>
    </w:p>
    <w:p w14:paraId="63FD281D">
      <w:pPr>
        <w:pStyle w:val="18"/>
        <w:tabs>
          <w:tab w:val="left" w:pos="2472"/>
        </w:tabs>
        <w:spacing w:line="460" w:lineRule="exact"/>
        <w:jc w:val="center"/>
        <w:rPr>
          <w:rFonts w:hint="eastAsia" w:ascii="宋体" w:hAnsi="宋体" w:eastAsia="宋体" w:cs="宋体"/>
          <w:b/>
          <w:color w:val="auto"/>
          <w:sz w:val="36"/>
          <w:highlight w:val="none"/>
        </w:rPr>
      </w:pPr>
    </w:p>
    <w:p w14:paraId="2A5E966B">
      <w:pPr>
        <w:pStyle w:val="18"/>
        <w:tabs>
          <w:tab w:val="left" w:pos="2472"/>
        </w:tabs>
        <w:spacing w:line="460" w:lineRule="exact"/>
        <w:jc w:val="center"/>
        <w:rPr>
          <w:rFonts w:hint="eastAsia" w:ascii="宋体" w:hAnsi="宋体" w:eastAsia="宋体" w:cs="宋体"/>
          <w:b/>
          <w:color w:val="auto"/>
          <w:sz w:val="36"/>
          <w:highlight w:val="none"/>
        </w:rPr>
      </w:pPr>
    </w:p>
    <w:p w14:paraId="3C3C453D">
      <w:pPr>
        <w:pStyle w:val="18"/>
        <w:tabs>
          <w:tab w:val="left" w:pos="2472"/>
        </w:tabs>
        <w:spacing w:line="460" w:lineRule="exact"/>
        <w:jc w:val="center"/>
        <w:rPr>
          <w:rFonts w:hint="eastAsia" w:ascii="宋体" w:hAnsi="宋体" w:eastAsia="宋体" w:cs="宋体"/>
          <w:b/>
          <w:color w:val="auto"/>
          <w:sz w:val="36"/>
          <w:highlight w:val="none"/>
        </w:rPr>
      </w:pPr>
    </w:p>
    <w:p w14:paraId="54C970FF">
      <w:pPr>
        <w:pStyle w:val="18"/>
        <w:tabs>
          <w:tab w:val="left" w:pos="2472"/>
        </w:tabs>
        <w:spacing w:line="460" w:lineRule="exact"/>
        <w:jc w:val="center"/>
        <w:outlineLvl w:val="0"/>
        <w:rPr>
          <w:rFonts w:hint="eastAsia" w:ascii="宋体" w:hAnsi="宋体" w:eastAsia="宋体" w:cs="宋体"/>
          <w:b/>
          <w:color w:val="auto"/>
          <w:sz w:val="36"/>
          <w:highlight w:val="none"/>
        </w:rPr>
      </w:pPr>
      <w:bookmarkStart w:id="23" w:name="_Toc28121"/>
      <w:r>
        <w:rPr>
          <w:rFonts w:hint="eastAsia" w:ascii="宋体" w:hAnsi="宋体" w:eastAsia="宋体" w:cs="宋体"/>
          <w:b/>
          <w:color w:val="auto"/>
          <w:sz w:val="36"/>
          <w:highlight w:val="none"/>
        </w:rPr>
        <w:t>第五章</w:t>
      </w:r>
      <w:r>
        <w:rPr>
          <w:rFonts w:hint="eastAsia" w:ascii="宋体" w:hAnsi="宋体" w:eastAsia="宋体" w:cs="宋体"/>
          <w:b/>
          <w:color w:val="auto"/>
          <w:sz w:val="36"/>
          <w:highlight w:val="none"/>
          <w:lang w:val="en-US" w:eastAsia="zh-CN"/>
        </w:rPr>
        <w:t xml:space="preserve"> </w:t>
      </w:r>
      <w:r>
        <w:rPr>
          <w:rFonts w:hint="eastAsia" w:ascii="宋体" w:hAnsi="宋体" w:eastAsia="宋体" w:cs="宋体"/>
          <w:b/>
          <w:color w:val="auto"/>
          <w:sz w:val="36"/>
          <w:highlight w:val="none"/>
        </w:rPr>
        <w:t>拟签订的合同文本</w:t>
      </w:r>
      <w:bookmarkEnd w:id="23"/>
    </w:p>
    <w:p w14:paraId="1252CBC2">
      <w:pPr>
        <w:widowControl/>
        <w:jc w:val="left"/>
        <w:rPr>
          <w:rFonts w:hint="eastAsia" w:ascii="宋体" w:hAnsi="宋体" w:eastAsia="宋体" w:cs="宋体"/>
          <w:bCs/>
          <w:color w:val="auto"/>
          <w:szCs w:val="20"/>
          <w:highlight w:val="none"/>
        </w:rPr>
        <w:sectPr>
          <w:pgSz w:w="11906" w:h="16838"/>
          <w:pgMar w:top="1134" w:right="1134" w:bottom="1134" w:left="1134" w:header="720" w:footer="720" w:gutter="0"/>
          <w:cols w:space="720" w:num="1"/>
          <w:docGrid w:type="lines" w:linePitch="331" w:charSpace="0"/>
        </w:sectPr>
      </w:pPr>
    </w:p>
    <w:p w14:paraId="41FAF966">
      <w:pPr>
        <w:spacing w:line="360" w:lineRule="auto"/>
        <w:rPr>
          <w:rFonts w:hint="eastAsia" w:ascii="宋体" w:hAnsi="宋体" w:eastAsia="宋体" w:cs="宋体"/>
          <w:color w:val="auto"/>
          <w:sz w:val="24"/>
          <w:highlight w:val="none"/>
        </w:rPr>
      </w:pPr>
    </w:p>
    <w:p w14:paraId="3D1DC037">
      <w:pPr>
        <w:spacing w:line="360" w:lineRule="auto"/>
        <w:rPr>
          <w:rFonts w:hint="eastAsia" w:ascii="宋体" w:hAnsi="宋体" w:eastAsia="宋体" w:cs="宋体"/>
          <w:color w:val="auto"/>
          <w:sz w:val="24"/>
          <w:highlight w:val="none"/>
          <w:u w:val="single"/>
          <w:lang w:eastAsia="zh-CN"/>
        </w:rPr>
      </w:pPr>
      <w:r>
        <w:rPr>
          <w:rFonts w:hint="eastAsia" w:ascii="宋体" w:hAnsi="宋体" w:eastAsia="宋体" w:cs="宋体"/>
          <w:color w:val="auto"/>
          <w:sz w:val="24"/>
          <w:highlight w:val="none"/>
        </w:rPr>
        <w:t>“广西政府采购云平台”平台合同编号：</w:t>
      </w:r>
    </w:p>
    <w:p w14:paraId="2CEFB668">
      <w:pPr>
        <w:spacing w:line="360" w:lineRule="auto"/>
        <w:jc w:val="center"/>
        <w:rPr>
          <w:rFonts w:hint="eastAsia" w:ascii="宋体" w:hAnsi="宋体" w:eastAsia="宋体" w:cs="宋体"/>
          <w:b/>
          <w:bCs/>
          <w:color w:val="auto"/>
          <w:sz w:val="52"/>
          <w:highlight w:val="none"/>
        </w:rPr>
      </w:pPr>
    </w:p>
    <w:p w14:paraId="0ED3CFC6">
      <w:pPr>
        <w:spacing w:line="360" w:lineRule="auto"/>
        <w:jc w:val="center"/>
        <w:rPr>
          <w:rFonts w:hint="eastAsia" w:ascii="宋体" w:hAnsi="宋体" w:eastAsia="宋体" w:cs="宋体"/>
          <w:b/>
          <w:bCs/>
          <w:color w:val="auto"/>
          <w:sz w:val="52"/>
          <w:highlight w:val="none"/>
        </w:rPr>
      </w:pPr>
    </w:p>
    <w:p w14:paraId="45B99FA4">
      <w:pPr>
        <w:spacing w:line="360" w:lineRule="auto"/>
        <w:jc w:val="center"/>
        <w:rPr>
          <w:rFonts w:hint="eastAsia" w:ascii="宋体" w:hAnsi="宋体" w:eastAsia="宋体" w:cs="宋体"/>
          <w:b/>
          <w:bCs/>
          <w:color w:val="auto"/>
          <w:sz w:val="52"/>
          <w:highlight w:val="none"/>
        </w:rPr>
      </w:pPr>
      <w:r>
        <w:rPr>
          <w:rFonts w:hint="eastAsia" w:ascii="宋体" w:hAnsi="宋体" w:eastAsia="宋体" w:cs="宋体"/>
          <w:b/>
          <w:bCs/>
          <w:color w:val="auto"/>
          <w:sz w:val="52"/>
          <w:highlight w:val="none"/>
        </w:rPr>
        <w:t>南宁市</w:t>
      </w:r>
      <w:r>
        <w:rPr>
          <w:rFonts w:hint="eastAsia" w:ascii="宋体" w:hAnsi="宋体" w:cs="宋体"/>
          <w:b/>
          <w:bCs/>
          <w:color w:val="auto"/>
          <w:sz w:val="52"/>
          <w:highlight w:val="none"/>
          <w:lang w:val="en-US" w:eastAsia="zh-CN"/>
        </w:rPr>
        <w:t>横州市</w:t>
      </w:r>
      <w:r>
        <w:rPr>
          <w:rFonts w:hint="eastAsia" w:ascii="宋体" w:hAnsi="宋体" w:eastAsia="宋体" w:cs="宋体"/>
          <w:b/>
          <w:bCs/>
          <w:color w:val="auto"/>
          <w:sz w:val="52"/>
          <w:highlight w:val="none"/>
        </w:rPr>
        <w:t>政府采购</w:t>
      </w:r>
    </w:p>
    <w:p w14:paraId="3EEA8C39">
      <w:pPr>
        <w:spacing w:line="360" w:lineRule="auto"/>
        <w:ind w:firstLine="420" w:firstLineChars="200"/>
        <w:rPr>
          <w:rFonts w:hint="eastAsia" w:ascii="宋体" w:hAnsi="宋体" w:eastAsia="宋体" w:cs="宋体"/>
          <w:color w:val="auto"/>
          <w:highlight w:val="none"/>
        </w:rPr>
      </w:pPr>
    </w:p>
    <w:p w14:paraId="5D3EA2FB">
      <w:pPr>
        <w:spacing w:line="360" w:lineRule="auto"/>
        <w:ind w:firstLine="420" w:firstLineChars="200"/>
        <w:rPr>
          <w:rFonts w:hint="eastAsia" w:ascii="宋体" w:hAnsi="宋体" w:eastAsia="宋体" w:cs="宋体"/>
          <w:color w:val="auto"/>
          <w:highlight w:val="none"/>
          <w:lang w:eastAsia="zh-CN"/>
        </w:rPr>
      </w:pPr>
    </w:p>
    <w:p w14:paraId="5BDBE59F">
      <w:pPr>
        <w:spacing w:line="360" w:lineRule="auto"/>
        <w:jc w:val="center"/>
        <w:rPr>
          <w:rFonts w:hint="eastAsia" w:ascii="宋体" w:hAnsi="宋体" w:eastAsia="宋体" w:cs="宋体"/>
          <w:b/>
          <w:bCs/>
          <w:color w:val="auto"/>
          <w:sz w:val="44"/>
          <w:highlight w:val="none"/>
        </w:rPr>
      </w:pPr>
      <w:r>
        <w:rPr>
          <w:rFonts w:hint="eastAsia" w:ascii="宋体" w:hAnsi="宋体" w:eastAsia="宋体" w:cs="宋体"/>
          <w:b/>
          <w:bCs/>
          <w:color w:val="auto"/>
          <w:sz w:val="44"/>
          <w:highlight w:val="none"/>
        </w:rPr>
        <w:t>合同</w:t>
      </w:r>
    </w:p>
    <w:p w14:paraId="1A7D724F">
      <w:pPr>
        <w:spacing w:line="360" w:lineRule="auto"/>
        <w:jc w:val="center"/>
        <w:rPr>
          <w:rFonts w:hint="eastAsia" w:ascii="宋体" w:hAnsi="宋体" w:eastAsia="宋体" w:cs="宋体"/>
          <w:b/>
          <w:bCs/>
          <w:color w:val="auto"/>
          <w:sz w:val="44"/>
          <w:highlight w:val="none"/>
        </w:rPr>
      </w:pPr>
    </w:p>
    <w:p w14:paraId="1F98D8F0">
      <w:pPr>
        <w:spacing w:line="360" w:lineRule="auto"/>
        <w:rPr>
          <w:rFonts w:hint="eastAsia" w:ascii="宋体" w:hAnsi="宋体" w:eastAsia="宋体" w:cs="宋体"/>
          <w:b/>
          <w:bCs/>
          <w:color w:val="auto"/>
          <w:sz w:val="44"/>
          <w:highlight w:val="none"/>
        </w:rPr>
      </w:pPr>
    </w:p>
    <w:p w14:paraId="16B5D934">
      <w:pPr>
        <w:spacing w:line="360" w:lineRule="auto"/>
        <w:ind w:firstLine="3507" w:firstLineChars="794"/>
        <w:rPr>
          <w:rFonts w:hint="eastAsia" w:ascii="宋体" w:hAnsi="宋体" w:eastAsia="宋体" w:cs="宋体"/>
          <w:b/>
          <w:bCs/>
          <w:color w:val="auto"/>
          <w:sz w:val="44"/>
          <w:highlight w:val="none"/>
        </w:rPr>
      </w:pPr>
    </w:p>
    <w:p w14:paraId="1123E244">
      <w:pPr>
        <w:ind w:firstLine="1995" w:firstLineChars="552"/>
        <w:rPr>
          <w:rFonts w:hint="eastAsia" w:ascii="宋体" w:hAnsi="宋体" w:eastAsia="宋体" w:cs="宋体"/>
          <w:b/>
          <w:color w:val="auto"/>
          <w:sz w:val="36"/>
          <w:szCs w:val="36"/>
          <w:highlight w:val="none"/>
          <w:lang w:val="en-US"/>
        </w:rPr>
      </w:pPr>
      <w:r>
        <w:rPr>
          <w:rFonts w:hint="eastAsia" w:ascii="宋体" w:hAnsi="宋体" w:eastAsia="宋体" w:cs="宋体"/>
          <w:b/>
          <w:color w:val="auto"/>
          <w:sz w:val="36"/>
          <w:szCs w:val="36"/>
          <w:highlight w:val="none"/>
        </w:rPr>
        <w:t>项目编号：</w:t>
      </w:r>
    </w:p>
    <w:p w14:paraId="1DBBA6F7">
      <w:pPr>
        <w:ind w:firstLine="1995" w:firstLineChars="552"/>
        <w:rPr>
          <w:rFonts w:hint="eastAsia" w:ascii="宋体" w:hAnsi="宋体" w:eastAsia="宋体" w:cs="宋体"/>
          <w:b/>
          <w:color w:val="auto"/>
          <w:sz w:val="36"/>
          <w:szCs w:val="36"/>
          <w:highlight w:val="none"/>
          <w:lang w:val="en-US" w:eastAsia="zh-CN"/>
        </w:rPr>
      </w:pPr>
      <w:r>
        <w:rPr>
          <w:rFonts w:hint="eastAsia" w:ascii="宋体" w:hAnsi="宋体" w:eastAsia="宋体" w:cs="宋体"/>
          <w:b/>
          <w:color w:val="auto"/>
          <w:sz w:val="36"/>
          <w:szCs w:val="36"/>
          <w:highlight w:val="none"/>
        </w:rPr>
        <w:t>计划编号：</w:t>
      </w:r>
    </w:p>
    <w:p w14:paraId="23C51B46">
      <w:pPr>
        <w:ind w:firstLine="1970" w:firstLineChars="545"/>
        <w:rPr>
          <w:rFonts w:hint="eastAsia" w:ascii="宋体" w:hAnsi="宋体" w:eastAsia="宋体" w:cs="宋体"/>
          <w:b/>
          <w:color w:val="auto"/>
          <w:sz w:val="36"/>
          <w:szCs w:val="36"/>
          <w:highlight w:val="none"/>
          <w:u w:val="single"/>
        </w:rPr>
      </w:pPr>
    </w:p>
    <w:p w14:paraId="0C6DC1DB">
      <w:pPr>
        <w:tabs>
          <w:tab w:val="left" w:pos="7200"/>
        </w:tabs>
        <w:spacing w:line="360" w:lineRule="auto"/>
        <w:ind w:firstLine="1995" w:firstLineChars="552"/>
        <w:rPr>
          <w:rFonts w:hint="eastAsia" w:ascii="宋体" w:hAnsi="宋体" w:eastAsia="宋体" w:cs="宋体"/>
          <w:b/>
          <w:color w:val="auto"/>
          <w:sz w:val="36"/>
          <w:szCs w:val="36"/>
          <w:highlight w:val="none"/>
          <w:u w:val="single"/>
          <w:lang w:eastAsia="zh-CN"/>
        </w:rPr>
      </w:pPr>
      <w:r>
        <w:rPr>
          <w:rFonts w:hint="eastAsia" w:ascii="宋体" w:hAnsi="宋体" w:eastAsia="宋体" w:cs="宋体"/>
          <w:b/>
          <w:color w:val="auto"/>
          <w:sz w:val="36"/>
          <w:szCs w:val="36"/>
          <w:highlight w:val="none"/>
        </w:rPr>
        <w:t>采购人：</w:t>
      </w:r>
      <w:r>
        <w:rPr>
          <w:rFonts w:hint="eastAsia" w:ascii="宋体" w:hAnsi="宋体" w:eastAsia="宋体" w:cs="宋体"/>
          <w:b/>
          <w:color w:val="auto"/>
          <w:sz w:val="36"/>
          <w:szCs w:val="36"/>
          <w:highlight w:val="none"/>
          <w:u w:val="single"/>
        </w:rPr>
        <w:t>横州市西津国家湿地公园管理处</w:t>
      </w:r>
    </w:p>
    <w:p w14:paraId="5DC791DA">
      <w:pPr>
        <w:tabs>
          <w:tab w:val="left" w:pos="7380"/>
        </w:tabs>
        <w:spacing w:line="360" w:lineRule="auto"/>
        <w:ind w:firstLine="1995" w:firstLineChars="552"/>
        <w:rPr>
          <w:rFonts w:hint="default" w:ascii="宋体" w:hAnsi="宋体" w:eastAsia="宋体" w:cs="宋体"/>
          <w:b/>
          <w:bCs/>
          <w:color w:val="auto"/>
          <w:sz w:val="44"/>
          <w:highlight w:val="none"/>
          <w:lang w:val="en-US"/>
        </w:rPr>
      </w:pPr>
      <w:r>
        <w:rPr>
          <w:rFonts w:hint="eastAsia" w:ascii="宋体" w:hAnsi="宋体" w:eastAsia="宋体" w:cs="宋体"/>
          <w:b/>
          <w:color w:val="auto"/>
          <w:sz w:val="36"/>
          <w:szCs w:val="36"/>
          <w:highlight w:val="none"/>
        </w:rPr>
        <w:t>中标供应商：</w:t>
      </w:r>
      <w:r>
        <w:rPr>
          <w:rFonts w:hint="eastAsia" w:ascii="宋体" w:hAnsi="宋体" w:cs="宋体"/>
          <w:b/>
          <w:bCs/>
          <w:color w:val="auto"/>
          <w:sz w:val="44"/>
          <w:highlight w:val="none"/>
          <w:u w:val="single"/>
          <w:lang w:val="en-US" w:eastAsia="zh-CN"/>
        </w:rPr>
        <w:t xml:space="preserve">                    </w:t>
      </w:r>
    </w:p>
    <w:p w14:paraId="751ACC66">
      <w:pPr>
        <w:spacing w:before="120" w:line="360" w:lineRule="auto"/>
        <w:rPr>
          <w:rFonts w:hint="eastAsia" w:ascii="宋体" w:hAnsi="宋体" w:eastAsia="宋体" w:cs="宋体"/>
          <w:color w:val="auto"/>
          <w:sz w:val="24"/>
          <w:highlight w:val="none"/>
        </w:rPr>
      </w:pPr>
    </w:p>
    <w:p w14:paraId="68D7E221">
      <w:pPr>
        <w:ind w:firstLine="1995" w:firstLineChars="552"/>
        <w:rPr>
          <w:rFonts w:hint="eastAsia" w:ascii="宋体" w:hAnsi="宋体" w:eastAsia="宋体" w:cs="宋体"/>
          <w:b/>
          <w:color w:val="auto"/>
          <w:sz w:val="36"/>
          <w:szCs w:val="36"/>
          <w:highlight w:val="none"/>
        </w:rPr>
      </w:pPr>
      <w:r>
        <w:rPr>
          <w:rFonts w:hint="eastAsia" w:ascii="宋体" w:hAnsi="宋体" w:eastAsia="宋体" w:cs="宋体"/>
          <w:b/>
          <w:color w:val="auto"/>
          <w:sz w:val="36"/>
          <w:szCs w:val="36"/>
          <w:highlight w:val="none"/>
        </w:rPr>
        <w:t>签订日期：</w:t>
      </w:r>
      <w:r>
        <w:rPr>
          <w:rFonts w:hint="eastAsia" w:ascii="宋体" w:hAnsi="宋体" w:cs="宋体"/>
          <w:b/>
          <w:color w:val="auto"/>
          <w:sz w:val="36"/>
          <w:szCs w:val="36"/>
          <w:highlight w:val="none"/>
          <w:lang w:val="en-US" w:eastAsia="zh-CN"/>
        </w:rPr>
        <w:t xml:space="preserve">  </w:t>
      </w:r>
      <w:r>
        <w:rPr>
          <w:rFonts w:hint="eastAsia" w:ascii="宋体" w:hAnsi="宋体" w:eastAsia="宋体" w:cs="宋体"/>
          <w:b/>
          <w:color w:val="auto"/>
          <w:sz w:val="36"/>
          <w:szCs w:val="36"/>
          <w:highlight w:val="none"/>
        </w:rPr>
        <w:t>年</w:t>
      </w:r>
      <w:r>
        <w:rPr>
          <w:rFonts w:hint="eastAsia" w:ascii="宋体" w:hAnsi="宋体" w:cs="宋体"/>
          <w:b/>
          <w:color w:val="auto"/>
          <w:sz w:val="36"/>
          <w:szCs w:val="36"/>
          <w:highlight w:val="none"/>
          <w:lang w:val="en-US" w:eastAsia="zh-CN"/>
        </w:rPr>
        <w:t xml:space="preserve">   </w:t>
      </w:r>
      <w:r>
        <w:rPr>
          <w:rFonts w:hint="eastAsia" w:ascii="宋体" w:hAnsi="宋体" w:eastAsia="宋体" w:cs="宋体"/>
          <w:b/>
          <w:color w:val="auto"/>
          <w:sz w:val="36"/>
          <w:szCs w:val="36"/>
          <w:highlight w:val="none"/>
        </w:rPr>
        <w:t>月</w:t>
      </w:r>
      <w:r>
        <w:rPr>
          <w:rFonts w:hint="eastAsia" w:ascii="宋体" w:hAnsi="宋体" w:cs="宋体"/>
          <w:b/>
          <w:color w:val="auto"/>
          <w:sz w:val="36"/>
          <w:szCs w:val="36"/>
          <w:highlight w:val="none"/>
          <w:lang w:val="en-US" w:eastAsia="zh-CN"/>
        </w:rPr>
        <w:t xml:space="preserve">   </w:t>
      </w:r>
      <w:r>
        <w:rPr>
          <w:rFonts w:hint="eastAsia" w:ascii="宋体" w:hAnsi="宋体" w:eastAsia="宋体" w:cs="宋体"/>
          <w:b/>
          <w:color w:val="auto"/>
          <w:sz w:val="36"/>
          <w:szCs w:val="36"/>
          <w:highlight w:val="none"/>
        </w:rPr>
        <w:t>日</w:t>
      </w:r>
    </w:p>
    <w:p w14:paraId="20788236">
      <w:pPr>
        <w:snapToGrid w:val="0"/>
        <w:spacing w:line="360" w:lineRule="auto"/>
        <w:jc w:val="center"/>
        <w:rPr>
          <w:rFonts w:hint="eastAsia" w:ascii="宋体" w:hAnsi="宋体" w:eastAsia="宋体" w:cs="宋体"/>
          <w:b/>
          <w:color w:val="auto"/>
          <w:sz w:val="24"/>
          <w:highlight w:val="none"/>
        </w:rPr>
      </w:pPr>
      <w:r>
        <w:rPr>
          <w:rFonts w:hint="eastAsia" w:ascii="宋体" w:hAnsi="宋体" w:eastAsia="宋体" w:cs="宋体"/>
          <w:b/>
          <w:bCs/>
          <w:color w:val="auto"/>
          <w:sz w:val="44"/>
          <w:highlight w:val="none"/>
        </w:rPr>
        <w:br w:type="page"/>
      </w:r>
      <w:r>
        <w:rPr>
          <w:rFonts w:hint="eastAsia" w:ascii="宋体" w:hAnsi="宋体" w:eastAsia="宋体" w:cs="宋体"/>
          <w:b/>
          <w:color w:val="auto"/>
          <w:sz w:val="24"/>
          <w:highlight w:val="none"/>
        </w:rPr>
        <w:t>合同目录</w:t>
      </w:r>
    </w:p>
    <w:p w14:paraId="3DB29F46">
      <w:pPr>
        <w:snapToGrid w:val="0"/>
        <w:spacing w:line="360" w:lineRule="auto"/>
        <w:jc w:val="center"/>
        <w:rPr>
          <w:rFonts w:hint="eastAsia" w:ascii="宋体" w:hAnsi="宋体" w:eastAsia="宋体" w:cs="宋体"/>
          <w:b/>
          <w:bCs/>
          <w:color w:val="auto"/>
          <w:sz w:val="44"/>
          <w:highlight w:val="none"/>
        </w:rPr>
      </w:pPr>
    </w:p>
    <w:p w14:paraId="5B5C5A78">
      <w:pPr>
        <w:snapToGrid w:val="0"/>
        <w:spacing w:line="360" w:lineRule="auto"/>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一、</w:t>
      </w:r>
      <w:r>
        <w:rPr>
          <w:rFonts w:hint="eastAsia" w:ascii="宋体" w:hAnsi="宋体" w:eastAsia="宋体" w:cs="宋体"/>
          <w:color w:val="auto"/>
          <w:sz w:val="24"/>
          <w:highlight w:val="none"/>
        </w:rPr>
        <w:t>第一部分合同书</w:t>
      </w:r>
      <w:r>
        <w:rPr>
          <w:rFonts w:hint="eastAsia" w:ascii="宋体" w:hAnsi="宋体" w:eastAsia="宋体" w:cs="宋体"/>
          <w:color w:val="auto"/>
          <w:kern w:val="0"/>
          <w:sz w:val="24"/>
          <w:highlight w:val="none"/>
        </w:rPr>
        <w:t>……………………………………………………………（页码）</w:t>
      </w:r>
    </w:p>
    <w:p w14:paraId="6205BCBF">
      <w:pPr>
        <w:snapToGrid w:val="0"/>
        <w:spacing w:line="360" w:lineRule="auto"/>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二、第二部分合同一般条款……………………………………………………（页码）</w:t>
      </w:r>
    </w:p>
    <w:p w14:paraId="7F9AF9F7">
      <w:pPr>
        <w:snapToGrid w:val="0"/>
        <w:spacing w:line="360" w:lineRule="auto"/>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三、第三部分合同专用条款……………………………………………………（页码）</w:t>
      </w:r>
    </w:p>
    <w:p w14:paraId="50351A93">
      <w:pPr>
        <w:snapToGrid w:val="0"/>
        <w:spacing w:line="360" w:lineRule="auto"/>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四、</w:t>
      </w:r>
      <w:r>
        <w:rPr>
          <w:rFonts w:hint="eastAsia" w:ascii="宋体" w:hAnsi="宋体" w:eastAsia="宋体" w:cs="宋体"/>
          <w:color w:val="auto"/>
          <w:sz w:val="24"/>
          <w:highlight w:val="none"/>
        </w:rPr>
        <w:t>第四部分合同附件</w:t>
      </w:r>
      <w:r>
        <w:rPr>
          <w:rFonts w:hint="eastAsia" w:ascii="宋体" w:hAnsi="宋体" w:eastAsia="宋体" w:cs="宋体"/>
          <w:color w:val="auto"/>
          <w:kern w:val="0"/>
          <w:sz w:val="24"/>
          <w:highlight w:val="none"/>
        </w:rPr>
        <w:t>…………………………………………………………（页码）</w:t>
      </w:r>
    </w:p>
    <w:p w14:paraId="69EB9273">
      <w:pPr>
        <w:snapToGrid w:val="0"/>
        <w:spacing w:line="360" w:lineRule="auto"/>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4.1中标通知书…………………………………………………………………（页码）</w:t>
      </w:r>
    </w:p>
    <w:p w14:paraId="11A5646E">
      <w:pPr>
        <w:snapToGrid w:val="0"/>
        <w:spacing w:line="360" w:lineRule="auto"/>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4.2招标文件服务需求一览表…………………………………………………（页码）</w:t>
      </w:r>
    </w:p>
    <w:p w14:paraId="1778BE47">
      <w:pPr>
        <w:snapToGrid w:val="0"/>
        <w:spacing w:line="360" w:lineRule="auto"/>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4.3招标文件的更改通知（如有）……………………………………………（页码）</w:t>
      </w:r>
    </w:p>
    <w:p w14:paraId="2F1A56C7">
      <w:pPr>
        <w:snapToGrid w:val="0"/>
        <w:spacing w:line="360" w:lineRule="auto"/>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4.4投标函………………………………………………………………………（页码）</w:t>
      </w:r>
    </w:p>
    <w:p w14:paraId="00A71CC5">
      <w:pPr>
        <w:snapToGrid w:val="0"/>
        <w:spacing w:line="360" w:lineRule="auto"/>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4.5报价表………………………………………………………………………（页码）</w:t>
      </w:r>
    </w:p>
    <w:p w14:paraId="545D26DB">
      <w:pPr>
        <w:snapToGrid w:val="0"/>
        <w:spacing w:line="360" w:lineRule="auto"/>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4.6投标服务技术资料表………………………………………………………（页码）</w:t>
      </w:r>
    </w:p>
    <w:p w14:paraId="082897C8">
      <w:pPr>
        <w:snapToGrid w:val="0"/>
        <w:spacing w:line="360" w:lineRule="auto"/>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4.7商务条款偏离表……………………………………………………………（页码）</w:t>
      </w:r>
    </w:p>
    <w:p w14:paraId="364DF7F4">
      <w:pPr>
        <w:snapToGrid w:val="0"/>
        <w:spacing w:line="360" w:lineRule="auto"/>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4.8中标供应商澄清函（如有请提供）………………………………………（页码）</w:t>
      </w:r>
    </w:p>
    <w:p w14:paraId="49D1E9B3">
      <w:pPr>
        <w:snapToGrid w:val="0"/>
        <w:spacing w:line="360" w:lineRule="auto"/>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4.9其他与本合同相关的资料（如有请提供）………………………………（页码）</w:t>
      </w:r>
    </w:p>
    <w:p w14:paraId="30A2C4BA">
      <w:pPr>
        <w:snapToGrid w:val="0"/>
        <w:spacing w:line="360" w:lineRule="auto"/>
        <w:rPr>
          <w:rFonts w:hint="eastAsia" w:ascii="宋体" w:hAnsi="宋体" w:eastAsia="宋体" w:cs="宋体"/>
          <w:color w:val="auto"/>
          <w:kern w:val="0"/>
          <w:sz w:val="24"/>
          <w:highlight w:val="none"/>
        </w:rPr>
      </w:pPr>
    </w:p>
    <w:p w14:paraId="1B7A474D">
      <w:pPr>
        <w:widowControl/>
        <w:jc w:val="left"/>
        <w:rPr>
          <w:rFonts w:hint="eastAsia" w:ascii="宋体" w:hAnsi="宋体" w:eastAsia="宋体" w:cs="宋体"/>
          <w:color w:val="auto"/>
          <w:spacing w:val="-4"/>
          <w:sz w:val="18"/>
          <w:szCs w:val="20"/>
          <w:highlight w:val="none"/>
        </w:rPr>
        <w:sectPr>
          <w:pgSz w:w="11906" w:h="16838"/>
          <w:pgMar w:top="1134" w:right="1134" w:bottom="1134" w:left="1134" w:header="720" w:footer="720" w:gutter="0"/>
          <w:cols w:space="720" w:num="1"/>
          <w:docGrid w:type="lines" w:linePitch="331" w:charSpace="0"/>
        </w:sectPr>
      </w:pPr>
    </w:p>
    <w:p w14:paraId="0F1C42CB">
      <w:pPr>
        <w:pStyle w:val="97"/>
        <w:ind w:firstLine="562"/>
        <w:jc w:val="center"/>
        <w:rPr>
          <w:rFonts w:hint="eastAsia" w:ascii="宋体" w:hAnsi="宋体" w:eastAsia="宋体" w:cs="宋体"/>
          <w:b/>
          <w:color w:val="auto"/>
          <w:sz w:val="28"/>
          <w:szCs w:val="28"/>
          <w:highlight w:val="none"/>
        </w:rPr>
      </w:pPr>
      <w:r>
        <w:rPr>
          <w:rFonts w:hint="eastAsia" w:ascii="宋体" w:hAnsi="宋体" w:eastAsia="宋体" w:cs="宋体"/>
          <w:b/>
          <w:color w:val="auto"/>
          <w:sz w:val="28"/>
          <w:szCs w:val="28"/>
          <w:highlight w:val="none"/>
        </w:rPr>
        <w:t>第一部分合同书</w:t>
      </w:r>
    </w:p>
    <w:p w14:paraId="2EE3F57D">
      <w:pPr>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lang w:val="zh-CN"/>
        </w:rPr>
        <w:t>年月日</w:t>
      </w:r>
      <w:r>
        <w:rPr>
          <w:rFonts w:hint="eastAsia" w:ascii="宋体" w:hAnsi="宋体" w:eastAsia="宋体" w:cs="宋体"/>
          <w:color w:val="auto"/>
          <w:sz w:val="24"/>
          <w:highlight w:val="none"/>
        </w:rPr>
        <w:t>，</w:t>
      </w:r>
      <w:r>
        <w:rPr>
          <w:rFonts w:hint="eastAsia" w:ascii="宋体" w:hAnsi="宋体" w:eastAsia="宋体" w:cs="宋体"/>
          <w:color w:val="auto"/>
          <w:sz w:val="24"/>
          <w:highlight w:val="none"/>
          <w:u w:val="single"/>
        </w:rPr>
        <w:t>横州市西津国家湿地公园管理处</w:t>
      </w:r>
      <w:r>
        <w:rPr>
          <w:rFonts w:hint="eastAsia" w:ascii="宋体" w:hAnsi="宋体" w:eastAsia="宋体" w:cs="宋体"/>
          <w:color w:val="auto"/>
          <w:sz w:val="24"/>
          <w:highlight w:val="none"/>
        </w:rPr>
        <w:t>以</w:t>
      </w:r>
      <w:r>
        <w:rPr>
          <w:rFonts w:hint="eastAsia" w:ascii="宋体" w:hAnsi="宋体" w:eastAsia="宋体" w:cs="宋体"/>
          <w:color w:val="auto"/>
          <w:sz w:val="24"/>
          <w:highlight w:val="none"/>
          <w:u w:val="single"/>
        </w:rPr>
        <w:t>公开招标方式</w:t>
      </w:r>
      <w:r>
        <w:rPr>
          <w:rFonts w:hint="eastAsia" w:ascii="宋体" w:hAnsi="宋体" w:eastAsia="宋体" w:cs="宋体"/>
          <w:color w:val="auto"/>
          <w:sz w:val="24"/>
          <w:highlight w:val="none"/>
        </w:rPr>
        <w:t>对</w:t>
      </w:r>
      <w:r>
        <w:rPr>
          <w:rFonts w:hint="eastAsia" w:ascii="宋体" w:hAnsi="宋体" w:cs="宋体"/>
          <w:color w:val="auto"/>
          <w:sz w:val="24"/>
          <w:highlight w:val="none"/>
          <w:u w:val="single"/>
          <w:lang w:val="en-US" w:eastAsia="zh-CN"/>
        </w:rPr>
        <w:t xml:space="preserve">           </w:t>
      </w:r>
      <w:r>
        <w:rPr>
          <w:rFonts w:hint="eastAsia" w:ascii="宋体" w:hAnsi="宋体" w:eastAsia="宋体" w:cs="宋体"/>
          <w:color w:val="auto"/>
          <w:sz w:val="24"/>
          <w:highlight w:val="none"/>
        </w:rPr>
        <w:t>项目进行了采购。经</w:t>
      </w:r>
      <w:r>
        <w:rPr>
          <w:rFonts w:hint="eastAsia" w:ascii="宋体" w:hAnsi="宋体" w:eastAsia="宋体" w:cs="宋体"/>
          <w:color w:val="auto"/>
          <w:sz w:val="24"/>
          <w:highlight w:val="none"/>
          <w:u w:val="single"/>
        </w:rPr>
        <w:t>（相关评定主体名称）</w:t>
      </w:r>
      <w:r>
        <w:rPr>
          <w:rFonts w:hint="eastAsia" w:ascii="宋体" w:hAnsi="宋体" w:eastAsia="宋体" w:cs="宋体"/>
          <w:color w:val="auto"/>
          <w:sz w:val="24"/>
          <w:highlight w:val="none"/>
        </w:rPr>
        <w:t>评定，</w:t>
      </w:r>
      <w:r>
        <w:rPr>
          <w:rFonts w:hint="eastAsia" w:ascii="宋体" w:hAnsi="宋体" w:eastAsia="宋体" w:cs="宋体"/>
          <w:color w:val="auto"/>
          <w:sz w:val="24"/>
          <w:highlight w:val="none"/>
          <w:u w:val="single"/>
        </w:rPr>
        <w:t>（中标人名称）</w:t>
      </w:r>
      <w:r>
        <w:rPr>
          <w:rFonts w:hint="eastAsia" w:ascii="宋体" w:hAnsi="宋体" w:eastAsia="宋体" w:cs="宋体"/>
          <w:color w:val="auto"/>
          <w:sz w:val="24"/>
          <w:highlight w:val="none"/>
        </w:rPr>
        <w:t>为该项目中标人。现于中标通知书发出之日起日内（根据项目实际情况填写，不能超过25日），按照采购文件确定的事项签订本合同。</w:t>
      </w:r>
    </w:p>
    <w:p w14:paraId="2FE53E34">
      <w:pPr>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lang w:val="zh-CN"/>
        </w:rPr>
        <w:t>根据《中华人民共和国民法典》、《中华人民共和国政府采购法》等相关法律法规之规定，按照平等、自愿、公平和诚实信用的原则，经</w:t>
      </w:r>
      <w:r>
        <w:rPr>
          <w:rFonts w:hint="eastAsia" w:ascii="宋体" w:hAnsi="宋体" w:eastAsia="宋体" w:cs="宋体"/>
          <w:color w:val="auto"/>
          <w:sz w:val="24"/>
          <w:highlight w:val="none"/>
          <w:u w:val="single"/>
        </w:rPr>
        <w:t>横州市西津国家湿地公园管理处</w:t>
      </w:r>
      <w:r>
        <w:rPr>
          <w:rFonts w:hint="eastAsia" w:ascii="宋体" w:hAnsi="宋体" w:eastAsia="宋体" w:cs="宋体"/>
          <w:color w:val="auto"/>
          <w:sz w:val="24"/>
          <w:highlight w:val="none"/>
          <w:lang w:val="zh-CN"/>
        </w:rPr>
        <w:t>(以下简称：甲方)和</w:t>
      </w:r>
      <w:r>
        <w:rPr>
          <w:rFonts w:hint="eastAsia" w:ascii="宋体" w:hAnsi="宋体" w:eastAsia="宋体" w:cs="宋体"/>
          <w:color w:val="auto"/>
          <w:sz w:val="24"/>
          <w:highlight w:val="none"/>
          <w:u w:val="single"/>
        </w:rPr>
        <w:t>（中标人名称）</w:t>
      </w:r>
      <w:r>
        <w:rPr>
          <w:rFonts w:hint="eastAsia" w:ascii="宋体" w:hAnsi="宋体" w:eastAsia="宋体" w:cs="宋体"/>
          <w:color w:val="auto"/>
          <w:sz w:val="24"/>
          <w:highlight w:val="none"/>
          <w:lang w:val="zh-CN"/>
        </w:rPr>
        <w:t>(以下简称：乙方)协商一致，约定以下合同</w:t>
      </w:r>
      <w:r>
        <w:rPr>
          <w:rFonts w:hint="eastAsia" w:ascii="宋体" w:hAnsi="宋体" w:eastAsia="宋体" w:cs="宋体"/>
          <w:color w:val="auto"/>
          <w:sz w:val="24"/>
          <w:highlight w:val="none"/>
        </w:rPr>
        <w:t>条款，以兹共同遵守、全面履行。</w:t>
      </w:r>
    </w:p>
    <w:p w14:paraId="49BE8A34">
      <w:pPr>
        <w:spacing w:line="360" w:lineRule="auto"/>
        <w:ind w:firstLine="482" w:firstLineChars="200"/>
        <w:rPr>
          <w:rFonts w:hint="eastAsia" w:ascii="宋体" w:hAnsi="宋体" w:eastAsia="宋体" w:cs="宋体"/>
          <w:b/>
          <w:color w:val="auto"/>
          <w:sz w:val="24"/>
          <w:highlight w:val="none"/>
        </w:rPr>
      </w:pPr>
      <w:r>
        <w:rPr>
          <w:rFonts w:hint="eastAsia" w:ascii="宋体" w:hAnsi="宋体" w:eastAsia="宋体" w:cs="宋体"/>
          <w:b/>
          <w:color w:val="auto"/>
          <w:sz w:val="24"/>
          <w:highlight w:val="none"/>
        </w:rPr>
        <w:t>1.1合同组成部分</w:t>
      </w:r>
    </w:p>
    <w:p w14:paraId="09FF9D61">
      <w:pPr>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下列文件为本合同的组成部分，并构成一个整体，需综合解释、相互补充。如果下列文件内容出现不一致的情形，在保证按照采购文件确定的事项的前提下，组成本合同的多个文件的优先适用顺序如下：</w:t>
      </w:r>
    </w:p>
    <w:p w14:paraId="48C275E7">
      <w:pPr>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1.1.1本合同及其补充合同、变更协议；</w:t>
      </w:r>
    </w:p>
    <w:p w14:paraId="7DEF39E4">
      <w:pPr>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1.1.2中标通知书；</w:t>
      </w:r>
    </w:p>
    <w:p w14:paraId="17BCAF25">
      <w:pPr>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1.1.3投标文件及“投标报价”（含澄清或者说明文件）；</w:t>
      </w:r>
    </w:p>
    <w:p w14:paraId="7FD1E1FB">
      <w:pPr>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1.1.4招标文件（含澄清或者修改文件）；</w:t>
      </w:r>
    </w:p>
    <w:p w14:paraId="0EB9D92F">
      <w:pPr>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1.1.5其他相关采购文件。</w:t>
      </w:r>
    </w:p>
    <w:p w14:paraId="2EB17951">
      <w:pPr>
        <w:spacing w:line="360" w:lineRule="auto"/>
        <w:ind w:firstLine="482" w:firstLineChars="200"/>
        <w:rPr>
          <w:rFonts w:hint="eastAsia" w:ascii="宋体" w:hAnsi="宋体" w:eastAsia="宋体" w:cs="宋体"/>
          <w:b/>
          <w:color w:val="auto"/>
          <w:sz w:val="24"/>
          <w:highlight w:val="none"/>
        </w:rPr>
      </w:pPr>
      <w:r>
        <w:rPr>
          <w:rFonts w:hint="eastAsia" w:ascii="宋体" w:hAnsi="宋体" w:eastAsia="宋体" w:cs="宋体"/>
          <w:b/>
          <w:color w:val="auto"/>
          <w:sz w:val="24"/>
          <w:highlight w:val="none"/>
        </w:rPr>
        <w:t>1.2标的物</w:t>
      </w:r>
    </w:p>
    <w:p w14:paraId="789947B2">
      <w:pPr>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1.2.1标的物1信息</w:t>
      </w:r>
    </w:p>
    <w:p w14:paraId="06A7B76B">
      <w:pPr>
        <w:spacing w:line="360" w:lineRule="auto"/>
        <w:ind w:firstLine="480" w:firstLineChars="200"/>
        <w:rPr>
          <w:rFonts w:hint="eastAsia" w:ascii="宋体" w:hAnsi="宋体" w:eastAsia="宋体" w:cs="宋体"/>
          <w:color w:val="auto"/>
          <w:sz w:val="24"/>
          <w:highlight w:val="none"/>
          <w:u w:val="single"/>
        </w:rPr>
      </w:pPr>
      <w:r>
        <w:rPr>
          <w:rFonts w:hint="eastAsia" w:ascii="宋体" w:hAnsi="宋体" w:eastAsia="宋体" w:cs="宋体"/>
          <w:color w:val="auto"/>
          <w:sz w:val="24"/>
          <w:highlight w:val="none"/>
        </w:rPr>
        <w:t>1.2.1.1名称：；</w:t>
      </w:r>
    </w:p>
    <w:p w14:paraId="2A74B0A3">
      <w:pPr>
        <w:spacing w:line="360" w:lineRule="auto"/>
        <w:ind w:firstLine="480" w:firstLineChars="200"/>
        <w:rPr>
          <w:rFonts w:hint="eastAsia" w:ascii="宋体" w:hAnsi="宋体" w:eastAsia="宋体" w:cs="宋体"/>
          <w:color w:val="auto"/>
          <w:sz w:val="24"/>
          <w:highlight w:val="none"/>
          <w:u w:val="single"/>
        </w:rPr>
      </w:pPr>
      <w:r>
        <w:rPr>
          <w:rFonts w:hint="eastAsia" w:ascii="宋体" w:hAnsi="宋体" w:eastAsia="宋体" w:cs="宋体"/>
          <w:color w:val="auto"/>
          <w:sz w:val="24"/>
          <w:highlight w:val="none"/>
        </w:rPr>
        <w:t>1.2.1.2数量：；</w:t>
      </w:r>
    </w:p>
    <w:p w14:paraId="2ED1B63C">
      <w:pPr>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1.2.1.3质量：</w:t>
      </w:r>
      <w:r>
        <w:rPr>
          <w:rFonts w:hint="eastAsia" w:ascii="宋体" w:hAnsi="宋体" w:eastAsia="宋体" w:cs="宋体"/>
          <w:color w:val="auto"/>
          <w:sz w:val="24"/>
          <w:highlight w:val="none"/>
          <w:u w:val="single"/>
        </w:rPr>
        <w:t>　</w:t>
      </w:r>
      <w:r>
        <w:rPr>
          <w:rFonts w:hint="eastAsia" w:ascii="宋体" w:hAnsi="宋体" w:eastAsia="宋体" w:cs="宋体"/>
          <w:color w:val="auto"/>
          <w:sz w:val="24"/>
          <w:highlight w:val="none"/>
        </w:rPr>
        <w:t>。</w:t>
      </w:r>
    </w:p>
    <w:p w14:paraId="7ADF04CE">
      <w:pPr>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w:t>
      </w:r>
    </w:p>
    <w:p w14:paraId="6F499C70">
      <w:pPr>
        <w:spacing w:line="360" w:lineRule="auto"/>
        <w:ind w:firstLine="482" w:firstLineChars="200"/>
        <w:rPr>
          <w:rFonts w:hint="eastAsia" w:ascii="宋体" w:hAnsi="宋体" w:eastAsia="宋体" w:cs="宋体"/>
          <w:b/>
          <w:color w:val="auto"/>
          <w:sz w:val="24"/>
          <w:highlight w:val="none"/>
        </w:rPr>
      </w:pPr>
      <w:r>
        <w:rPr>
          <w:rFonts w:hint="eastAsia" w:ascii="宋体" w:hAnsi="宋体" w:eastAsia="宋体" w:cs="宋体"/>
          <w:b/>
          <w:color w:val="auto"/>
          <w:sz w:val="24"/>
          <w:highlight w:val="none"/>
        </w:rPr>
        <w:t>1.3价款</w:t>
      </w:r>
    </w:p>
    <w:p w14:paraId="76C33DF7">
      <w:pPr>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本合同总价为：人民币元（大写：元人民币，含税）。</w:t>
      </w:r>
    </w:p>
    <w:p w14:paraId="0A58F12A">
      <w:pPr>
        <w:spacing w:line="360" w:lineRule="auto"/>
        <w:ind w:firstLine="480" w:firstLineChars="200"/>
        <w:rPr>
          <w:rFonts w:hint="eastAsia" w:ascii="宋体" w:hAnsi="宋体" w:eastAsia="宋体" w:cs="宋体"/>
          <w:color w:val="auto"/>
          <w:sz w:val="24"/>
          <w:highlight w:val="none"/>
          <w:u w:val="single"/>
        </w:rPr>
      </w:pPr>
      <w:r>
        <w:rPr>
          <w:rFonts w:hint="eastAsia" w:ascii="宋体" w:hAnsi="宋体" w:eastAsia="宋体" w:cs="宋体"/>
          <w:color w:val="auto"/>
          <w:sz w:val="24"/>
          <w:highlight w:val="none"/>
        </w:rPr>
        <w:t>分项价格：</w:t>
      </w:r>
    </w:p>
    <w:tbl>
      <w:tblPr>
        <w:tblStyle w:val="3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01"/>
        <w:gridCol w:w="3402"/>
        <w:gridCol w:w="2552"/>
      </w:tblGrid>
      <w:tr w14:paraId="348B13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201" w:type="dxa"/>
            <w:tcBorders>
              <w:top w:val="single" w:color="auto" w:sz="4" w:space="0"/>
              <w:left w:val="single" w:color="auto" w:sz="4" w:space="0"/>
              <w:bottom w:val="single" w:color="auto" w:sz="4" w:space="0"/>
              <w:right w:val="single" w:color="auto" w:sz="4" w:space="0"/>
            </w:tcBorders>
            <w:noWrap w:val="0"/>
            <w:vAlign w:val="center"/>
          </w:tcPr>
          <w:p w14:paraId="08B99459">
            <w:pPr>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序号</w:t>
            </w:r>
          </w:p>
        </w:tc>
        <w:tc>
          <w:tcPr>
            <w:tcW w:w="3402" w:type="dxa"/>
            <w:tcBorders>
              <w:top w:val="single" w:color="auto" w:sz="4" w:space="0"/>
              <w:left w:val="single" w:color="auto" w:sz="4" w:space="0"/>
              <w:bottom w:val="single" w:color="auto" w:sz="4" w:space="0"/>
              <w:right w:val="single" w:color="auto" w:sz="4" w:space="0"/>
            </w:tcBorders>
            <w:noWrap w:val="0"/>
            <w:vAlign w:val="center"/>
          </w:tcPr>
          <w:p w14:paraId="2F751488">
            <w:pPr>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分项名称</w:t>
            </w:r>
          </w:p>
        </w:tc>
        <w:tc>
          <w:tcPr>
            <w:tcW w:w="2552" w:type="dxa"/>
            <w:tcBorders>
              <w:top w:val="single" w:color="auto" w:sz="4" w:space="0"/>
              <w:left w:val="single" w:color="auto" w:sz="4" w:space="0"/>
              <w:bottom w:val="single" w:color="auto" w:sz="4" w:space="0"/>
              <w:right w:val="single" w:color="auto" w:sz="4" w:space="0"/>
            </w:tcBorders>
            <w:noWrap w:val="0"/>
            <w:vAlign w:val="center"/>
          </w:tcPr>
          <w:p w14:paraId="63ED23DC">
            <w:pPr>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分项价格</w:t>
            </w:r>
          </w:p>
        </w:tc>
      </w:tr>
      <w:tr w14:paraId="703FDD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201" w:type="dxa"/>
            <w:tcBorders>
              <w:top w:val="single" w:color="auto" w:sz="4" w:space="0"/>
              <w:left w:val="single" w:color="auto" w:sz="4" w:space="0"/>
              <w:bottom w:val="single" w:color="auto" w:sz="4" w:space="0"/>
              <w:right w:val="single" w:color="auto" w:sz="4" w:space="0"/>
            </w:tcBorders>
            <w:noWrap w:val="0"/>
            <w:vAlign w:val="center"/>
          </w:tcPr>
          <w:p w14:paraId="38E14C62">
            <w:pPr>
              <w:spacing w:line="360" w:lineRule="auto"/>
              <w:ind w:firstLine="480" w:firstLineChars="200"/>
              <w:rPr>
                <w:rFonts w:hint="eastAsia" w:ascii="宋体" w:hAnsi="宋体" w:eastAsia="宋体" w:cs="宋体"/>
                <w:color w:val="auto"/>
                <w:sz w:val="24"/>
                <w:highlight w:val="none"/>
              </w:rPr>
            </w:pPr>
          </w:p>
        </w:tc>
        <w:tc>
          <w:tcPr>
            <w:tcW w:w="3402" w:type="dxa"/>
            <w:tcBorders>
              <w:top w:val="single" w:color="auto" w:sz="4" w:space="0"/>
              <w:left w:val="single" w:color="auto" w:sz="4" w:space="0"/>
              <w:bottom w:val="single" w:color="auto" w:sz="4" w:space="0"/>
              <w:right w:val="single" w:color="auto" w:sz="4" w:space="0"/>
            </w:tcBorders>
            <w:noWrap w:val="0"/>
            <w:vAlign w:val="center"/>
          </w:tcPr>
          <w:p w14:paraId="41A71678">
            <w:pPr>
              <w:spacing w:line="360" w:lineRule="auto"/>
              <w:ind w:firstLine="480" w:firstLineChars="200"/>
              <w:rPr>
                <w:rFonts w:hint="eastAsia" w:ascii="宋体" w:hAnsi="宋体" w:eastAsia="宋体" w:cs="宋体"/>
                <w:color w:val="auto"/>
                <w:sz w:val="24"/>
                <w:highlight w:val="none"/>
              </w:rPr>
            </w:pPr>
          </w:p>
        </w:tc>
        <w:tc>
          <w:tcPr>
            <w:tcW w:w="2552" w:type="dxa"/>
            <w:tcBorders>
              <w:top w:val="single" w:color="auto" w:sz="4" w:space="0"/>
              <w:left w:val="single" w:color="auto" w:sz="4" w:space="0"/>
              <w:bottom w:val="single" w:color="auto" w:sz="4" w:space="0"/>
              <w:right w:val="single" w:color="auto" w:sz="4" w:space="0"/>
            </w:tcBorders>
            <w:noWrap w:val="0"/>
            <w:vAlign w:val="center"/>
          </w:tcPr>
          <w:p w14:paraId="55190AA8">
            <w:pPr>
              <w:spacing w:line="360" w:lineRule="auto"/>
              <w:ind w:firstLine="480" w:firstLineChars="200"/>
              <w:rPr>
                <w:rFonts w:hint="eastAsia" w:ascii="宋体" w:hAnsi="宋体" w:eastAsia="宋体" w:cs="宋体"/>
                <w:color w:val="auto"/>
                <w:sz w:val="24"/>
                <w:highlight w:val="none"/>
              </w:rPr>
            </w:pPr>
          </w:p>
        </w:tc>
      </w:tr>
      <w:tr w14:paraId="411427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201" w:type="dxa"/>
            <w:tcBorders>
              <w:top w:val="single" w:color="auto" w:sz="4" w:space="0"/>
              <w:left w:val="single" w:color="auto" w:sz="4" w:space="0"/>
              <w:bottom w:val="single" w:color="auto" w:sz="4" w:space="0"/>
              <w:right w:val="single" w:color="auto" w:sz="4" w:space="0"/>
            </w:tcBorders>
            <w:noWrap w:val="0"/>
            <w:vAlign w:val="center"/>
          </w:tcPr>
          <w:p w14:paraId="288FB346">
            <w:pPr>
              <w:spacing w:line="360" w:lineRule="auto"/>
              <w:ind w:firstLine="480" w:firstLineChars="200"/>
              <w:rPr>
                <w:rFonts w:hint="eastAsia" w:ascii="宋体" w:hAnsi="宋体" w:eastAsia="宋体" w:cs="宋体"/>
                <w:color w:val="auto"/>
                <w:sz w:val="24"/>
                <w:highlight w:val="none"/>
              </w:rPr>
            </w:pPr>
          </w:p>
        </w:tc>
        <w:tc>
          <w:tcPr>
            <w:tcW w:w="3402" w:type="dxa"/>
            <w:tcBorders>
              <w:top w:val="single" w:color="auto" w:sz="4" w:space="0"/>
              <w:left w:val="single" w:color="auto" w:sz="4" w:space="0"/>
              <w:bottom w:val="single" w:color="auto" w:sz="4" w:space="0"/>
              <w:right w:val="single" w:color="auto" w:sz="4" w:space="0"/>
            </w:tcBorders>
            <w:noWrap w:val="0"/>
            <w:vAlign w:val="center"/>
          </w:tcPr>
          <w:p w14:paraId="0BD48B25">
            <w:pPr>
              <w:spacing w:line="360" w:lineRule="auto"/>
              <w:ind w:firstLine="480" w:firstLineChars="200"/>
              <w:rPr>
                <w:rFonts w:hint="eastAsia" w:ascii="宋体" w:hAnsi="宋体" w:eastAsia="宋体" w:cs="宋体"/>
                <w:color w:val="auto"/>
                <w:sz w:val="24"/>
                <w:highlight w:val="none"/>
              </w:rPr>
            </w:pPr>
          </w:p>
        </w:tc>
        <w:tc>
          <w:tcPr>
            <w:tcW w:w="2552" w:type="dxa"/>
            <w:tcBorders>
              <w:top w:val="single" w:color="auto" w:sz="4" w:space="0"/>
              <w:left w:val="single" w:color="auto" w:sz="4" w:space="0"/>
              <w:bottom w:val="single" w:color="auto" w:sz="4" w:space="0"/>
              <w:right w:val="single" w:color="auto" w:sz="4" w:space="0"/>
            </w:tcBorders>
            <w:noWrap w:val="0"/>
            <w:vAlign w:val="center"/>
          </w:tcPr>
          <w:p w14:paraId="43111BDF">
            <w:pPr>
              <w:spacing w:line="360" w:lineRule="auto"/>
              <w:ind w:firstLine="480" w:firstLineChars="200"/>
              <w:rPr>
                <w:rFonts w:hint="eastAsia" w:ascii="宋体" w:hAnsi="宋体" w:eastAsia="宋体" w:cs="宋体"/>
                <w:color w:val="auto"/>
                <w:sz w:val="24"/>
                <w:highlight w:val="none"/>
              </w:rPr>
            </w:pPr>
          </w:p>
        </w:tc>
      </w:tr>
      <w:tr w14:paraId="5B8C1E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201" w:type="dxa"/>
            <w:tcBorders>
              <w:top w:val="single" w:color="auto" w:sz="4" w:space="0"/>
              <w:left w:val="single" w:color="auto" w:sz="4" w:space="0"/>
              <w:bottom w:val="single" w:color="auto" w:sz="4" w:space="0"/>
              <w:right w:val="single" w:color="auto" w:sz="4" w:space="0"/>
            </w:tcBorders>
            <w:noWrap w:val="0"/>
            <w:vAlign w:val="center"/>
          </w:tcPr>
          <w:p w14:paraId="28E03B10">
            <w:pPr>
              <w:spacing w:line="360" w:lineRule="auto"/>
              <w:ind w:firstLine="480" w:firstLineChars="200"/>
              <w:rPr>
                <w:rFonts w:hint="eastAsia" w:ascii="宋体" w:hAnsi="宋体" w:eastAsia="宋体" w:cs="宋体"/>
                <w:color w:val="auto"/>
                <w:sz w:val="24"/>
                <w:highlight w:val="none"/>
              </w:rPr>
            </w:pPr>
          </w:p>
        </w:tc>
        <w:tc>
          <w:tcPr>
            <w:tcW w:w="3402" w:type="dxa"/>
            <w:tcBorders>
              <w:top w:val="single" w:color="auto" w:sz="4" w:space="0"/>
              <w:left w:val="single" w:color="auto" w:sz="4" w:space="0"/>
              <w:bottom w:val="single" w:color="auto" w:sz="4" w:space="0"/>
              <w:right w:val="single" w:color="auto" w:sz="4" w:space="0"/>
            </w:tcBorders>
            <w:noWrap w:val="0"/>
            <w:vAlign w:val="center"/>
          </w:tcPr>
          <w:p w14:paraId="0E9EED7F">
            <w:pPr>
              <w:spacing w:line="360" w:lineRule="auto"/>
              <w:ind w:firstLine="480" w:firstLineChars="200"/>
              <w:rPr>
                <w:rFonts w:hint="eastAsia" w:ascii="宋体" w:hAnsi="宋体" w:eastAsia="宋体" w:cs="宋体"/>
                <w:color w:val="auto"/>
                <w:sz w:val="24"/>
                <w:highlight w:val="none"/>
              </w:rPr>
            </w:pPr>
          </w:p>
        </w:tc>
        <w:tc>
          <w:tcPr>
            <w:tcW w:w="2552" w:type="dxa"/>
            <w:tcBorders>
              <w:top w:val="single" w:color="auto" w:sz="4" w:space="0"/>
              <w:left w:val="single" w:color="auto" w:sz="4" w:space="0"/>
              <w:bottom w:val="single" w:color="auto" w:sz="4" w:space="0"/>
              <w:right w:val="single" w:color="auto" w:sz="4" w:space="0"/>
            </w:tcBorders>
            <w:noWrap w:val="0"/>
            <w:vAlign w:val="center"/>
          </w:tcPr>
          <w:p w14:paraId="19C6361D">
            <w:pPr>
              <w:spacing w:line="360" w:lineRule="auto"/>
              <w:ind w:firstLine="480" w:firstLineChars="200"/>
              <w:rPr>
                <w:rFonts w:hint="eastAsia" w:ascii="宋体" w:hAnsi="宋体" w:eastAsia="宋体" w:cs="宋体"/>
                <w:color w:val="auto"/>
                <w:sz w:val="24"/>
                <w:highlight w:val="none"/>
              </w:rPr>
            </w:pPr>
          </w:p>
        </w:tc>
      </w:tr>
      <w:tr w14:paraId="34700B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4603" w:type="dxa"/>
            <w:gridSpan w:val="2"/>
            <w:tcBorders>
              <w:top w:val="single" w:color="auto" w:sz="4" w:space="0"/>
              <w:left w:val="single" w:color="auto" w:sz="4" w:space="0"/>
              <w:bottom w:val="single" w:color="auto" w:sz="4" w:space="0"/>
              <w:right w:val="single" w:color="auto" w:sz="4" w:space="0"/>
            </w:tcBorders>
            <w:noWrap w:val="0"/>
            <w:vAlign w:val="center"/>
          </w:tcPr>
          <w:p w14:paraId="2AF260AE">
            <w:pPr>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总价</w:t>
            </w:r>
          </w:p>
        </w:tc>
        <w:tc>
          <w:tcPr>
            <w:tcW w:w="2552" w:type="dxa"/>
            <w:tcBorders>
              <w:top w:val="single" w:color="auto" w:sz="4" w:space="0"/>
              <w:left w:val="single" w:color="auto" w:sz="4" w:space="0"/>
              <w:bottom w:val="single" w:color="auto" w:sz="4" w:space="0"/>
              <w:right w:val="single" w:color="auto" w:sz="4" w:space="0"/>
            </w:tcBorders>
            <w:noWrap w:val="0"/>
            <w:vAlign w:val="center"/>
          </w:tcPr>
          <w:p w14:paraId="1049E8E8">
            <w:pPr>
              <w:spacing w:line="360" w:lineRule="auto"/>
              <w:ind w:firstLine="480" w:firstLineChars="200"/>
              <w:rPr>
                <w:rFonts w:hint="eastAsia" w:ascii="宋体" w:hAnsi="宋体" w:eastAsia="宋体" w:cs="宋体"/>
                <w:color w:val="auto"/>
                <w:sz w:val="24"/>
                <w:highlight w:val="none"/>
              </w:rPr>
            </w:pPr>
          </w:p>
        </w:tc>
      </w:tr>
    </w:tbl>
    <w:p w14:paraId="4E37EAB3">
      <w:pPr>
        <w:spacing w:line="360" w:lineRule="auto"/>
        <w:ind w:firstLine="482" w:firstLineChars="200"/>
        <w:rPr>
          <w:rFonts w:hint="eastAsia" w:ascii="宋体" w:hAnsi="宋体" w:eastAsia="宋体" w:cs="宋体"/>
          <w:b/>
          <w:color w:val="auto"/>
          <w:sz w:val="24"/>
          <w:highlight w:val="none"/>
        </w:rPr>
      </w:pPr>
      <w:r>
        <w:rPr>
          <w:rFonts w:hint="eastAsia" w:ascii="宋体" w:hAnsi="宋体" w:eastAsia="宋体" w:cs="宋体"/>
          <w:b/>
          <w:color w:val="auto"/>
          <w:sz w:val="24"/>
          <w:highlight w:val="none"/>
        </w:rPr>
        <w:t>1.4付款方式和发票开具方式</w:t>
      </w:r>
    </w:p>
    <w:p w14:paraId="58B22F8A">
      <w:pPr>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1.4.1付款方式：；</w:t>
      </w:r>
    </w:p>
    <w:p w14:paraId="02088E79">
      <w:pPr>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1.4.2发票开具方式：。</w:t>
      </w:r>
    </w:p>
    <w:p w14:paraId="44E767D6">
      <w:pPr>
        <w:spacing w:line="360" w:lineRule="auto"/>
        <w:ind w:firstLine="482" w:firstLineChars="200"/>
        <w:rPr>
          <w:rFonts w:hint="eastAsia" w:ascii="宋体" w:hAnsi="宋体" w:eastAsia="宋体" w:cs="宋体"/>
          <w:b/>
          <w:color w:val="auto"/>
          <w:sz w:val="24"/>
          <w:highlight w:val="none"/>
        </w:rPr>
      </w:pPr>
      <w:r>
        <w:rPr>
          <w:rFonts w:hint="eastAsia" w:ascii="宋体" w:hAnsi="宋体" w:eastAsia="宋体" w:cs="宋体"/>
          <w:b/>
          <w:color w:val="auto"/>
          <w:sz w:val="24"/>
          <w:highlight w:val="none"/>
        </w:rPr>
        <w:t>1.5标的物交付期限、地点、方式和服务期限</w:t>
      </w:r>
    </w:p>
    <w:p w14:paraId="5E62880D">
      <w:pPr>
        <w:spacing w:line="360" w:lineRule="auto"/>
        <w:ind w:firstLine="480" w:firstLineChars="200"/>
        <w:rPr>
          <w:rFonts w:hint="eastAsia" w:ascii="宋体" w:hAnsi="宋体" w:eastAsia="宋体" w:cs="宋体"/>
          <w:color w:val="auto"/>
          <w:sz w:val="24"/>
          <w:highlight w:val="none"/>
          <w:u w:val="single"/>
        </w:rPr>
      </w:pPr>
      <w:r>
        <w:rPr>
          <w:rFonts w:hint="eastAsia" w:ascii="宋体" w:hAnsi="宋体" w:eastAsia="宋体" w:cs="宋体"/>
          <w:color w:val="auto"/>
          <w:sz w:val="24"/>
          <w:highlight w:val="none"/>
        </w:rPr>
        <w:t>1.5.1交付期限：</w:t>
      </w:r>
      <w:r>
        <w:rPr>
          <w:rFonts w:hint="eastAsia" w:ascii="宋体" w:hAnsi="宋体" w:eastAsia="宋体" w:cs="宋体"/>
          <w:color w:val="auto"/>
          <w:sz w:val="24"/>
          <w:highlight w:val="none"/>
          <w:u w:val="single"/>
        </w:rPr>
        <w:t>；</w:t>
      </w:r>
    </w:p>
    <w:p w14:paraId="3C1D8740">
      <w:pPr>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1.5.2交付地点：；</w:t>
      </w:r>
    </w:p>
    <w:p w14:paraId="4927FA32">
      <w:pPr>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1.5.3交付方式：</w:t>
      </w:r>
      <w:r>
        <w:rPr>
          <w:rFonts w:hint="eastAsia" w:ascii="宋体" w:hAnsi="宋体" w:eastAsia="宋体" w:cs="宋体"/>
          <w:color w:val="auto"/>
          <w:sz w:val="24"/>
          <w:highlight w:val="none"/>
          <w:u w:val="single"/>
        </w:rPr>
        <w:t>　</w:t>
      </w:r>
      <w:r>
        <w:rPr>
          <w:rFonts w:hint="eastAsia" w:ascii="宋体" w:hAnsi="宋体" w:eastAsia="宋体" w:cs="宋体"/>
          <w:color w:val="auto"/>
          <w:sz w:val="24"/>
          <w:highlight w:val="none"/>
        </w:rPr>
        <w:t>；</w:t>
      </w:r>
    </w:p>
    <w:p w14:paraId="3699D6D2">
      <w:pPr>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1.5.4服务及质保期限：。</w:t>
      </w:r>
    </w:p>
    <w:p w14:paraId="29E1CE67">
      <w:pPr>
        <w:spacing w:line="360" w:lineRule="auto"/>
        <w:ind w:firstLine="482" w:firstLineChars="200"/>
        <w:rPr>
          <w:rFonts w:hint="eastAsia" w:ascii="宋体" w:hAnsi="宋体" w:eastAsia="宋体" w:cs="宋体"/>
          <w:b/>
          <w:color w:val="auto"/>
          <w:sz w:val="24"/>
          <w:highlight w:val="none"/>
        </w:rPr>
      </w:pPr>
      <w:r>
        <w:rPr>
          <w:rFonts w:hint="eastAsia" w:ascii="宋体" w:hAnsi="宋体" w:eastAsia="宋体" w:cs="宋体"/>
          <w:b/>
          <w:color w:val="auto"/>
          <w:sz w:val="24"/>
          <w:highlight w:val="none"/>
        </w:rPr>
        <w:t>1.6违约责任</w:t>
      </w:r>
    </w:p>
    <w:p w14:paraId="77209D2C">
      <w:pPr>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1.6.1除不可抗力外，如果乙方没有按照本合同约定的期限、地点和方式交付标的物，甲方可要求乙方支付违约金，违约金按每迟延交付标的物一日的应交付而未交付标的物价格的（根据项目实际填写，一般为万分之五）计算，最高限额为本合同总价的%（根据项目实际填写，一般为20%）；迟延超过【】（根据项目实际填写）日的，甲方有权在要求乙方支付违约金的同时，书面通知乙方解除本合同，乙方应退回全部已收取的合同价款并按合同总金额的（根据项目实际填写，一般为20%）向甲方支付违约金；</w:t>
      </w:r>
    </w:p>
    <w:p w14:paraId="2F1AE443">
      <w:pPr>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1.6.2除不可抗力外，如果甲方没有按照本合同约定的付款方式付款，乙方可要求甲方支付违约金，违约金按每迟延付款一日的应付而未付款的（根据项目实际填写，一般为万分之五）计算，最高限额为欠付金额的%（根据项目实际填写，一般为20%）；迟延付款的违约金计算数额达到前述最高限额之日起，乙方有权在要求甲方支付违约金的同时，书面通知甲方解除本合同；</w:t>
      </w:r>
    </w:p>
    <w:p w14:paraId="31DAF0D7">
      <w:pPr>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1.6.3除不可抗力外，任何一方未能履行本合同约定的其他主要义务，经催告后在合理期限内仍未履行的，或者任何一方有其他违约行为致使不能实现合同目的的，或者任何一方有腐败行为（即：提供或给予或接受或索取任何财物或其他好处或者采取其他不正当手段影响对方当事人在合同签订、履行过程中的行为）或者欺诈行为（即：以谎报事实或者隐瞒真相的方法来影响对方当事人在合同签订、履行过程中的行为）的，对方当事人可以书面通知违约方解除本合同；</w:t>
      </w:r>
    </w:p>
    <w:p w14:paraId="631C936E">
      <w:pPr>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1.6.4乙方在质保期内未按承诺提供售后等服务的，每发生一次向甲方支付违约金额元。（根据项目实际填写）</w:t>
      </w:r>
    </w:p>
    <w:p w14:paraId="78A81B84">
      <w:pPr>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1.6.5任何一方按照前述约定要求违约方支付违约金的同时，仍有权要求违约方继续履行合同、采取补救措施，并有权按照己方实际损失情况要求违约方赔偿损失；任何一方按照前述约定要求解除本合同的同时，仍有权要求违约方支付违约金和按照己方实际损失情况要求违约方赔偿损失；且守约方行使的任何权利救济方式均不视为其放弃了其他法定或者约定的权利救济方式；</w:t>
      </w:r>
    </w:p>
    <w:p w14:paraId="17192636">
      <w:pPr>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1.6.6除前述约定外，除不可抗力外，任何一方未能履行本合同约定的义务，对方当事人均有权要求继续履行、采取补救措施或者赔偿损失等，且对方当事人行使的任何权利救济方式均不视为其放弃了其他法定或者约定的权利救济方式；</w:t>
      </w:r>
    </w:p>
    <w:p w14:paraId="65DFA59B">
      <w:pPr>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1.6.7如果出现政府采购监督管理部门在处理投诉事项期间，书面通知甲方暂停采购活动的情形，或者询问或质疑事项可能影响中标结果的，导致甲方中止履行合同的情形，均不视为甲方违约。</w:t>
      </w:r>
    </w:p>
    <w:p w14:paraId="2E51E84F">
      <w:pPr>
        <w:spacing w:line="360" w:lineRule="auto"/>
        <w:ind w:firstLine="482" w:firstLineChars="200"/>
        <w:rPr>
          <w:rFonts w:hint="eastAsia" w:ascii="宋体" w:hAnsi="宋体" w:eastAsia="宋体" w:cs="宋体"/>
          <w:b/>
          <w:color w:val="auto"/>
          <w:sz w:val="24"/>
          <w:highlight w:val="none"/>
        </w:rPr>
      </w:pPr>
      <w:r>
        <w:rPr>
          <w:rFonts w:hint="eastAsia" w:ascii="宋体" w:hAnsi="宋体" w:eastAsia="宋体" w:cs="宋体"/>
          <w:b/>
          <w:color w:val="auto"/>
          <w:sz w:val="24"/>
          <w:highlight w:val="none"/>
        </w:rPr>
        <w:t>1.7合同争议的解决</w:t>
      </w:r>
    </w:p>
    <w:p w14:paraId="24A932B7">
      <w:pPr>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本合同履行过程中发生的任何争议，双方当事人均应通过友好协商的方式和解或者调解解决；不愿和解、调解或者和解、调解不成的，可以选择下列第种方式解决：</w:t>
      </w:r>
    </w:p>
    <w:p w14:paraId="764AA47E">
      <w:pPr>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1.7.1将争议提交</w:t>
      </w:r>
      <w:r>
        <w:rPr>
          <w:rFonts w:hint="eastAsia" w:ascii="宋体" w:hAnsi="宋体" w:eastAsia="宋体" w:cs="宋体"/>
          <w:color w:val="auto"/>
          <w:sz w:val="24"/>
          <w:highlight w:val="none"/>
          <w:u w:val="single"/>
        </w:rPr>
        <w:t>南宁市</w:t>
      </w:r>
      <w:r>
        <w:rPr>
          <w:rFonts w:hint="eastAsia" w:ascii="宋体" w:hAnsi="宋体" w:eastAsia="宋体" w:cs="宋体"/>
          <w:color w:val="auto"/>
          <w:sz w:val="24"/>
          <w:highlight w:val="none"/>
        </w:rPr>
        <w:t>仲裁委员会依申请仲裁时其现行有效的仲裁规则裁决；</w:t>
      </w:r>
    </w:p>
    <w:p w14:paraId="532E2841">
      <w:pPr>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1.7.2向</w:t>
      </w:r>
      <w:r>
        <w:rPr>
          <w:rFonts w:hint="eastAsia" w:ascii="宋体" w:hAnsi="宋体" w:eastAsia="宋体" w:cs="宋体"/>
          <w:color w:val="auto"/>
          <w:sz w:val="24"/>
          <w:highlight w:val="none"/>
          <w:u w:val="single"/>
        </w:rPr>
        <w:t>甲方所在地有管辖权的</w:t>
      </w:r>
      <w:r>
        <w:rPr>
          <w:rFonts w:hint="eastAsia" w:ascii="宋体" w:hAnsi="宋体" w:eastAsia="宋体" w:cs="宋体"/>
          <w:color w:val="auto"/>
          <w:sz w:val="24"/>
          <w:highlight w:val="none"/>
        </w:rPr>
        <w:t>人民法院起诉。</w:t>
      </w:r>
    </w:p>
    <w:p w14:paraId="1528ADC2">
      <w:pPr>
        <w:spacing w:line="360" w:lineRule="auto"/>
        <w:ind w:firstLine="482" w:firstLineChars="200"/>
        <w:rPr>
          <w:rFonts w:hint="eastAsia" w:ascii="宋体" w:hAnsi="宋体" w:eastAsia="宋体" w:cs="宋体"/>
          <w:b/>
          <w:color w:val="auto"/>
          <w:sz w:val="24"/>
          <w:highlight w:val="none"/>
        </w:rPr>
      </w:pPr>
      <w:r>
        <w:rPr>
          <w:rFonts w:hint="eastAsia" w:ascii="宋体" w:hAnsi="宋体" w:eastAsia="宋体" w:cs="宋体"/>
          <w:b/>
          <w:color w:val="auto"/>
          <w:sz w:val="24"/>
          <w:highlight w:val="none"/>
        </w:rPr>
        <w:t>1.8合同生效</w:t>
      </w:r>
    </w:p>
    <w:p w14:paraId="5E6CA977">
      <w:pPr>
        <w:spacing w:line="360" w:lineRule="auto"/>
        <w:ind w:firstLine="480" w:firstLineChars="200"/>
        <w:rPr>
          <w:rFonts w:hint="eastAsia" w:ascii="宋体" w:hAnsi="宋体" w:eastAsia="宋体" w:cs="宋体"/>
          <w:b/>
          <w:color w:val="auto"/>
          <w:sz w:val="24"/>
          <w:highlight w:val="none"/>
        </w:rPr>
      </w:pPr>
      <w:r>
        <w:rPr>
          <w:rFonts w:hint="eastAsia" w:ascii="宋体" w:hAnsi="宋体" w:eastAsia="宋体" w:cs="宋体"/>
          <w:color w:val="auto"/>
          <w:sz w:val="24"/>
          <w:highlight w:val="none"/>
        </w:rPr>
        <w:t>本合同自双方当事人加盖有效电子公章时生效。</w:t>
      </w:r>
    </w:p>
    <w:p w14:paraId="54676B57">
      <w:pPr>
        <w:spacing w:line="360" w:lineRule="auto"/>
        <w:ind w:firstLine="200"/>
        <w:rPr>
          <w:rFonts w:hint="eastAsia" w:ascii="宋体" w:hAnsi="宋体" w:eastAsia="宋体" w:cs="宋体"/>
          <w:color w:val="auto"/>
          <w:sz w:val="24"/>
          <w:highlight w:val="none"/>
          <w:lang w:val="zh-CN"/>
        </w:rPr>
      </w:pPr>
      <w:r>
        <w:rPr>
          <w:rFonts w:hint="eastAsia" w:ascii="宋体" w:hAnsi="宋体" w:eastAsia="宋体" w:cs="宋体"/>
          <w:color w:val="auto"/>
          <w:sz w:val="24"/>
          <w:highlight w:val="none"/>
          <w:lang w:val="zh-CN"/>
        </w:rPr>
        <w:t>甲方：乙方：</w:t>
      </w:r>
    </w:p>
    <w:p w14:paraId="1E5A96C2">
      <w:pPr>
        <w:spacing w:line="360" w:lineRule="auto"/>
        <w:ind w:firstLine="200"/>
        <w:rPr>
          <w:rFonts w:hint="eastAsia" w:ascii="宋体" w:hAnsi="宋体" w:eastAsia="宋体" w:cs="宋体"/>
          <w:color w:val="auto"/>
          <w:sz w:val="24"/>
          <w:highlight w:val="none"/>
          <w:lang w:val="zh-CN"/>
        </w:rPr>
      </w:pPr>
      <w:r>
        <w:rPr>
          <w:rFonts w:hint="eastAsia" w:ascii="宋体" w:hAnsi="宋体" w:eastAsia="宋体" w:cs="宋体"/>
          <w:color w:val="auto"/>
          <w:sz w:val="24"/>
          <w:highlight w:val="none"/>
          <w:lang w:val="zh-CN"/>
        </w:rPr>
        <w:t>统一社会信用代码：统一社会信用代码或身份证号码：</w:t>
      </w:r>
    </w:p>
    <w:p w14:paraId="19593B53">
      <w:pPr>
        <w:spacing w:line="360" w:lineRule="auto"/>
        <w:ind w:firstLine="200"/>
        <w:rPr>
          <w:rFonts w:hint="eastAsia" w:ascii="宋体" w:hAnsi="宋体" w:eastAsia="宋体" w:cs="宋体"/>
          <w:color w:val="auto"/>
          <w:sz w:val="24"/>
          <w:highlight w:val="none"/>
          <w:lang w:val="zh-CN"/>
        </w:rPr>
      </w:pPr>
    </w:p>
    <w:p w14:paraId="6E1BDED8">
      <w:pPr>
        <w:spacing w:line="360" w:lineRule="auto"/>
        <w:ind w:firstLine="200"/>
        <w:rPr>
          <w:rFonts w:hint="eastAsia" w:ascii="宋体" w:hAnsi="宋体" w:eastAsia="宋体" w:cs="宋体"/>
          <w:color w:val="auto"/>
          <w:sz w:val="24"/>
          <w:highlight w:val="none"/>
          <w:lang w:val="zh-CN"/>
        </w:rPr>
      </w:pPr>
      <w:r>
        <w:rPr>
          <w:rFonts w:hint="eastAsia" w:ascii="宋体" w:hAnsi="宋体" w:eastAsia="宋体" w:cs="宋体"/>
          <w:color w:val="auto"/>
          <w:sz w:val="24"/>
          <w:highlight w:val="none"/>
          <w:lang w:val="zh-CN"/>
        </w:rPr>
        <w:t>住所：住所：</w:t>
      </w:r>
    </w:p>
    <w:p w14:paraId="344D0332">
      <w:pPr>
        <w:spacing w:line="360" w:lineRule="auto"/>
        <w:ind w:firstLine="200"/>
        <w:rPr>
          <w:rFonts w:hint="eastAsia" w:ascii="宋体" w:hAnsi="宋体" w:eastAsia="宋体" w:cs="宋体"/>
          <w:color w:val="auto"/>
          <w:sz w:val="24"/>
          <w:highlight w:val="none"/>
          <w:lang w:val="zh-CN"/>
        </w:rPr>
      </w:pPr>
      <w:r>
        <w:rPr>
          <w:rFonts w:hint="eastAsia" w:ascii="宋体" w:hAnsi="宋体" w:eastAsia="宋体" w:cs="宋体"/>
          <w:color w:val="auto"/>
          <w:sz w:val="24"/>
          <w:highlight w:val="none"/>
          <w:lang w:val="zh-CN"/>
        </w:rPr>
        <w:t>法定代表人或法定代表人</w:t>
      </w:r>
    </w:p>
    <w:p w14:paraId="7CA7ECD7">
      <w:pPr>
        <w:spacing w:line="360" w:lineRule="auto"/>
        <w:ind w:firstLine="200"/>
        <w:rPr>
          <w:rFonts w:hint="eastAsia" w:ascii="宋体" w:hAnsi="宋体" w:eastAsia="宋体" w:cs="宋体"/>
          <w:color w:val="auto"/>
          <w:sz w:val="24"/>
          <w:highlight w:val="none"/>
          <w:lang w:val="zh-CN"/>
        </w:rPr>
      </w:pPr>
      <w:r>
        <w:rPr>
          <w:rFonts w:hint="eastAsia" w:ascii="宋体" w:hAnsi="宋体" w:eastAsia="宋体" w:cs="宋体"/>
          <w:color w:val="auto"/>
          <w:sz w:val="24"/>
          <w:highlight w:val="none"/>
          <w:lang w:val="zh-CN"/>
        </w:rPr>
        <w:t>授权代表（签字）：或授权代表（签字）:</w:t>
      </w:r>
    </w:p>
    <w:p w14:paraId="2F5E3455">
      <w:pPr>
        <w:spacing w:line="360" w:lineRule="auto"/>
        <w:ind w:firstLine="200"/>
        <w:rPr>
          <w:rFonts w:hint="eastAsia" w:ascii="宋体" w:hAnsi="宋体" w:eastAsia="宋体" w:cs="宋体"/>
          <w:color w:val="auto"/>
          <w:sz w:val="24"/>
          <w:highlight w:val="none"/>
          <w:lang w:val="zh-CN"/>
        </w:rPr>
      </w:pPr>
      <w:r>
        <w:rPr>
          <w:rFonts w:hint="eastAsia" w:ascii="宋体" w:hAnsi="宋体" w:eastAsia="宋体" w:cs="宋体"/>
          <w:color w:val="auto"/>
          <w:sz w:val="24"/>
          <w:highlight w:val="none"/>
          <w:lang w:val="zh-CN"/>
        </w:rPr>
        <w:t>联系人：联系人：</w:t>
      </w:r>
    </w:p>
    <w:p w14:paraId="43E4742A">
      <w:pPr>
        <w:spacing w:line="360" w:lineRule="auto"/>
        <w:ind w:firstLine="200"/>
        <w:rPr>
          <w:rFonts w:hint="eastAsia" w:ascii="宋体" w:hAnsi="宋体" w:eastAsia="宋体" w:cs="宋体"/>
          <w:color w:val="auto"/>
          <w:sz w:val="24"/>
          <w:highlight w:val="none"/>
          <w:lang w:val="zh-CN"/>
        </w:rPr>
      </w:pPr>
      <w:r>
        <w:rPr>
          <w:rFonts w:hint="eastAsia" w:ascii="宋体" w:hAnsi="宋体" w:eastAsia="宋体" w:cs="宋体"/>
          <w:color w:val="auto"/>
          <w:sz w:val="24"/>
          <w:highlight w:val="none"/>
          <w:lang w:val="zh-CN"/>
        </w:rPr>
        <w:t>约定送达地址：约定送达地址：</w:t>
      </w:r>
    </w:p>
    <w:p w14:paraId="4D6B718B">
      <w:pPr>
        <w:spacing w:line="360" w:lineRule="auto"/>
        <w:ind w:firstLine="200"/>
        <w:rPr>
          <w:rFonts w:hint="eastAsia" w:ascii="宋体" w:hAnsi="宋体" w:eastAsia="宋体" w:cs="宋体"/>
          <w:color w:val="auto"/>
          <w:sz w:val="24"/>
          <w:highlight w:val="none"/>
          <w:lang w:val="zh-CN"/>
        </w:rPr>
      </w:pPr>
      <w:r>
        <w:rPr>
          <w:rFonts w:hint="eastAsia" w:ascii="宋体" w:hAnsi="宋体" w:eastAsia="宋体" w:cs="宋体"/>
          <w:color w:val="auto"/>
          <w:sz w:val="24"/>
          <w:highlight w:val="none"/>
          <w:lang w:val="zh-CN"/>
        </w:rPr>
        <w:t>邮政编码：邮政编码：</w:t>
      </w:r>
    </w:p>
    <w:p w14:paraId="288A5C47">
      <w:pPr>
        <w:spacing w:line="360" w:lineRule="auto"/>
        <w:ind w:firstLine="200"/>
        <w:rPr>
          <w:rFonts w:hint="eastAsia" w:ascii="宋体" w:hAnsi="宋体" w:eastAsia="宋体" w:cs="宋体"/>
          <w:color w:val="auto"/>
          <w:sz w:val="24"/>
          <w:highlight w:val="none"/>
          <w:lang w:val="zh-CN"/>
        </w:rPr>
      </w:pPr>
      <w:r>
        <w:rPr>
          <w:rFonts w:hint="eastAsia" w:ascii="宋体" w:hAnsi="宋体" w:eastAsia="宋体" w:cs="宋体"/>
          <w:color w:val="auto"/>
          <w:sz w:val="24"/>
          <w:highlight w:val="none"/>
          <w:lang w:val="zh-CN"/>
        </w:rPr>
        <w:t>电话:电话:</w:t>
      </w:r>
    </w:p>
    <w:p w14:paraId="4DAEA8F5">
      <w:pPr>
        <w:spacing w:line="360" w:lineRule="auto"/>
        <w:ind w:firstLine="200"/>
        <w:rPr>
          <w:rFonts w:hint="eastAsia" w:ascii="宋体" w:hAnsi="宋体" w:eastAsia="宋体" w:cs="宋体"/>
          <w:color w:val="auto"/>
          <w:sz w:val="24"/>
          <w:highlight w:val="none"/>
          <w:lang w:val="zh-CN"/>
        </w:rPr>
      </w:pPr>
      <w:r>
        <w:rPr>
          <w:rFonts w:hint="eastAsia" w:ascii="宋体" w:hAnsi="宋体" w:eastAsia="宋体" w:cs="宋体"/>
          <w:color w:val="auto"/>
          <w:sz w:val="24"/>
          <w:highlight w:val="none"/>
          <w:lang w:val="zh-CN"/>
        </w:rPr>
        <w:t>传真:传真:</w:t>
      </w:r>
    </w:p>
    <w:p w14:paraId="2E46C9B1">
      <w:pPr>
        <w:spacing w:line="360" w:lineRule="auto"/>
        <w:ind w:firstLine="200"/>
        <w:rPr>
          <w:rFonts w:hint="eastAsia" w:ascii="宋体" w:hAnsi="宋体" w:eastAsia="宋体" w:cs="宋体"/>
          <w:color w:val="auto"/>
          <w:sz w:val="24"/>
          <w:highlight w:val="none"/>
        </w:rPr>
      </w:pPr>
      <w:r>
        <w:rPr>
          <w:rFonts w:hint="eastAsia" w:ascii="宋体" w:hAnsi="宋体" w:eastAsia="宋体" w:cs="宋体"/>
          <w:color w:val="auto"/>
          <w:sz w:val="24"/>
          <w:highlight w:val="none"/>
          <w:lang w:val="zh-CN"/>
        </w:rPr>
        <w:t>电子邮箱：电子邮箱：</w:t>
      </w:r>
    </w:p>
    <w:p w14:paraId="3512AAAE">
      <w:pPr>
        <w:spacing w:line="360" w:lineRule="auto"/>
        <w:ind w:firstLine="200"/>
        <w:rPr>
          <w:rFonts w:hint="eastAsia" w:ascii="宋体" w:hAnsi="宋体" w:eastAsia="宋体" w:cs="宋体"/>
          <w:color w:val="auto"/>
          <w:sz w:val="24"/>
          <w:highlight w:val="none"/>
          <w:lang w:eastAsia="zh-CN"/>
        </w:rPr>
      </w:pPr>
      <w:r>
        <w:rPr>
          <w:rFonts w:hint="eastAsia" w:ascii="宋体" w:hAnsi="宋体" w:eastAsia="宋体" w:cs="宋体"/>
          <w:color w:val="auto"/>
          <w:sz w:val="24"/>
          <w:highlight w:val="none"/>
        </w:rPr>
        <w:t>开户银行：开户银行：</w:t>
      </w:r>
    </w:p>
    <w:p w14:paraId="1589D4CB">
      <w:pPr>
        <w:spacing w:line="360" w:lineRule="auto"/>
        <w:ind w:firstLine="200"/>
        <w:rPr>
          <w:rFonts w:hint="eastAsia" w:ascii="宋体" w:hAnsi="宋体" w:eastAsia="宋体" w:cs="宋体"/>
          <w:color w:val="auto"/>
          <w:sz w:val="24"/>
          <w:highlight w:val="none"/>
          <w:lang w:eastAsia="zh-CN"/>
        </w:rPr>
      </w:pPr>
      <w:r>
        <w:rPr>
          <w:rFonts w:hint="eastAsia" w:ascii="宋体" w:hAnsi="宋体" w:eastAsia="宋体" w:cs="宋体"/>
          <w:color w:val="auto"/>
          <w:sz w:val="24"/>
          <w:highlight w:val="none"/>
        </w:rPr>
        <w:t>开户名称：开户名称：</w:t>
      </w:r>
    </w:p>
    <w:p w14:paraId="3616D7A6">
      <w:pPr>
        <w:spacing w:line="360" w:lineRule="auto"/>
        <w:ind w:firstLine="200"/>
        <w:rPr>
          <w:rFonts w:hint="eastAsia" w:ascii="宋体" w:hAnsi="宋体" w:eastAsia="宋体" w:cs="宋体"/>
          <w:color w:val="auto"/>
          <w:sz w:val="24"/>
          <w:highlight w:val="none"/>
        </w:rPr>
      </w:pPr>
      <w:r>
        <w:rPr>
          <w:rFonts w:hint="eastAsia" w:ascii="宋体" w:hAnsi="宋体" w:eastAsia="宋体" w:cs="宋体"/>
          <w:color w:val="auto"/>
          <w:sz w:val="24"/>
          <w:highlight w:val="none"/>
        </w:rPr>
        <w:t>开户账号：开户账号：</w:t>
      </w:r>
    </w:p>
    <w:p w14:paraId="557FA186">
      <w:pPr>
        <w:spacing w:line="360" w:lineRule="auto"/>
        <w:ind w:firstLine="200"/>
        <w:jc w:val="center"/>
        <w:rPr>
          <w:rFonts w:hint="eastAsia" w:ascii="宋体" w:hAnsi="宋体" w:eastAsia="宋体" w:cs="宋体"/>
          <w:b/>
          <w:color w:val="auto"/>
          <w:sz w:val="28"/>
          <w:szCs w:val="28"/>
          <w:highlight w:val="none"/>
        </w:rPr>
      </w:pPr>
      <w:r>
        <w:rPr>
          <w:rFonts w:hint="eastAsia" w:ascii="宋体" w:hAnsi="宋体" w:eastAsia="宋体" w:cs="宋体"/>
          <w:b/>
          <w:color w:val="auto"/>
          <w:highlight w:val="none"/>
        </w:rPr>
        <w:br w:type="page"/>
      </w:r>
      <w:r>
        <w:rPr>
          <w:rFonts w:hint="eastAsia" w:ascii="宋体" w:hAnsi="宋体" w:eastAsia="宋体" w:cs="宋体"/>
          <w:b/>
          <w:color w:val="auto"/>
          <w:sz w:val="28"/>
          <w:szCs w:val="28"/>
          <w:highlight w:val="none"/>
        </w:rPr>
        <w:t>第二部分合同一般条款</w:t>
      </w:r>
    </w:p>
    <w:p w14:paraId="3E4BB40B">
      <w:pPr>
        <w:spacing w:line="360" w:lineRule="auto"/>
        <w:ind w:firstLine="482" w:firstLineChars="200"/>
        <w:rPr>
          <w:rFonts w:hint="eastAsia" w:ascii="宋体" w:hAnsi="宋体" w:eastAsia="宋体" w:cs="宋体"/>
          <w:b/>
          <w:color w:val="auto"/>
          <w:sz w:val="24"/>
          <w:highlight w:val="none"/>
        </w:rPr>
      </w:pPr>
      <w:r>
        <w:rPr>
          <w:rFonts w:hint="eastAsia" w:ascii="宋体" w:hAnsi="宋体" w:eastAsia="宋体" w:cs="宋体"/>
          <w:b/>
          <w:color w:val="auto"/>
          <w:sz w:val="24"/>
          <w:highlight w:val="none"/>
        </w:rPr>
        <w:t>2.1定义</w:t>
      </w:r>
    </w:p>
    <w:p w14:paraId="41AC451E">
      <w:pPr>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本合同中的下列词语应按以下内容进行解释：</w:t>
      </w:r>
    </w:p>
    <w:p w14:paraId="3C177CA4">
      <w:pPr>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2.1.1“合同”系指采购人和中标人签订的载明双方当事人所达成的协议，并包括所有的附件、附录和构成合同的其他文件。</w:t>
      </w:r>
    </w:p>
    <w:p w14:paraId="6C60E669">
      <w:pPr>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2.1.2“合同价”系指根据合同约定，中标人在完全履行合同义务后，采购人应支付给中标人的价格。</w:t>
      </w:r>
    </w:p>
    <w:p w14:paraId="66BB0F66">
      <w:pPr>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2.1.3“标的物”系指中标人根据合同约定应向采购人交付的一切各种形态和种类的货物、服务和工程，包括但不限于原材料、燃料、设备、机械、仪表、备件、计算机软件、信息化系统、信息化维保、物业服务、产品等，并包括工具、手册等其他相关资料。</w:t>
      </w:r>
    </w:p>
    <w:p w14:paraId="168A08E5">
      <w:pPr>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2.1.4“甲方”系指与中标人签署合同的采购人；采购人委托采购机构代表其与乙方签订合同的，采购人的授权委托书作为合同附件。</w:t>
      </w:r>
    </w:p>
    <w:p w14:paraId="195D608E">
      <w:pPr>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2.1.5“乙方”系指根据合同约定交付标的物的中标人；两个以上的自然人、法人或者其他组织组成一个联合体，以一个供应商的身份共同参加政府采购的，联合体各方均应为乙方或者与乙方相同地位的合同当事人，并就合同约定的事项对甲方承担连带责任。</w:t>
      </w:r>
    </w:p>
    <w:p w14:paraId="601213F2">
      <w:pPr>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2.1.6“现场”系指合同约定标的物将要运至或者实施或者安装的地点。</w:t>
      </w:r>
    </w:p>
    <w:p w14:paraId="4EA75727">
      <w:pPr>
        <w:spacing w:line="360" w:lineRule="auto"/>
        <w:ind w:firstLine="482" w:firstLineChars="200"/>
        <w:rPr>
          <w:rFonts w:hint="eastAsia" w:ascii="宋体" w:hAnsi="宋体" w:eastAsia="宋体" w:cs="宋体"/>
          <w:b/>
          <w:color w:val="auto"/>
          <w:sz w:val="24"/>
          <w:highlight w:val="none"/>
        </w:rPr>
      </w:pPr>
      <w:r>
        <w:rPr>
          <w:rFonts w:hint="eastAsia" w:ascii="宋体" w:hAnsi="宋体" w:eastAsia="宋体" w:cs="宋体"/>
          <w:b/>
          <w:color w:val="auto"/>
          <w:sz w:val="24"/>
          <w:highlight w:val="none"/>
        </w:rPr>
        <w:t>2.2技术规范</w:t>
      </w:r>
    </w:p>
    <w:p w14:paraId="4E8C0887">
      <w:pPr>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标的物所应遵守的技术规范应与采购文件规定的技术规范和技术规范附件(如果有的话)及其技术规范偏差表(如果被甲方接受的话)相一致；如果采购文件中没有技术规范的相应说明，应以国家有关部门最新颁布的相应标准和规范为准。</w:t>
      </w:r>
    </w:p>
    <w:p w14:paraId="5C3D1205">
      <w:pPr>
        <w:spacing w:line="360" w:lineRule="auto"/>
        <w:ind w:firstLine="482" w:firstLineChars="200"/>
        <w:rPr>
          <w:rFonts w:hint="eastAsia" w:ascii="宋体" w:hAnsi="宋体" w:eastAsia="宋体" w:cs="宋体"/>
          <w:b/>
          <w:color w:val="auto"/>
          <w:sz w:val="24"/>
          <w:highlight w:val="none"/>
        </w:rPr>
      </w:pPr>
      <w:r>
        <w:rPr>
          <w:rFonts w:hint="eastAsia" w:ascii="宋体" w:hAnsi="宋体" w:eastAsia="宋体" w:cs="宋体"/>
          <w:b/>
          <w:color w:val="auto"/>
          <w:sz w:val="24"/>
          <w:highlight w:val="none"/>
        </w:rPr>
        <w:t>2.3知识产权</w:t>
      </w:r>
    </w:p>
    <w:p w14:paraId="5A87217C">
      <w:pPr>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2.3.1乙方应保证甲方在使用该标的物或其任何一部分时不受任何第三方提出的侵犯其著作权、商标权、专利权等知识产权方面的起诉；如果任何第三方提出侵权指控，乙方须与该第三方交涉并承担由此发生的一切责任、费用和赔偿；</w:t>
      </w:r>
    </w:p>
    <w:p w14:paraId="19776BBE">
      <w:pPr>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2.3.2具有知识产权的计算机软件等标的物的知识产权归属，详见</w:t>
      </w:r>
      <w:r>
        <w:rPr>
          <w:rFonts w:hint="eastAsia" w:ascii="宋体" w:hAnsi="宋体" w:eastAsia="宋体" w:cs="宋体"/>
          <w:b/>
          <w:i/>
          <w:color w:val="auto"/>
          <w:sz w:val="24"/>
          <w:highlight w:val="none"/>
          <w:u w:val="single"/>
        </w:rPr>
        <w:t>合同专用条款</w:t>
      </w:r>
      <w:r>
        <w:rPr>
          <w:rFonts w:hint="eastAsia" w:ascii="宋体" w:hAnsi="宋体" w:eastAsia="宋体" w:cs="宋体"/>
          <w:color w:val="auto"/>
          <w:sz w:val="24"/>
          <w:highlight w:val="none"/>
        </w:rPr>
        <w:t>。</w:t>
      </w:r>
    </w:p>
    <w:p w14:paraId="59DA7B38">
      <w:pPr>
        <w:spacing w:line="360" w:lineRule="auto"/>
        <w:ind w:firstLine="482" w:firstLineChars="200"/>
        <w:rPr>
          <w:rFonts w:hint="eastAsia" w:ascii="宋体" w:hAnsi="宋体" w:eastAsia="宋体" w:cs="宋体"/>
          <w:b/>
          <w:color w:val="auto"/>
          <w:sz w:val="24"/>
          <w:highlight w:val="none"/>
        </w:rPr>
      </w:pPr>
      <w:r>
        <w:rPr>
          <w:rFonts w:hint="eastAsia" w:ascii="宋体" w:hAnsi="宋体" w:eastAsia="宋体" w:cs="宋体"/>
          <w:b/>
          <w:color w:val="auto"/>
          <w:sz w:val="24"/>
          <w:highlight w:val="none"/>
        </w:rPr>
        <w:t>2.4包装和装运</w:t>
      </w:r>
    </w:p>
    <w:p w14:paraId="58EBC4D2">
      <w:pPr>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2.4.1除</w:t>
      </w:r>
      <w:r>
        <w:rPr>
          <w:rFonts w:hint="eastAsia" w:ascii="宋体" w:hAnsi="宋体" w:eastAsia="宋体" w:cs="宋体"/>
          <w:b/>
          <w:i/>
          <w:color w:val="auto"/>
          <w:sz w:val="24"/>
          <w:highlight w:val="none"/>
          <w:u w:val="single"/>
        </w:rPr>
        <w:t>合同专用条款</w:t>
      </w:r>
      <w:r>
        <w:rPr>
          <w:rFonts w:hint="eastAsia" w:ascii="宋体" w:hAnsi="宋体" w:eastAsia="宋体" w:cs="宋体"/>
          <w:color w:val="auto"/>
          <w:sz w:val="24"/>
          <w:highlight w:val="none"/>
        </w:rPr>
        <w:t>另有约定外,乙方交付的全部标的物,均应采用本行业通用的方式进行包装，没有通用方式的，应当采取足以保护标的物的包装方式，且该包装应符合国家有关包装的法律、法规的规定。如有必要，包装应适用于远距离运输、防潮、防震、防锈和防粗暴装卸，确保标的物安全无损地运抵现场。由于包装不善所引起的标的物锈蚀、损坏和损失等一切风险均由乙方承担。</w:t>
      </w:r>
    </w:p>
    <w:p w14:paraId="4A198099">
      <w:pPr>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2.4.2装运标的物的要求和通知，详见</w:t>
      </w:r>
      <w:r>
        <w:rPr>
          <w:rFonts w:hint="eastAsia" w:ascii="宋体" w:hAnsi="宋体" w:eastAsia="宋体" w:cs="宋体"/>
          <w:b/>
          <w:i/>
          <w:color w:val="auto"/>
          <w:sz w:val="24"/>
          <w:highlight w:val="none"/>
          <w:u w:val="single"/>
        </w:rPr>
        <w:t>合同专用条款</w:t>
      </w:r>
      <w:r>
        <w:rPr>
          <w:rFonts w:hint="eastAsia" w:ascii="宋体" w:hAnsi="宋体" w:eastAsia="宋体" w:cs="宋体"/>
          <w:color w:val="auto"/>
          <w:sz w:val="24"/>
          <w:highlight w:val="none"/>
        </w:rPr>
        <w:t>。</w:t>
      </w:r>
    </w:p>
    <w:p w14:paraId="2E89420F">
      <w:pPr>
        <w:spacing w:line="360" w:lineRule="auto"/>
        <w:ind w:firstLine="482" w:firstLineChars="200"/>
        <w:rPr>
          <w:rFonts w:hint="eastAsia" w:ascii="宋体" w:hAnsi="宋体" w:eastAsia="宋体" w:cs="宋体"/>
          <w:b/>
          <w:color w:val="auto"/>
          <w:sz w:val="24"/>
          <w:highlight w:val="none"/>
        </w:rPr>
      </w:pPr>
      <w:r>
        <w:rPr>
          <w:rFonts w:hint="eastAsia" w:ascii="宋体" w:hAnsi="宋体" w:eastAsia="宋体" w:cs="宋体"/>
          <w:b/>
          <w:color w:val="auto"/>
          <w:sz w:val="24"/>
          <w:highlight w:val="none"/>
        </w:rPr>
        <w:t>2.5履约检查和问题反馈</w:t>
      </w:r>
    </w:p>
    <w:p w14:paraId="36410C2C">
      <w:pPr>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2.5.1甲方有权在其认为必要时，对乙方是否能够按照合同约定交付标的物进行履约检查，以确保乙方所交付的标的物能够依约满足甲方之项目需求，但不得因履约检查妨碍乙方的正常工作，乙方应予积极配合；</w:t>
      </w:r>
    </w:p>
    <w:p w14:paraId="0E4257EE">
      <w:pPr>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2.5.2合同履行期间，甲方有权将履行过程中出现的问题反馈给乙方，双方当事人应以书面形式约定需要完善和改进的内容。</w:t>
      </w:r>
    </w:p>
    <w:p w14:paraId="54CB2134">
      <w:pPr>
        <w:spacing w:line="360" w:lineRule="auto"/>
        <w:ind w:firstLine="482" w:firstLineChars="200"/>
        <w:rPr>
          <w:rFonts w:hint="eastAsia" w:ascii="宋体" w:hAnsi="宋体" w:eastAsia="宋体" w:cs="宋体"/>
          <w:b/>
          <w:color w:val="auto"/>
          <w:sz w:val="24"/>
          <w:highlight w:val="none"/>
        </w:rPr>
      </w:pPr>
      <w:r>
        <w:rPr>
          <w:rFonts w:hint="eastAsia" w:ascii="宋体" w:hAnsi="宋体" w:eastAsia="宋体" w:cs="宋体"/>
          <w:b/>
          <w:color w:val="auto"/>
          <w:sz w:val="24"/>
          <w:highlight w:val="none"/>
        </w:rPr>
        <w:t>2.6结算方式和付款条件</w:t>
      </w:r>
    </w:p>
    <w:p w14:paraId="552B7C62">
      <w:pPr>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详见</w:t>
      </w:r>
      <w:r>
        <w:rPr>
          <w:rFonts w:hint="eastAsia" w:ascii="宋体" w:hAnsi="宋体" w:eastAsia="宋体" w:cs="宋体"/>
          <w:b/>
          <w:i/>
          <w:color w:val="auto"/>
          <w:sz w:val="24"/>
          <w:highlight w:val="none"/>
          <w:u w:val="single"/>
        </w:rPr>
        <w:t>合同专用条款</w:t>
      </w:r>
      <w:r>
        <w:rPr>
          <w:rFonts w:hint="eastAsia" w:ascii="宋体" w:hAnsi="宋体" w:eastAsia="宋体" w:cs="宋体"/>
          <w:color w:val="auto"/>
          <w:sz w:val="24"/>
          <w:highlight w:val="none"/>
        </w:rPr>
        <w:t>。</w:t>
      </w:r>
    </w:p>
    <w:p w14:paraId="204C3DF2">
      <w:pPr>
        <w:spacing w:line="360" w:lineRule="auto"/>
        <w:ind w:firstLine="482" w:firstLineChars="200"/>
        <w:rPr>
          <w:rFonts w:hint="eastAsia" w:ascii="宋体" w:hAnsi="宋体" w:eastAsia="宋体" w:cs="宋体"/>
          <w:b/>
          <w:color w:val="auto"/>
          <w:sz w:val="24"/>
          <w:highlight w:val="none"/>
        </w:rPr>
      </w:pPr>
      <w:r>
        <w:rPr>
          <w:rFonts w:hint="eastAsia" w:ascii="宋体" w:hAnsi="宋体" w:eastAsia="宋体" w:cs="宋体"/>
          <w:b/>
          <w:color w:val="auto"/>
          <w:sz w:val="24"/>
          <w:highlight w:val="none"/>
        </w:rPr>
        <w:t>2.7技术资料和保密义务</w:t>
      </w:r>
    </w:p>
    <w:p w14:paraId="16A0129F">
      <w:pPr>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2.7.1乙方有权依据合同约定和项目需要，向甲方了解有关情况，调阅有关资料等，甲方应予积极配合；</w:t>
      </w:r>
    </w:p>
    <w:p w14:paraId="643F7704">
      <w:pPr>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2.7.2乙方有义务妥善保管和保护由甲方提供的前款信息和资料等；</w:t>
      </w:r>
    </w:p>
    <w:p w14:paraId="32F5892C">
      <w:pPr>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2.7.3除非依照法律规定或者对方当事人的书面同意，任何一方均应保证不向任何第三方提供或披露有关合同的或者履行合同过程中知悉的对方当事人任何未公开的信息和资料，包括但不限于技术情报、技术资料、商业秘密和商业信息等，并采取一切合理和必要措施及方式防止任何第三方接触到对方当事人的上述保密信息和资料。</w:t>
      </w:r>
    </w:p>
    <w:p w14:paraId="03B83B85">
      <w:pPr>
        <w:spacing w:line="360" w:lineRule="auto"/>
        <w:ind w:firstLine="482" w:firstLineChars="200"/>
        <w:rPr>
          <w:rFonts w:hint="eastAsia" w:ascii="宋体" w:hAnsi="宋体" w:eastAsia="宋体" w:cs="宋体"/>
          <w:b/>
          <w:color w:val="auto"/>
          <w:sz w:val="24"/>
          <w:highlight w:val="none"/>
        </w:rPr>
      </w:pPr>
      <w:r>
        <w:rPr>
          <w:rFonts w:hint="eastAsia" w:ascii="宋体" w:hAnsi="宋体" w:eastAsia="宋体" w:cs="宋体"/>
          <w:b/>
          <w:color w:val="auto"/>
          <w:sz w:val="24"/>
          <w:highlight w:val="none"/>
        </w:rPr>
        <w:t>2.8质量保证</w:t>
      </w:r>
    </w:p>
    <w:p w14:paraId="47441C3F">
      <w:pPr>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2.8.1乙方应建立和完善履行合同的内部质量保证体系，并提供相关内部规章制度给甲方，以便甲方进行监督检查；</w:t>
      </w:r>
    </w:p>
    <w:p w14:paraId="5296BC0E">
      <w:pPr>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2.8.2乙方应保证履行合同的人员数量和素质、软件和硬件设备的配置、场地、环境和设施等满足全面履行合同的要求，并应接受甲方的监督检查。</w:t>
      </w:r>
    </w:p>
    <w:p w14:paraId="614CE059">
      <w:pPr>
        <w:spacing w:line="360" w:lineRule="auto"/>
        <w:ind w:firstLine="480" w:firstLineChars="200"/>
        <w:rPr>
          <w:rFonts w:hint="eastAsia" w:ascii="宋体" w:hAnsi="宋体" w:eastAsia="宋体" w:cs="宋体"/>
          <w:color w:val="auto"/>
          <w:kern w:val="0"/>
          <w:sz w:val="24"/>
          <w:highlight w:val="none"/>
        </w:rPr>
      </w:pPr>
      <w:r>
        <w:rPr>
          <w:rFonts w:hint="eastAsia" w:ascii="宋体" w:hAnsi="宋体" w:eastAsia="宋体" w:cs="宋体"/>
          <w:color w:val="auto"/>
          <w:sz w:val="24"/>
          <w:highlight w:val="none"/>
        </w:rPr>
        <w:t>2.8.3乙方应确保项目技术人员的数量和水平与投标文件一致。未经甲方书面同意，乙方不得擅自更换投标文件中注明的项目经理和技术负责人。否则</w:t>
      </w:r>
      <w:r>
        <w:rPr>
          <w:rFonts w:hint="eastAsia" w:ascii="宋体" w:hAnsi="宋体" w:eastAsia="宋体" w:cs="宋体"/>
          <w:color w:val="auto"/>
          <w:kern w:val="0"/>
          <w:sz w:val="24"/>
          <w:highlight w:val="none"/>
        </w:rPr>
        <w:t>甲方有权放弃或终止合同，并没收履约保证金。</w:t>
      </w:r>
    </w:p>
    <w:p w14:paraId="59A5DA1F">
      <w:pPr>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2.8.4因乙方原因造成甲方其他系统不能正常运行，酿成重大事故（工作日系统中断一天以上）的，乙方应承担全部法律责任，并赔偿经济损失，赔偿金额为项目总价的（根据项目实际情况填写，一般为30%）。</w:t>
      </w:r>
    </w:p>
    <w:p w14:paraId="1CDED652">
      <w:pPr>
        <w:spacing w:line="360" w:lineRule="auto"/>
        <w:ind w:firstLine="482" w:firstLineChars="200"/>
        <w:rPr>
          <w:rFonts w:hint="eastAsia" w:ascii="宋体" w:hAnsi="宋体" w:eastAsia="宋体" w:cs="宋体"/>
          <w:b/>
          <w:color w:val="auto"/>
          <w:sz w:val="24"/>
          <w:highlight w:val="none"/>
        </w:rPr>
      </w:pPr>
      <w:r>
        <w:rPr>
          <w:rFonts w:hint="eastAsia" w:ascii="宋体" w:hAnsi="宋体" w:eastAsia="宋体" w:cs="宋体"/>
          <w:b/>
          <w:color w:val="auto"/>
          <w:sz w:val="24"/>
          <w:highlight w:val="none"/>
        </w:rPr>
        <w:t>2.9标的物的风险负担</w:t>
      </w:r>
    </w:p>
    <w:p w14:paraId="42BAA936">
      <w:pPr>
        <w:spacing w:line="360" w:lineRule="auto"/>
        <w:ind w:firstLine="480" w:firstLineChars="200"/>
        <w:rPr>
          <w:rFonts w:hint="eastAsia" w:ascii="宋体" w:hAnsi="宋体" w:eastAsia="宋体" w:cs="宋体"/>
          <w:b/>
          <w:color w:val="auto"/>
          <w:sz w:val="24"/>
          <w:highlight w:val="none"/>
        </w:rPr>
      </w:pPr>
      <w:r>
        <w:rPr>
          <w:rFonts w:hint="eastAsia" w:ascii="宋体" w:hAnsi="宋体" w:eastAsia="宋体" w:cs="宋体"/>
          <w:color w:val="auto"/>
          <w:sz w:val="24"/>
          <w:highlight w:val="none"/>
        </w:rPr>
        <w:t>标的物或者在途标的物或者交付给第一承运人后的标的物毁损、灭失的风险负担详见</w:t>
      </w:r>
      <w:r>
        <w:rPr>
          <w:rFonts w:hint="eastAsia" w:ascii="宋体" w:hAnsi="宋体" w:eastAsia="宋体" w:cs="宋体"/>
          <w:b/>
          <w:i/>
          <w:color w:val="auto"/>
          <w:sz w:val="24"/>
          <w:highlight w:val="none"/>
          <w:u w:val="single"/>
        </w:rPr>
        <w:t>合同专用条款</w:t>
      </w:r>
      <w:r>
        <w:rPr>
          <w:rFonts w:hint="eastAsia" w:ascii="宋体" w:hAnsi="宋体" w:eastAsia="宋体" w:cs="宋体"/>
          <w:color w:val="auto"/>
          <w:sz w:val="24"/>
          <w:highlight w:val="none"/>
        </w:rPr>
        <w:t>。</w:t>
      </w:r>
    </w:p>
    <w:p w14:paraId="3BB1E8C0">
      <w:pPr>
        <w:spacing w:line="360" w:lineRule="auto"/>
        <w:ind w:firstLine="482" w:firstLineChars="200"/>
        <w:rPr>
          <w:rFonts w:hint="eastAsia" w:ascii="宋体" w:hAnsi="宋体" w:eastAsia="宋体" w:cs="宋体"/>
          <w:b/>
          <w:color w:val="auto"/>
          <w:sz w:val="24"/>
          <w:highlight w:val="none"/>
        </w:rPr>
      </w:pPr>
      <w:r>
        <w:rPr>
          <w:rFonts w:hint="eastAsia" w:ascii="宋体" w:hAnsi="宋体" w:eastAsia="宋体" w:cs="宋体"/>
          <w:b/>
          <w:color w:val="auto"/>
          <w:sz w:val="24"/>
          <w:highlight w:val="none"/>
        </w:rPr>
        <w:t>2.10延迟交货/交付</w:t>
      </w:r>
    </w:p>
    <w:p w14:paraId="42B93AC2">
      <w:pPr>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在合同履行过程中，如果乙方遇到不能按时交付标的物的情况，应及时以书面形式将不能按时交付标的物的理由、预期延误时间通知甲方；甲方收到乙方通知后，认为其理由正当的，可以书面形式酌情同意乙方可以延长交货的具体时间。</w:t>
      </w:r>
    </w:p>
    <w:p w14:paraId="0CDAE018">
      <w:pPr>
        <w:spacing w:line="360" w:lineRule="auto"/>
        <w:ind w:firstLine="482" w:firstLineChars="200"/>
        <w:rPr>
          <w:rFonts w:hint="eastAsia" w:ascii="宋体" w:hAnsi="宋体" w:eastAsia="宋体" w:cs="宋体"/>
          <w:b/>
          <w:color w:val="auto"/>
          <w:sz w:val="24"/>
          <w:highlight w:val="none"/>
        </w:rPr>
      </w:pPr>
      <w:r>
        <w:rPr>
          <w:rFonts w:hint="eastAsia" w:ascii="宋体" w:hAnsi="宋体" w:eastAsia="宋体" w:cs="宋体"/>
          <w:b/>
          <w:color w:val="auto"/>
          <w:sz w:val="24"/>
          <w:highlight w:val="none"/>
        </w:rPr>
        <w:t>2.11合同变更</w:t>
      </w:r>
    </w:p>
    <w:p w14:paraId="6DF6FA1B">
      <w:pPr>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2.11.1双方当事人协商一致，可以签订书面补充合同的形式变更合同，但不得违背采购文件确定的事项。如果系追加与合同标的相同的标的物的，那么需经采购监督管理部门同意，且所有补充合同的采购金额不得超过原合同价的10%；</w:t>
      </w:r>
    </w:p>
    <w:p w14:paraId="1E1AAE0F">
      <w:pPr>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2.11.2合同继续履行将损害国家利益和社会公共利益的，双方当事人应当以书面形式变更合同。有过错的一方应当承担赔偿责任，双方当事人都有过错的，各自承担相应的责任。</w:t>
      </w:r>
    </w:p>
    <w:p w14:paraId="1D9CF59E">
      <w:pPr>
        <w:spacing w:line="360" w:lineRule="auto"/>
        <w:ind w:firstLine="482" w:firstLineChars="200"/>
        <w:rPr>
          <w:rFonts w:hint="eastAsia" w:ascii="宋体" w:hAnsi="宋体" w:eastAsia="宋体" w:cs="宋体"/>
          <w:b/>
          <w:color w:val="auto"/>
          <w:sz w:val="24"/>
          <w:highlight w:val="none"/>
        </w:rPr>
      </w:pPr>
      <w:r>
        <w:rPr>
          <w:rFonts w:hint="eastAsia" w:ascii="宋体" w:hAnsi="宋体" w:eastAsia="宋体" w:cs="宋体"/>
          <w:b/>
          <w:color w:val="auto"/>
          <w:sz w:val="24"/>
          <w:highlight w:val="none"/>
        </w:rPr>
        <w:t>2.12合同转让和分包</w:t>
      </w:r>
    </w:p>
    <w:p w14:paraId="535CCD02">
      <w:pPr>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合同的权利义务依法不得转让，但经甲方书面同意，乙方可以依法采取分包方式履行合同，即：依法可以将合同项下的部分非主体、非关键性工作分包给他人完成，接受分包的供应商应当具备相应的资格条件，并不得再次分包，且乙方应就分包项目向甲方负责，并与分包供应商就分包项目向甲方承担连带责任。</w:t>
      </w:r>
    </w:p>
    <w:p w14:paraId="7B323942">
      <w:pPr>
        <w:spacing w:line="360" w:lineRule="auto"/>
        <w:ind w:firstLine="482" w:firstLineChars="200"/>
        <w:rPr>
          <w:rFonts w:hint="eastAsia" w:ascii="宋体" w:hAnsi="宋体" w:eastAsia="宋体" w:cs="宋体"/>
          <w:b/>
          <w:color w:val="auto"/>
          <w:sz w:val="24"/>
          <w:highlight w:val="none"/>
        </w:rPr>
      </w:pPr>
      <w:r>
        <w:rPr>
          <w:rFonts w:hint="eastAsia" w:ascii="宋体" w:hAnsi="宋体" w:eastAsia="宋体" w:cs="宋体"/>
          <w:b/>
          <w:color w:val="auto"/>
          <w:sz w:val="24"/>
          <w:highlight w:val="none"/>
        </w:rPr>
        <w:t>2.13不可抗力</w:t>
      </w:r>
    </w:p>
    <w:p w14:paraId="2BDAA80E">
      <w:pPr>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2.13.1如果任何一方遭遇法律规定的不可抗力，致使合同履行受阻时，履行合同的期限应予延长，延长的期限应相当于不可抗力所影响的时间；</w:t>
      </w:r>
    </w:p>
    <w:p w14:paraId="7DC01304">
      <w:pPr>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2.13.2受不可抗力影响的一方在不可抗力发生后，应在</w:t>
      </w:r>
      <w:r>
        <w:rPr>
          <w:rFonts w:hint="eastAsia" w:ascii="宋体" w:hAnsi="宋体" w:eastAsia="宋体" w:cs="宋体"/>
          <w:b/>
          <w:i/>
          <w:color w:val="auto"/>
          <w:sz w:val="24"/>
          <w:highlight w:val="none"/>
          <w:u w:val="single"/>
        </w:rPr>
        <w:t>合同专用条款</w:t>
      </w:r>
      <w:r>
        <w:rPr>
          <w:rFonts w:hint="eastAsia" w:ascii="宋体" w:hAnsi="宋体" w:eastAsia="宋体" w:cs="宋体"/>
          <w:color w:val="auto"/>
          <w:sz w:val="24"/>
          <w:highlight w:val="none"/>
        </w:rPr>
        <w:t>约定时间内以书面形式通知对方当事人，并在</w:t>
      </w:r>
      <w:r>
        <w:rPr>
          <w:rFonts w:hint="eastAsia" w:ascii="宋体" w:hAnsi="宋体" w:eastAsia="宋体" w:cs="宋体"/>
          <w:b/>
          <w:i/>
          <w:color w:val="auto"/>
          <w:sz w:val="24"/>
          <w:highlight w:val="none"/>
          <w:u w:val="single"/>
        </w:rPr>
        <w:t>合同专用条款</w:t>
      </w:r>
      <w:r>
        <w:rPr>
          <w:rFonts w:hint="eastAsia" w:ascii="宋体" w:hAnsi="宋体" w:eastAsia="宋体" w:cs="宋体"/>
          <w:color w:val="auto"/>
          <w:sz w:val="24"/>
          <w:highlight w:val="none"/>
        </w:rPr>
        <w:t>约定时间内，将有关部门出具的证明文件送达对方当事人。</w:t>
      </w:r>
    </w:p>
    <w:p w14:paraId="45BE9700">
      <w:pPr>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2.13.3因不可抗力致使不能实现合同目的的，当事人可以解除合同；</w:t>
      </w:r>
    </w:p>
    <w:p w14:paraId="00F5ECCA">
      <w:pPr>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2.13.4因不可抗力致使合同有变更必要的，双方当事人应在</w:t>
      </w:r>
      <w:r>
        <w:rPr>
          <w:rFonts w:hint="eastAsia" w:ascii="宋体" w:hAnsi="宋体" w:eastAsia="宋体" w:cs="宋体"/>
          <w:b/>
          <w:i/>
          <w:color w:val="auto"/>
          <w:sz w:val="24"/>
          <w:highlight w:val="none"/>
          <w:u w:val="single"/>
        </w:rPr>
        <w:t>合同专用条款</w:t>
      </w:r>
      <w:r>
        <w:rPr>
          <w:rFonts w:hint="eastAsia" w:ascii="宋体" w:hAnsi="宋体" w:eastAsia="宋体" w:cs="宋体"/>
          <w:color w:val="auto"/>
          <w:sz w:val="24"/>
          <w:highlight w:val="none"/>
        </w:rPr>
        <w:t>约定时间内以书面形式变更合同；</w:t>
      </w:r>
    </w:p>
    <w:p w14:paraId="76FD5524">
      <w:pPr>
        <w:spacing w:line="360" w:lineRule="auto"/>
        <w:ind w:firstLine="482" w:firstLineChars="200"/>
        <w:rPr>
          <w:rFonts w:hint="eastAsia" w:ascii="宋体" w:hAnsi="宋体" w:eastAsia="宋体" w:cs="宋体"/>
          <w:b/>
          <w:color w:val="auto"/>
          <w:sz w:val="24"/>
          <w:highlight w:val="none"/>
        </w:rPr>
      </w:pPr>
      <w:r>
        <w:rPr>
          <w:rFonts w:hint="eastAsia" w:ascii="宋体" w:hAnsi="宋体" w:eastAsia="宋体" w:cs="宋体"/>
          <w:b/>
          <w:color w:val="auto"/>
          <w:sz w:val="24"/>
          <w:highlight w:val="none"/>
        </w:rPr>
        <w:t>2.14税费</w:t>
      </w:r>
    </w:p>
    <w:p w14:paraId="7E469626">
      <w:pPr>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与合同有关的一切税费，均按照中华人民共和国法律的相关规定执行。</w:t>
      </w:r>
    </w:p>
    <w:p w14:paraId="19334DAE">
      <w:pPr>
        <w:spacing w:line="360" w:lineRule="auto"/>
        <w:ind w:firstLine="482" w:firstLineChars="200"/>
        <w:rPr>
          <w:rFonts w:hint="eastAsia" w:ascii="宋体" w:hAnsi="宋体" w:eastAsia="宋体" w:cs="宋体"/>
          <w:b/>
          <w:color w:val="auto"/>
          <w:sz w:val="24"/>
          <w:highlight w:val="none"/>
        </w:rPr>
      </w:pPr>
      <w:r>
        <w:rPr>
          <w:rFonts w:hint="eastAsia" w:ascii="宋体" w:hAnsi="宋体" w:eastAsia="宋体" w:cs="宋体"/>
          <w:b/>
          <w:color w:val="auto"/>
          <w:sz w:val="24"/>
          <w:highlight w:val="none"/>
        </w:rPr>
        <w:t>2.15乙方破产</w:t>
      </w:r>
    </w:p>
    <w:p w14:paraId="43EDF1EE">
      <w:pPr>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如果乙方破产导致合同无法履行时，甲方可以书面形式通知乙方终止合同且不给予乙方任何补偿和赔偿，但合同的终止不损害或不影响甲方已经采取或将要采取的任何要求乙方支付违约金、赔偿损失等的行动或补救措施的权利。</w:t>
      </w:r>
    </w:p>
    <w:p w14:paraId="7E6591AD">
      <w:pPr>
        <w:spacing w:line="360" w:lineRule="auto"/>
        <w:ind w:firstLine="482" w:firstLineChars="200"/>
        <w:rPr>
          <w:rFonts w:hint="eastAsia" w:ascii="宋体" w:hAnsi="宋体" w:eastAsia="宋体" w:cs="宋体"/>
          <w:b/>
          <w:color w:val="auto"/>
          <w:sz w:val="24"/>
          <w:highlight w:val="none"/>
        </w:rPr>
      </w:pPr>
      <w:r>
        <w:rPr>
          <w:rFonts w:hint="eastAsia" w:ascii="宋体" w:hAnsi="宋体" w:eastAsia="宋体" w:cs="宋体"/>
          <w:b/>
          <w:color w:val="auto"/>
          <w:sz w:val="24"/>
          <w:highlight w:val="none"/>
        </w:rPr>
        <w:t>2.16合同中止、终止</w:t>
      </w:r>
    </w:p>
    <w:p w14:paraId="6F085969">
      <w:pPr>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2.16.1双方当事人不得擅自中止或者终止合同；</w:t>
      </w:r>
    </w:p>
    <w:p w14:paraId="232EB0F2">
      <w:pPr>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2.16.2合同继续履行将损害国家利益和社会公共利益的，双方当事人应当中止或者终止合同。有过错的一方应当承担赔偿责任，双方当事人都有过错的，各自承担相应的责任。</w:t>
      </w:r>
    </w:p>
    <w:p w14:paraId="4F011EDE">
      <w:pPr>
        <w:spacing w:line="360" w:lineRule="auto"/>
        <w:ind w:firstLine="482" w:firstLineChars="200"/>
        <w:rPr>
          <w:rFonts w:hint="eastAsia" w:ascii="宋体" w:hAnsi="宋体" w:eastAsia="宋体" w:cs="宋体"/>
          <w:b/>
          <w:color w:val="auto"/>
          <w:sz w:val="24"/>
          <w:highlight w:val="none"/>
        </w:rPr>
      </w:pPr>
      <w:r>
        <w:rPr>
          <w:rFonts w:hint="eastAsia" w:ascii="宋体" w:hAnsi="宋体" w:eastAsia="宋体" w:cs="宋体"/>
          <w:b/>
          <w:color w:val="auto"/>
          <w:sz w:val="24"/>
          <w:highlight w:val="none"/>
        </w:rPr>
        <w:t>2.17检验和验收</w:t>
      </w:r>
    </w:p>
    <w:p w14:paraId="4B1127D8">
      <w:pPr>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2.17.1标的物交付前，乙方应对标的物的质量、数量等方面进行详细、全面的检验，并向甲方出具证明标的物符合合同约定的文件；标的物交付时，乙方在</w:t>
      </w:r>
      <w:r>
        <w:rPr>
          <w:rFonts w:hint="eastAsia" w:ascii="宋体" w:hAnsi="宋体" w:eastAsia="宋体" w:cs="宋体"/>
          <w:b/>
          <w:i/>
          <w:color w:val="auto"/>
          <w:sz w:val="24"/>
          <w:highlight w:val="none"/>
          <w:u w:val="single"/>
        </w:rPr>
        <w:t>合同专用条款</w:t>
      </w:r>
      <w:r>
        <w:rPr>
          <w:rFonts w:hint="eastAsia" w:ascii="宋体" w:hAnsi="宋体" w:eastAsia="宋体" w:cs="宋体"/>
          <w:color w:val="auto"/>
          <w:sz w:val="24"/>
          <w:highlight w:val="none"/>
        </w:rPr>
        <w:t>约定时间内组织验收，并可依法邀请相关方参加，验收应出具验收书。</w:t>
      </w:r>
    </w:p>
    <w:p w14:paraId="44C827E8">
      <w:pPr>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2.17.2合同期满或者履行完毕后，甲方有权组织（包括依法邀请国家认可的质量检测机构参加）对乙方履约的验收，即：按照合同约定的技术、服务、安全标准，组织对每一项技术、服务、安全标准的履约情况的验收，并出具验收书。</w:t>
      </w:r>
    </w:p>
    <w:p w14:paraId="12EEDF3A">
      <w:pPr>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2.17.3检验和验收标准、程序等具体内容以及前述验收书的效力详见</w:t>
      </w:r>
      <w:r>
        <w:rPr>
          <w:rFonts w:hint="eastAsia" w:ascii="宋体" w:hAnsi="宋体" w:eastAsia="宋体" w:cs="宋体"/>
          <w:b/>
          <w:i/>
          <w:color w:val="auto"/>
          <w:sz w:val="24"/>
          <w:highlight w:val="none"/>
          <w:u w:val="single"/>
        </w:rPr>
        <w:t>合同专用条款</w:t>
      </w:r>
      <w:r>
        <w:rPr>
          <w:rFonts w:hint="eastAsia" w:ascii="宋体" w:hAnsi="宋体" w:eastAsia="宋体" w:cs="宋体"/>
          <w:i/>
          <w:color w:val="auto"/>
          <w:sz w:val="24"/>
          <w:highlight w:val="none"/>
        </w:rPr>
        <w:t>。</w:t>
      </w:r>
    </w:p>
    <w:p w14:paraId="189E10A3">
      <w:pPr>
        <w:spacing w:line="360" w:lineRule="auto"/>
        <w:ind w:firstLine="482" w:firstLineChars="200"/>
        <w:rPr>
          <w:rFonts w:hint="eastAsia" w:ascii="宋体" w:hAnsi="宋体" w:eastAsia="宋体" w:cs="宋体"/>
          <w:b/>
          <w:color w:val="auto"/>
          <w:sz w:val="24"/>
          <w:highlight w:val="none"/>
        </w:rPr>
      </w:pPr>
      <w:r>
        <w:rPr>
          <w:rFonts w:hint="eastAsia" w:ascii="宋体" w:hAnsi="宋体" w:eastAsia="宋体" w:cs="宋体"/>
          <w:b/>
          <w:color w:val="auto"/>
          <w:sz w:val="24"/>
          <w:highlight w:val="none"/>
        </w:rPr>
        <w:t>2.18通知和送达</w:t>
      </w:r>
    </w:p>
    <w:p w14:paraId="43FC68CB">
      <w:pPr>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2.18.1任何一方因履行合同而以合同第一部分尾部所列明的</w:t>
      </w:r>
      <w:r>
        <w:rPr>
          <w:rFonts w:hint="eastAsia" w:ascii="宋体" w:hAnsi="宋体" w:eastAsia="宋体" w:cs="宋体"/>
          <w:color w:val="auto"/>
          <w:sz w:val="24"/>
          <w:highlight w:val="none"/>
          <w:u w:val="single"/>
        </w:rPr>
        <w:t>“约定送达地址”</w:t>
      </w:r>
      <w:r>
        <w:rPr>
          <w:rFonts w:hint="eastAsia" w:ascii="宋体" w:hAnsi="宋体" w:eastAsia="宋体" w:cs="宋体"/>
          <w:color w:val="auto"/>
          <w:sz w:val="24"/>
          <w:highlight w:val="none"/>
        </w:rPr>
        <w:t>为收件地址的所有通知、文件、材料，均视为已向对方当事人送达；任何一方变更上述送达方式或者地址的，应于个工作日（根据项目实际情况填写）内书面通知对方当事人，在对方当事人收到有关变更通知之前，变更前的约定送达方式或者地址仍视为有效。</w:t>
      </w:r>
    </w:p>
    <w:p w14:paraId="5AD0ECC3">
      <w:pPr>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2.18.2以当面交付方式送达的，交付之时视为送达；以电子邮件方式送达的，发出电子邮件之时视为送达；以传真方式送达的，发出传真之时视为送达；以邮寄方式送达的，邮件挂号寄出或者交邮之日之次日视为送达。</w:t>
      </w:r>
    </w:p>
    <w:p w14:paraId="34D86C00">
      <w:pPr>
        <w:spacing w:line="360" w:lineRule="auto"/>
        <w:ind w:firstLine="482" w:firstLineChars="200"/>
        <w:rPr>
          <w:rFonts w:hint="eastAsia" w:ascii="宋体" w:hAnsi="宋体" w:eastAsia="宋体" w:cs="宋体"/>
          <w:b/>
          <w:color w:val="auto"/>
          <w:sz w:val="24"/>
          <w:highlight w:val="none"/>
        </w:rPr>
      </w:pPr>
      <w:r>
        <w:rPr>
          <w:rFonts w:hint="eastAsia" w:ascii="宋体" w:hAnsi="宋体" w:eastAsia="宋体" w:cs="宋体"/>
          <w:b/>
          <w:color w:val="auto"/>
          <w:sz w:val="24"/>
          <w:highlight w:val="none"/>
        </w:rPr>
        <w:t>2.19计量单位</w:t>
      </w:r>
    </w:p>
    <w:p w14:paraId="7B9E9CCE">
      <w:pPr>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除技术规范中另有规定外,合同的计量单位均使用国家法定计量单位。</w:t>
      </w:r>
    </w:p>
    <w:p w14:paraId="422421CA">
      <w:pPr>
        <w:spacing w:line="360" w:lineRule="auto"/>
        <w:ind w:firstLine="482" w:firstLineChars="200"/>
        <w:rPr>
          <w:rFonts w:hint="eastAsia" w:ascii="宋体" w:hAnsi="宋体" w:eastAsia="宋体" w:cs="宋体"/>
          <w:b/>
          <w:color w:val="auto"/>
          <w:sz w:val="24"/>
          <w:highlight w:val="none"/>
        </w:rPr>
      </w:pPr>
      <w:r>
        <w:rPr>
          <w:rFonts w:hint="eastAsia" w:ascii="宋体" w:hAnsi="宋体" w:eastAsia="宋体" w:cs="宋体"/>
          <w:b/>
          <w:color w:val="auto"/>
          <w:sz w:val="24"/>
          <w:highlight w:val="none"/>
        </w:rPr>
        <w:t>2.20合同使用的文字和适用的法律</w:t>
      </w:r>
    </w:p>
    <w:p w14:paraId="6A6FF235">
      <w:pPr>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2.20.1合同使用汉语书就、变更和解释；</w:t>
      </w:r>
    </w:p>
    <w:p w14:paraId="72B2D031">
      <w:pPr>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2.20.2合同适用中华人民共和国法律。</w:t>
      </w:r>
    </w:p>
    <w:p w14:paraId="4BD2859A">
      <w:pPr>
        <w:spacing w:line="360" w:lineRule="auto"/>
        <w:ind w:firstLine="482" w:firstLineChars="200"/>
        <w:rPr>
          <w:rFonts w:hint="eastAsia" w:ascii="宋体" w:hAnsi="宋体" w:eastAsia="宋体" w:cs="宋体"/>
          <w:b/>
          <w:color w:val="auto"/>
          <w:sz w:val="24"/>
          <w:highlight w:val="none"/>
        </w:rPr>
      </w:pPr>
      <w:r>
        <w:rPr>
          <w:rFonts w:hint="eastAsia" w:ascii="宋体" w:hAnsi="宋体" w:eastAsia="宋体" w:cs="宋体"/>
          <w:b/>
          <w:color w:val="auto"/>
          <w:sz w:val="24"/>
          <w:highlight w:val="none"/>
        </w:rPr>
        <w:t>2.21履约保证金</w:t>
      </w:r>
    </w:p>
    <w:p w14:paraId="3C2DB695">
      <w:pPr>
        <w:spacing w:line="360" w:lineRule="auto"/>
        <w:ind w:firstLine="480" w:firstLineChars="200"/>
        <w:rPr>
          <w:rFonts w:hint="eastAsia" w:ascii="宋体" w:hAnsi="宋体" w:eastAsia="宋体" w:cs="宋体"/>
          <w:snapToGrid w:val="0"/>
          <w:color w:val="auto"/>
          <w:kern w:val="0"/>
          <w:sz w:val="24"/>
          <w:highlight w:val="none"/>
        </w:rPr>
      </w:pPr>
      <w:r>
        <w:rPr>
          <w:rFonts w:hint="eastAsia" w:ascii="宋体" w:hAnsi="宋体" w:eastAsia="宋体" w:cs="宋体"/>
          <w:color w:val="auto"/>
          <w:sz w:val="24"/>
          <w:highlight w:val="none"/>
        </w:rPr>
        <w:t>本项目不收取履约保证金</w:t>
      </w:r>
    </w:p>
    <w:p w14:paraId="188C4D99">
      <w:pPr>
        <w:spacing w:line="360" w:lineRule="auto"/>
        <w:ind w:firstLine="482" w:firstLineChars="200"/>
        <w:rPr>
          <w:rFonts w:hint="eastAsia" w:ascii="宋体" w:hAnsi="宋体" w:eastAsia="宋体" w:cs="宋体"/>
          <w:color w:val="auto"/>
          <w:kern w:val="0"/>
          <w:sz w:val="24"/>
          <w:highlight w:val="none"/>
          <w:lang w:val="zh-CN"/>
        </w:rPr>
      </w:pPr>
      <w:r>
        <w:rPr>
          <w:rFonts w:hint="eastAsia" w:ascii="宋体" w:hAnsi="宋体" w:eastAsia="宋体" w:cs="宋体"/>
          <w:b/>
          <w:color w:val="auto"/>
          <w:sz w:val="24"/>
          <w:highlight w:val="none"/>
        </w:rPr>
        <w:t>2.22中小企业政策</w:t>
      </w:r>
    </w:p>
    <w:p w14:paraId="03C60656">
      <w:pPr>
        <w:spacing w:line="360" w:lineRule="auto"/>
        <w:ind w:firstLine="480" w:firstLineChars="200"/>
        <w:rPr>
          <w:rFonts w:hint="eastAsia" w:ascii="宋体" w:hAnsi="宋体" w:eastAsia="宋体" w:cs="宋体"/>
          <w:color w:val="auto"/>
          <w:kern w:val="0"/>
          <w:sz w:val="24"/>
          <w:highlight w:val="none"/>
          <w:lang w:val="zh-CN"/>
        </w:rPr>
      </w:pPr>
      <w:r>
        <w:rPr>
          <w:rFonts w:hint="eastAsia" w:ascii="宋体" w:hAnsi="宋体" w:eastAsia="宋体" w:cs="宋体"/>
          <w:color w:val="auto"/>
          <w:kern w:val="0"/>
          <w:sz w:val="24"/>
          <w:highlight w:val="none"/>
          <w:lang w:val="zh-CN"/>
        </w:rPr>
        <w:t>2.22.1本合同（□是□否）为中小企业“政采贷”可融资合同，关于中小企业信用融资事项见采购文件“投标人须知正文”。</w:t>
      </w:r>
    </w:p>
    <w:p w14:paraId="09233158">
      <w:pPr>
        <w:spacing w:line="360" w:lineRule="auto"/>
        <w:ind w:firstLine="480" w:firstLineChars="200"/>
        <w:rPr>
          <w:rFonts w:hint="eastAsia" w:ascii="宋体" w:hAnsi="宋体" w:eastAsia="宋体" w:cs="宋体"/>
          <w:color w:val="auto"/>
          <w:kern w:val="0"/>
          <w:sz w:val="24"/>
          <w:highlight w:val="none"/>
          <w:lang w:val="zh-CN"/>
        </w:rPr>
      </w:pPr>
      <w:r>
        <w:rPr>
          <w:rFonts w:hint="eastAsia" w:ascii="宋体" w:hAnsi="宋体" w:eastAsia="宋体" w:cs="宋体"/>
          <w:color w:val="auto"/>
          <w:kern w:val="0"/>
          <w:sz w:val="24"/>
          <w:highlight w:val="none"/>
          <w:lang w:val="zh-CN"/>
        </w:rPr>
        <w:t>2.22.2本合同（□是□否）为中小企业预留合同。</w:t>
      </w:r>
    </w:p>
    <w:p w14:paraId="33FD5303">
      <w:pPr>
        <w:spacing w:line="360" w:lineRule="auto"/>
        <w:ind w:firstLine="482" w:firstLineChars="200"/>
        <w:rPr>
          <w:rFonts w:hint="eastAsia" w:ascii="宋体" w:hAnsi="宋体" w:eastAsia="宋体" w:cs="宋体"/>
          <w:b/>
          <w:color w:val="auto"/>
          <w:sz w:val="24"/>
          <w:highlight w:val="none"/>
        </w:rPr>
      </w:pPr>
      <w:r>
        <w:rPr>
          <w:rFonts w:hint="eastAsia" w:ascii="宋体" w:hAnsi="宋体" w:eastAsia="宋体" w:cs="宋体"/>
          <w:b/>
          <w:color w:val="auto"/>
          <w:sz w:val="24"/>
          <w:highlight w:val="none"/>
        </w:rPr>
        <w:t>2.23合同份数</w:t>
      </w:r>
    </w:p>
    <w:p w14:paraId="2B2DC545">
      <w:pPr>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本合同壹式份，甲方执份，乙方执份。每份均具有同等法律效力。</w:t>
      </w:r>
    </w:p>
    <w:p w14:paraId="1F4EC6F6">
      <w:pPr>
        <w:spacing w:line="360" w:lineRule="auto"/>
        <w:jc w:val="center"/>
        <w:rPr>
          <w:rFonts w:hint="eastAsia" w:ascii="宋体" w:hAnsi="宋体" w:eastAsia="宋体" w:cs="宋体"/>
          <w:b/>
          <w:color w:val="auto"/>
          <w:sz w:val="28"/>
          <w:szCs w:val="28"/>
          <w:highlight w:val="none"/>
        </w:rPr>
      </w:pPr>
      <w:r>
        <w:rPr>
          <w:rFonts w:hint="eastAsia" w:ascii="宋体" w:hAnsi="宋体" w:eastAsia="宋体" w:cs="宋体"/>
          <w:color w:val="auto"/>
          <w:highlight w:val="none"/>
        </w:rPr>
        <w:br w:type="page"/>
      </w:r>
      <w:r>
        <w:rPr>
          <w:rFonts w:hint="eastAsia" w:ascii="宋体" w:hAnsi="宋体" w:eastAsia="宋体" w:cs="宋体"/>
          <w:b/>
          <w:color w:val="auto"/>
          <w:sz w:val="28"/>
          <w:szCs w:val="28"/>
          <w:highlight w:val="none"/>
        </w:rPr>
        <w:t>第三部分合同专用条款</w:t>
      </w:r>
    </w:p>
    <w:p w14:paraId="1443909A">
      <w:pPr>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本部分是对前两部分的补充和修改，如果前两部分和本部分的约定不一致，应以本部分的约定为准。本部分的条款号应与前两部分的条款号保持对应；与前两部分无对应关系的内容可另行编制条款号。</w:t>
      </w:r>
    </w:p>
    <w:p w14:paraId="06538547">
      <w:pPr>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3.1具有知识产权的标的物知识产权归属：</w:t>
      </w:r>
    </w:p>
    <w:p w14:paraId="571AA543">
      <w:pPr>
        <w:spacing w:line="360" w:lineRule="auto"/>
        <w:ind w:firstLine="480" w:firstLineChars="200"/>
        <w:rPr>
          <w:rFonts w:hint="eastAsia" w:ascii="宋体" w:hAnsi="宋体" w:eastAsia="宋体" w:cs="宋体"/>
          <w:color w:val="auto"/>
          <w:sz w:val="24"/>
          <w:highlight w:val="none"/>
        </w:rPr>
      </w:pPr>
    </w:p>
    <w:p w14:paraId="51959936">
      <w:pPr>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3.2包装和装运专用条款（如果有）：</w:t>
      </w:r>
    </w:p>
    <w:p w14:paraId="6DF3926B">
      <w:pPr>
        <w:spacing w:line="360" w:lineRule="auto"/>
        <w:ind w:firstLine="480" w:firstLineChars="200"/>
        <w:rPr>
          <w:rFonts w:hint="eastAsia" w:ascii="宋体" w:hAnsi="宋体" w:eastAsia="宋体" w:cs="宋体"/>
          <w:color w:val="auto"/>
          <w:sz w:val="24"/>
          <w:highlight w:val="none"/>
        </w:rPr>
      </w:pPr>
    </w:p>
    <w:p w14:paraId="766DE34F">
      <w:pPr>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3.3装运标的物的要求和通知：</w:t>
      </w:r>
    </w:p>
    <w:p w14:paraId="3101E841">
      <w:pPr>
        <w:spacing w:line="360" w:lineRule="auto"/>
        <w:ind w:firstLine="480" w:firstLineChars="200"/>
        <w:rPr>
          <w:rFonts w:hint="eastAsia" w:ascii="宋体" w:hAnsi="宋体" w:eastAsia="宋体" w:cs="宋体"/>
          <w:color w:val="auto"/>
          <w:sz w:val="24"/>
          <w:highlight w:val="none"/>
        </w:rPr>
      </w:pPr>
    </w:p>
    <w:p w14:paraId="2EAE9670">
      <w:pPr>
        <w:spacing w:line="360" w:lineRule="auto"/>
        <w:ind w:firstLine="480" w:firstLineChars="200"/>
        <w:rPr>
          <w:rFonts w:hint="eastAsia" w:ascii="宋体" w:hAnsi="宋体" w:eastAsia="宋体" w:cs="宋体"/>
          <w:b/>
          <w:color w:val="auto"/>
          <w:sz w:val="24"/>
          <w:highlight w:val="none"/>
        </w:rPr>
      </w:pPr>
      <w:r>
        <w:rPr>
          <w:rFonts w:hint="eastAsia" w:ascii="宋体" w:hAnsi="宋体" w:eastAsia="宋体" w:cs="宋体"/>
          <w:color w:val="auto"/>
          <w:sz w:val="24"/>
          <w:highlight w:val="none"/>
        </w:rPr>
        <w:t>3.4</w:t>
      </w:r>
      <w:r>
        <w:rPr>
          <w:rFonts w:hint="eastAsia" w:ascii="宋体" w:hAnsi="宋体" w:eastAsia="宋体" w:cs="宋体"/>
          <w:b/>
          <w:color w:val="auto"/>
          <w:sz w:val="24"/>
          <w:highlight w:val="none"/>
        </w:rPr>
        <w:t>结算方式和付款条件</w:t>
      </w:r>
    </w:p>
    <w:p w14:paraId="28F53CF4">
      <w:pPr>
        <w:spacing w:line="360" w:lineRule="auto"/>
        <w:ind w:firstLine="480" w:firstLineChars="200"/>
        <w:rPr>
          <w:rFonts w:hint="eastAsia" w:ascii="宋体" w:hAnsi="宋体" w:eastAsia="宋体" w:cs="宋体"/>
          <w:color w:val="auto"/>
          <w:kern w:val="0"/>
          <w:sz w:val="24"/>
          <w:highlight w:val="none"/>
          <w:lang w:val="zh-CN"/>
        </w:rPr>
      </w:pPr>
      <w:r>
        <w:rPr>
          <w:rFonts w:hint="eastAsia" w:ascii="宋体" w:hAnsi="宋体" w:eastAsia="宋体" w:cs="宋体"/>
          <w:color w:val="auto"/>
          <w:kern w:val="0"/>
          <w:sz w:val="24"/>
          <w:highlight w:val="none"/>
          <w:lang w:val="zh-CN"/>
        </w:rPr>
        <w:t>本次项目合同总价为人民币大写：×× 元（¥××）。本项目采用以下勾选结算方式进行支付：</w:t>
      </w:r>
    </w:p>
    <w:p w14:paraId="22167BC9">
      <w:pPr>
        <w:spacing w:line="360" w:lineRule="auto"/>
        <w:ind w:firstLine="480" w:firstLineChars="200"/>
        <w:rPr>
          <w:rFonts w:hint="eastAsia" w:ascii="宋体" w:hAnsi="宋体" w:eastAsia="宋体" w:cs="宋体"/>
          <w:color w:val="auto"/>
          <w:kern w:val="0"/>
          <w:sz w:val="24"/>
          <w:highlight w:val="none"/>
          <w:lang w:val="zh-CN" w:eastAsia="zh-CN"/>
        </w:rPr>
      </w:pPr>
      <w:r>
        <w:rPr>
          <w:rFonts w:hint="eastAsia" w:ascii="宋体" w:hAnsi="宋体" w:eastAsia="宋体" w:cs="宋体"/>
          <w:color w:val="auto"/>
          <w:kern w:val="0"/>
          <w:sz w:val="24"/>
          <w:highlight w:val="none"/>
          <w:lang w:val="zh-CN"/>
        </w:rPr>
        <w:t>□采用一次性支付方式，付款条件为：</w:t>
      </w:r>
    </w:p>
    <w:p w14:paraId="52B5BF3A">
      <w:pPr>
        <w:spacing w:line="360" w:lineRule="auto"/>
        <w:ind w:firstLine="480" w:firstLineChars="200"/>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lang w:val="zh-CN"/>
        </w:rPr>
        <w:t>□采用分期付款方式，付款条件为</w:t>
      </w:r>
      <w:r>
        <w:rPr>
          <w:rFonts w:hint="eastAsia" w:ascii="宋体" w:hAnsi="宋体" w:eastAsia="宋体" w:cs="宋体"/>
          <w:color w:val="auto"/>
          <w:kern w:val="0"/>
          <w:sz w:val="24"/>
          <w:highlight w:val="none"/>
        </w:rPr>
        <w:t>：</w:t>
      </w:r>
    </w:p>
    <w:p w14:paraId="20483BB8">
      <w:pPr>
        <w:spacing w:line="360" w:lineRule="auto"/>
        <w:ind w:firstLine="480" w:firstLineChars="200"/>
        <w:rPr>
          <w:rFonts w:hint="eastAsia" w:ascii="宋体" w:hAnsi="宋体" w:eastAsia="宋体" w:cs="宋体"/>
          <w:color w:val="auto"/>
          <w:kern w:val="0"/>
          <w:sz w:val="24"/>
          <w:highlight w:val="none"/>
          <w:lang w:eastAsia="zh-CN"/>
        </w:rPr>
      </w:pPr>
      <w:r>
        <w:rPr>
          <w:rFonts w:hint="eastAsia" w:ascii="宋体" w:hAnsi="宋体" w:eastAsia="宋体" w:cs="宋体"/>
          <w:color w:val="auto"/>
          <w:kern w:val="0"/>
          <w:sz w:val="24"/>
          <w:highlight w:val="none"/>
          <w:lang w:val="zh-CN"/>
        </w:rPr>
        <w:t>第一期付款</w:t>
      </w:r>
      <w:r>
        <w:rPr>
          <w:rFonts w:hint="eastAsia" w:ascii="宋体" w:hAnsi="宋体" w:eastAsia="宋体" w:cs="宋体"/>
          <w:color w:val="auto"/>
          <w:kern w:val="0"/>
          <w:sz w:val="24"/>
          <w:highlight w:val="none"/>
        </w:rPr>
        <w:t>：</w:t>
      </w:r>
    </w:p>
    <w:p w14:paraId="5CC5C4FE">
      <w:pPr>
        <w:spacing w:line="360" w:lineRule="auto"/>
        <w:ind w:firstLine="480" w:firstLineChars="200"/>
        <w:rPr>
          <w:rFonts w:hint="eastAsia" w:ascii="宋体" w:hAnsi="宋体" w:eastAsia="宋体" w:cs="宋体"/>
          <w:color w:val="auto"/>
          <w:kern w:val="0"/>
          <w:sz w:val="24"/>
          <w:highlight w:val="none"/>
          <w:u w:val="single"/>
          <w:lang w:eastAsia="zh-CN"/>
        </w:rPr>
      </w:pPr>
      <w:r>
        <w:rPr>
          <w:rFonts w:hint="eastAsia" w:ascii="宋体" w:hAnsi="宋体" w:eastAsia="宋体" w:cs="宋体"/>
          <w:color w:val="auto"/>
          <w:kern w:val="0"/>
          <w:sz w:val="24"/>
          <w:highlight w:val="none"/>
          <w:lang w:val="zh-CN"/>
        </w:rPr>
        <w:t>第</w:t>
      </w:r>
      <w:r>
        <w:rPr>
          <w:rFonts w:hint="eastAsia" w:ascii="宋体" w:hAnsi="宋体" w:eastAsia="宋体" w:cs="宋体"/>
          <w:color w:val="auto"/>
          <w:kern w:val="0"/>
          <w:sz w:val="24"/>
          <w:highlight w:val="none"/>
        </w:rPr>
        <w:t>二</w:t>
      </w:r>
      <w:r>
        <w:rPr>
          <w:rFonts w:hint="eastAsia" w:ascii="宋体" w:hAnsi="宋体" w:eastAsia="宋体" w:cs="宋体"/>
          <w:color w:val="auto"/>
          <w:kern w:val="0"/>
          <w:sz w:val="24"/>
          <w:highlight w:val="none"/>
          <w:lang w:val="zh-CN"/>
        </w:rPr>
        <w:t>期付款</w:t>
      </w:r>
      <w:r>
        <w:rPr>
          <w:rFonts w:hint="eastAsia" w:ascii="宋体" w:hAnsi="宋体" w:eastAsia="宋体" w:cs="宋体"/>
          <w:color w:val="auto"/>
          <w:kern w:val="0"/>
          <w:sz w:val="24"/>
          <w:highlight w:val="none"/>
        </w:rPr>
        <w:t>：</w:t>
      </w:r>
    </w:p>
    <w:p w14:paraId="276FBF11">
      <w:pPr>
        <w:spacing w:line="360" w:lineRule="auto"/>
        <w:ind w:firstLine="480" w:firstLineChars="200"/>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w:t>
      </w:r>
    </w:p>
    <w:p w14:paraId="1CAC933B">
      <w:pPr>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甲方无故逾期支付服务费用的，按照每逾期一日支付欠付服务费额度的（根据项目实际填写，一般为万分之五）承担违约责任，违约金上限按照《合同书》约定执行。</w:t>
      </w:r>
    </w:p>
    <w:p w14:paraId="36069716">
      <w:pPr>
        <w:spacing w:line="360" w:lineRule="auto"/>
        <w:ind w:firstLine="480" w:firstLineChars="200"/>
        <w:rPr>
          <w:rFonts w:hint="eastAsia" w:ascii="宋体" w:hAnsi="宋体" w:eastAsia="宋体" w:cs="宋体"/>
          <w:color w:val="auto"/>
          <w:sz w:val="24"/>
          <w:highlight w:val="none"/>
          <w:lang w:val="zh-CN"/>
        </w:rPr>
      </w:pPr>
      <w:r>
        <w:rPr>
          <w:rFonts w:hint="eastAsia" w:ascii="宋体" w:hAnsi="宋体" w:eastAsia="宋体" w:cs="宋体"/>
          <w:color w:val="auto"/>
          <w:sz w:val="24"/>
          <w:highlight w:val="none"/>
          <w:lang w:val="zh-CN"/>
        </w:rPr>
        <w:t>（温馨提示：根据《广西壮族自治区财政厅关于进一步发挥政府采购政策功能促进企业发展的通知》（桂财采〔2022〕30号）及《2023年广西优化营商环境行动方案》等规定，政府采购货物和服务的采购人在政府采购合同中约定预付款比例的，采购合同履行期超过30天，对中小企业合同预付款比例应不低于合同金额的30％，不高于合同金额的50%；项目分年度安排预算的，每年预付款比例不低于项目年度计划支付金额的30％；采购项目以人工投入为主的，可降低预付款比例，但不得低于10%。采购文件和采购合同没有约定预付款的，经供应商申请采购人可支付预付款。对于未实行预付款的政府采购项目，鼓励采购人在合同中明确首付款支付比例。）</w:t>
      </w:r>
    </w:p>
    <w:p w14:paraId="6B8AF1C2">
      <w:pPr>
        <w:spacing w:line="360" w:lineRule="auto"/>
        <w:ind w:firstLine="480" w:firstLineChars="200"/>
        <w:rPr>
          <w:rFonts w:hint="eastAsia" w:ascii="宋体" w:hAnsi="宋体" w:eastAsia="宋体" w:cs="宋体"/>
          <w:b/>
          <w:color w:val="auto"/>
          <w:sz w:val="24"/>
          <w:highlight w:val="none"/>
        </w:rPr>
      </w:pPr>
      <w:r>
        <w:rPr>
          <w:rFonts w:hint="eastAsia" w:ascii="宋体" w:hAnsi="宋体" w:eastAsia="宋体" w:cs="宋体"/>
          <w:color w:val="auto"/>
          <w:sz w:val="24"/>
          <w:highlight w:val="none"/>
        </w:rPr>
        <w:t>3.5</w:t>
      </w:r>
      <w:r>
        <w:rPr>
          <w:rFonts w:hint="eastAsia" w:ascii="宋体" w:hAnsi="宋体" w:eastAsia="宋体" w:cs="宋体"/>
          <w:b/>
          <w:color w:val="auto"/>
          <w:sz w:val="24"/>
          <w:highlight w:val="none"/>
        </w:rPr>
        <w:t>标的物的风险负担</w:t>
      </w:r>
    </w:p>
    <w:p w14:paraId="4E5DDA8A">
      <w:pPr>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标的物或者在途标的物或者交付给第一承运人后的标的物毁损、灭失的风险负担：</w:t>
      </w:r>
    </w:p>
    <w:p w14:paraId="02CD754E">
      <w:pPr>
        <w:spacing w:line="360" w:lineRule="auto"/>
        <w:ind w:firstLine="480" w:firstLineChars="200"/>
        <w:rPr>
          <w:rFonts w:hint="eastAsia" w:ascii="宋体" w:hAnsi="宋体" w:eastAsia="宋体" w:cs="宋体"/>
          <w:color w:val="auto"/>
          <w:sz w:val="24"/>
          <w:highlight w:val="none"/>
          <w:u w:val="single"/>
          <w:lang w:eastAsia="zh-CN"/>
        </w:rPr>
      </w:pPr>
      <w:r>
        <w:rPr>
          <w:rFonts w:hint="eastAsia" w:ascii="宋体" w:hAnsi="宋体" w:eastAsia="宋体" w:cs="宋体"/>
          <w:color w:val="auto"/>
          <w:sz w:val="24"/>
          <w:highlight w:val="none"/>
          <w:u w:val="single"/>
        </w:rPr>
        <w:t>乙方</w:t>
      </w:r>
    </w:p>
    <w:p w14:paraId="100085B2">
      <w:pPr>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3.5.1受不可抗力影响的一方在不可抗力发生后，应在日内（根据项目实际填写）以书面形式通知对方当事人，并在日内，将有关部门出具的证明文件送达对方当事人。</w:t>
      </w:r>
    </w:p>
    <w:p w14:paraId="5E548325">
      <w:pPr>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3.5.2因不可抗力致使合同有变更必要的，双方当事人应在日内（根据项目实际填写）以书面形式变更合同；</w:t>
      </w:r>
    </w:p>
    <w:p w14:paraId="652A0919">
      <w:pPr>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3.5.3标的物交付前，乙方应对标的物的质量、数量等方面进行详细、全面的检验，并向甲方出具证明标的物符合合同约定的文件；标的物交付时，乙方在日内发（根据项目实际填写）起验收，并可依法邀请相关方参加，验收应出具验收书。</w:t>
      </w:r>
    </w:p>
    <w:p w14:paraId="124F0D61">
      <w:pPr>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3.5.4检验和验收标准、程序等具体内容以及前述验收书的效力：</w:t>
      </w:r>
    </w:p>
    <w:p w14:paraId="0313E08D">
      <w:pPr>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3.5.5其他：</w:t>
      </w:r>
    </w:p>
    <w:p w14:paraId="77FD8124">
      <w:pPr>
        <w:spacing w:line="360" w:lineRule="auto"/>
        <w:ind w:firstLine="480" w:firstLineChars="200"/>
        <w:rPr>
          <w:rFonts w:hint="eastAsia" w:ascii="宋体" w:hAnsi="宋体" w:eastAsia="宋体" w:cs="宋体"/>
          <w:b/>
          <w:color w:val="auto"/>
          <w:sz w:val="24"/>
          <w:highlight w:val="none"/>
        </w:rPr>
      </w:pPr>
      <w:r>
        <w:rPr>
          <w:rFonts w:hint="eastAsia" w:ascii="宋体" w:hAnsi="宋体" w:eastAsia="宋体" w:cs="宋体"/>
          <w:color w:val="auto"/>
          <w:sz w:val="24"/>
          <w:highlight w:val="none"/>
        </w:rPr>
        <w:t>3.6</w:t>
      </w:r>
      <w:r>
        <w:rPr>
          <w:rFonts w:hint="eastAsia" w:ascii="宋体" w:hAnsi="宋体" w:eastAsia="宋体" w:cs="宋体"/>
          <w:b/>
          <w:color w:val="auto"/>
          <w:sz w:val="24"/>
          <w:highlight w:val="none"/>
        </w:rPr>
        <w:t>项目验收：</w:t>
      </w:r>
    </w:p>
    <w:p w14:paraId="53ED249B">
      <w:pPr>
        <w:tabs>
          <w:tab w:val="left" w:pos="904"/>
        </w:tabs>
        <w:snapToGrid w:val="0"/>
        <w:spacing w:line="360" w:lineRule="auto"/>
        <w:ind w:firstLine="480" w:firstLineChars="200"/>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3.6.1甲方参照《南宁市政府采购供应商履约验收评价管理办法》（南财采[2019]217号）规定组织对乙方履约的验收。验收方成员应当在验收书上签字，并承担相应的法律责任。如果发现与合同中要求不符，乙方须承担由此发生的一切损失和费用，并接受相应的处理。</w:t>
      </w:r>
    </w:p>
    <w:p w14:paraId="73A76FD8">
      <w:pPr>
        <w:tabs>
          <w:tab w:val="left" w:pos="904"/>
        </w:tabs>
        <w:snapToGrid w:val="0"/>
        <w:spacing w:line="360" w:lineRule="auto"/>
        <w:ind w:firstLine="480" w:firstLineChars="200"/>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3.6.2严格按照采购合同开展履约验收。甲方成立验收小组，按照采购合同的约定对供应商履约情况进行验收，验收时，按照采购合同的约定对每一项技术、服务、安全标准的履约情况进行确认，出具验收报告并经验收小组全体成员签字。甲方根据验收报告形成验收意见并经甲方与乙方签字盖章生效。验收结果与采购合同约定的资金支付条件挂钩。履约验收的各项资料应当存档备查。</w:t>
      </w:r>
    </w:p>
    <w:p w14:paraId="2D47136C">
      <w:pPr>
        <w:tabs>
          <w:tab w:val="left" w:pos="904"/>
        </w:tabs>
        <w:snapToGrid w:val="0"/>
        <w:spacing w:line="360" w:lineRule="auto"/>
        <w:ind w:firstLine="480" w:firstLineChars="200"/>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3.6.3验收合格的项目，甲方将根据采购合同的约定及时向供应商支付采购资金。验收不合格的项目，甲方将依法及时处理。采购合同的履行、违约责任和解决争议的方式等适用《中华人民共和国民法典》，并按照《合同书》约定执行。</w:t>
      </w:r>
    </w:p>
    <w:p w14:paraId="6D65183F">
      <w:pPr>
        <w:tabs>
          <w:tab w:val="left" w:pos="904"/>
        </w:tabs>
        <w:snapToGrid w:val="0"/>
        <w:spacing w:line="360" w:lineRule="auto"/>
        <w:ind w:firstLine="480" w:firstLineChars="200"/>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3.6.4验收产生的费用：</w:t>
      </w:r>
    </w:p>
    <w:p w14:paraId="175B207C">
      <w:pPr>
        <w:tabs>
          <w:tab w:val="left" w:pos="904"/>
        </w:tabs>
        <w:snapToGrid w:val="0"/>
        <w:spacing w:line="360" w:lineRule="auto"/>
        <w:ind w:firstLine="480" w:firstLineChars="200"/>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首次验收费用由</w:t>
      </w:r>
      <w:r>
        <w:rPr>
          <w:rFonts w:hint="eastAsia" w:ascii="宋体" w:hAnsi="宋体" w:cs="宋体"/>
          <w:color w:val="auto"/>
          <w:sz w:val="24"/>
          <w:highlight w:val="none"/>
          <w:u w:val="single"/>
          <w:lang w:val="en-US" w:eastAsia="zh-CN"/>
        </w:rPr>
        <w:t xml:space="preserve">        </w:t>
      </w:r>
      <w:r>
        <w:rPr>
          <w:rFonts w:hint="eastAsia" w:ascii="宋体" w:hAnsi="宋体" w:eastAsia="宋体" w:cs="宋体"/>
          <w:color w:val="auto"/>
          <w:sz w:val="24"/>
          <w:highlight w:val="none"/>
        </w:rPr>
        <w:t>承担，如首次验收不合格，后续验收费用由</w:t>
      </w:r>
      <w:r>
        <w:rPr>
          <w:rFonts w:hint="eastAsia" w:ascii="宋体" w:hAnsi="宋体" w:cs="宋体"/>
          <w:color w:val="auto"/>
          <w:sz w:val="24"/>
          <w:highlight w:val="none"/>
          <w:u w:val="single"/>
          <w:lang w:val="en-US" w:eastAsia="zh-CN"/>
        </w:rPr>
        <w:t xml:space="preserve">     </w:t>
      </w:r>
      <w:r>
        <w:rPr>
          <w:rFonts w:hint="eastAsia" w:ascii="宋体" w:hAnsi="宋体" w:eastAsia="宋体" w:cs="宋体"/>
          <w:color w:val="auto"/>
          <w:sz w:val="24"/>
          <w:highlight w:val="none"/>
        </w:rPr>
        <w:t>支付。</w:t>
      </w:r>
    </w:p>
    <w:p w14:paraId="01E34377">
      <w:pPr>
        <w:tabs>
          <w:tab w:val="left" w:pos="904"/>
        </w:tabs>
        <w:snapToGrid w:val="0"/>
        <w:spacing w:line="360" w:lineRule="auto"/>
        <w:ind w:firstLine="480" w:firstLineChars="200"/>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3.6.5验收内容及资料要求：</w:t>
      </w:r>
    </w:p>
    <w:p w14:paraId="71773C67">
      <w:pPr>
        <w:tabs>
          <w:tab w:val="left" w:pos="904"/>
        </w:tabs>
        <w:snapToGrid w:val="0"/>
        <w:spacing w:line="360" w:lineRule="auto"/>
        <w:ind w:firstLine="480" w:firstLineChars="200"/>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根据采购文件确定的技术指标或者服务要求确定验收指标和标准。未进行相应约定的，应当符合国家强制性规定、政策要求、安全标准、行业或企业有关标准等。</w:t>
      </w:r>
    </w:p>
    <w:p w14:paraId="3F3C353F">
      <w:pPr>
        <w:tabs>
          <w:tab w:val="left" w:pos="904"/>
        </w:tabs>
        <w:snapToGrid w:val="0"/>
        <w:spacing w:line="360" w:lineRule="auto"/>
        <w:ind w:firstLine="480" w:firstLineChars="200"/>
        <w:jc w:val="left"/>
        <w:rPr>
          <w:rFonts w:hint="eastAsia" w:ascii="宋体" w:hAnsi="宋体" w:eastAsia="宋体" w:cs="宋体"/>
          <w:color w:val="auto"/>
          <w:sz w:val="24"/>
          <w:highlight w:val="none"/>
        </w:rPr>
      </w:pPr>
      <w:r>
        <w:rPr>
          <w:rFonts w:hint="eastAsia" w:ascii="宋体" w:hAnsi="宋体" w:eastAsia="宋体" w:cs="宋体"/>
          <w:color w:val="auto"/>
          <w:kern w:val="0"/>
          <w:sz w:val="24"/>
          <w:highlight w:val="none"/>
        </w:rPr>
        <w:t>3.6.6</w:t>
      </w:r>
      <w:r>
        <w:rPr>
          <w:rFonts w:hint="eastAsia" w:ascii="宋体" w:hAnsi="宋体" w:eastAsia="宋体" w:cs="宋体"/>
          <w:color w:val="auto"/>
          <w:sz w:val="24"/>
          <w:highlight w:val="none"/>
        </w:rPr>
        <w:t>验收内容</w:t>
      </w:r>
    </w:p>
    <w:tbl>
      <w:tblPr>
        <w:tblStyle w:val="3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3"/>
        <w:gridCol w:w="1914"/>
        <w:gridCol w:w="5930"/>
      </w:tblGrid>
      <w:tr w14:paraId="21250F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3" w:type="dxa"/>
            <w:tcBorders>
              <w:top w:val="single" w:color="auto" w:sz="4" w:space="0"/>
              <w:left w:val="single" w:color="auto" w:sz="4" w:space="0"/>
              <w:bottom w:val="single" w:color="auto" w:sz="4" w:space="0"/>
              <w:right w:val="single" w:color="auto" w:sz="4" w:space="0"/>
            </w:tcBorders>
            <w:noWrap w:val="0"/>
            <w:vAlign w:val="center"/>
          </w:tcPr>
          <w:p w14:paraId="298FC246">
            <w:pPr>
              <w:widowControl/>
              <w:spacing w:line="360" w:lineRule="auto"/>
              <w:jc w:val="both"/>
              <w:rPr>
                <w:rFonts w:hint="eastAsia" w:ascii="宋体" w:hAnsi="宋体" w:eastAsia="宋体" w:cs="宋体"/>
                <w:bCs/>
                <w:color w:val="auto"/>
                <w:kern w:val="0"/>
                <w:sz w:val="24"/>
                <w:highlight w:val="none"/>
              </w:rPr>
            </w:pPr>
            <w:r>
              <w:rPr>
                <w:rFonts w:hint="eastAsia" w:ascii="宋体" w:hAnsi="宋体" w:eastAsia="宋体" w:cs="宋体"/>
                <w:bCs/>
                <w:color w:val="auto"/>
                <w:kern w:val="0"/>
                <w:sz w:val="24"/>
                <w:highlight w:val="none"/>
              </w:rPr>
              <w:t>序号</w:t>
            </w:r>
          </w:p>
        </w:tc>
        <w:tc>
          <w:tcPr>
            <w:tcW w:w="1914" w:type="dxa"/>
            <w:tcBorders>
              <w:top w:val="single" w:color="auto" w:sz="4" w:space="0"/>
              <w:left w:val="single" w:color="auto" w:sz="4" w:space="0"/>
              <w:bottom w:val="single" w:color="auto" w:sz="4" w:space="0"/>
              <w:right w:val="single" w:color="auto" w:sz="4" w:space="0"/>
            </w:tcBorders>
            <w:noWrap w:val="0"/>
            <w:vAlign w:val="center"/>
          </w:tcPr>
          <w:p w14:paraId="33777B6D">
            <w:pPr>
              <w:widowControl/>
              <w:spacing w:line="360" w:lineRule="auto"/>
              <w:ind w:firstLine="200"/>
              <w:jc w:val="center"/>
              <w:rPr>
                <w:rFonts w:hint="eastAsia" w:ascii="宋体" w:hAnsi="宋体" w:eastAsia="宋体" w:cs="宋体"/>
                <w:bCs/>
                <w:color w:val="auto"/>
                <w:kern w:val="0"/>
                <w:sz w:val="24"/>
                <w:highlight w:val="none"/>
              </w:rPr>
            </w:pPr>
            <w:r>
              <w:rPr>
                <w:rFonts w:hint="eastAsia" w:ascii="宋体" w:hAnsi="宋体" w:eastAsia="宋体" w:cs="宋体"/>
                <w:bCs/>
                <w:color w:val="auto"/>
                <w:kern w:val="0"/>
                <w:sz w:val="24"/>
                <w:highlight w:val="none"/>
              </w:rPr>
              <w:t>验收内容</w:t>
            </w:r>
          </w:p>
        </w:tc>
        <w:tc>
          <w:tcPr>
            <w:tcW w:w="5930" w:type="dxa"/>
            <w:tcBorders>
              <w:top w:val="single" w:color="auto" w:sz="4" w:space="0"/>
              <w:left w:val="single" w:color="auto" w:sz="4" w:space="0"/>
              <w:bottom w:val="single" w:color="auto" w:sz="4" w:space="0"/>
              <w:right w:val="single" w:color="auto" w:sz="4" w:space="0"/>
            </w:tcBorders>
            <w:noWrap w:val="0"/>
            <w:vAlign w:val="center"/>
          </w:tcPr>
          <w:p w14:paraId="02198CD7">
            <w:pPr>
              <w:widowControl/>
              <w:spacing w:line="360" w:lineRule="auto"/>
              <w:ind w:firstLine="200"/>
              <w:jc w:val="center"/>
              <w:rPr>
                <w:rFonts w:hint="eastAsia" w:ascii="宋体" w:hAnsi="宋体" w:eastAsia="宋体" w:cs="宋体"/>
                <w:bCs/>
                <w:color w:val="auto"/>
                <w:kern w:val="0"/>
                <w:sz w:val="24"/>
                <w:highlight w:val="none"/>
              </w:rPr>
            </w:pPr>
            <w:r>
              <w:rPr>
                <w:rFonts w:hint="eastAsia" w:ascii="宋体" w:hAnsi="宋体" w:eastAsia="宋体" w:cs="宋体"/>
                <w:bCs/>
                <w:color w:val="auto"/>
                <w:kern w:val="0"/>
                <w:sz w:val="24"/>
                <w:highlight w:val="none"/>
              </w:rPr>
              <w:t>验收标准</w:t>
            </w:r>
          </w:p>
        </w:tc>
      </w:tr>
      <w:tr w14:paraId="00E3A4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jc w:val="center"/>
        </w:trPr>
        <w:tc>
          <w:tcPr>
            <w:tcW w:w="673" w:type="dxa"/>
            <w:tcBorders>
              <w:top w:val="single" w:color="auto" w:sz="4" w:space="0"/>
              <w:left w:val="single" w:color="auto" w:sz="4" w:space="0"/>
              <w:bottom w:val="single" w:color="auto" w:sz="4" w:space="0"/>
              <w:right w:val="single" w:color="auto" w:sz="4" w:space="0"/>
            </w:tcBorders>
            <w:noWrap w:val="0"/>
            <w:vAlign w:val="center"/>
          </w:tcPr>
          <w:p w14:paraId="029E7B90">
            <w:pPr>
              <w:widowControl/>
              <w:spacing w:line="360" w:lineRule="auto"/>
              <w:ind w:firstLine="200"/>
              <w:jc w:val="center"/>
              <w:rPr>
                <w:rFonts w:hint="eastAsia" w:ascii="宋体" w:hAnsi="宋体" w:eastAsia="宋体" w:cs="宋体"/>
                <w:bCs/>
                <w:color w:val="auto"/>
                <w:kern w:val="0"/>
                <w:sz w:val="24"/>
                <w:highlight w:val="none"/>
              </w:rPr>
            </w:pPr>
            <w:r>
              <w:rPr>
                <w:rFonts w:hint="eastAsia" w:ascii="宋体" w:hAnsi="宋体" w:eastAsia="宋体" w:cs="宋体"/>
                <w:bCs/>
                <w:color w:val="auto"/>
                <w:kern w:val="0"/>
                <w:sz w:val="24"/>
                <w:highlight w:val="none"/>
              </w:rPr>
              <w:t>1</w:t>
            </w:r>
          </w:p>
        </w:tc>
        <w:tc>
          <w:tcPr>
            <w:tcW w:w="1914" w:type="dxa"/>
            <w:tcBorders>
              <w:top w:val="single" w:color="auto" w:sz="4" w:space="0"/>
              <w:left w:val="single" w:color="auto" w:sz="4" w:space="0"/>
              <w:bottom w:val="single" w:color="auto" w:sz="4" w:space="0"/>
              <w:right w:val="single" w:color="auto" w:sz="4" w:space="0"/>
            </w:tcBorders>
            <w:noWrap w:val="0"/>
            <w:vAlign w:val="center"/>
          </w:tcPr>
          <w:p w14:paraId="03F9E295">
            <w:pPr>
              <w:widowControl/>
              <w:spacing w:line="360" w:lineRule="auto"/>
              <w:rPr>
                <w:rFonts w:hint="eastAsia" w:ascii="宋体" w:hAnsi="宋体" w:eastAsia="宋体" w:cs="宋体"/>
                <w:bCs/>
                <w:color w:val="auto"/>
                <w:kern w:val="0"/>
                <w:sz w:val="24"/>
                <w:highlight w:val="none"/>
              </w:rPr>
            </w:pPr>
            <w:r>
              <w:rPr>
                <w:rFonts w:hint="eastAsia" w:ascii="宋体" w:hAnsi="宋体" w:eastAsia="宋体" w:cs="宋体"/>
                <w:bCs/>
                <w:color w:val="auto"/>
                <w:kern w:val="0"/>
                <w:sz w:val="24"/>
                <w:highlight w:val="none"/>
              </w:rPr>
              <w:t>交付标的物数量</w:t>
            </w:r>
          </w:p>
        </w:tc>
        <w:tc>
          <w:tcPr>
            <w:tcW w:w="5930" w:type="dxa"/>
            <w:tcBorders>
              <w:top w:val="single" w:color="auto" w:sz="4" w:space="0"/>
              <w:left w:val="single" w:color="auto" w:sz="4" w:space="0"/>
              <w:bottom w:val="single" w:color="auto" w:sz="4" w:space="0"/>
              <w:right w:val="single" w:color="auto" w:sz="4" w:space="0"/>
            </w:tcBorders>
            <w:noWrap w:val="0"/>
            <w:vAlign w:val="center"/>
          </w:tcPr>
          <w:p w14:paraId="3FC00511">
            <w:pPr>
              <w:widowControl/>
              <w:spacing w:line="360" w:lineRule="auto"/>
              <w:ind w:firstLine="200"/>
              <w:jc w:val="center"/>
              <w:rPr>
                <w:rFonts w:hint="eastAsia" w:ascii="宋体" w:hAnsi="宋体" w:eastAsia="宋体" w:cs="宋体"/>
                <w:color w:val="auto"/>
                <w:kern w:val="0"/>
                <w:sz w:val="24"/>
                <w:highlight w:val="none"/>
              </w:rPr>
            </w:pPr>
          </w:p>
        </w:tc>
      </w:tr>
      <w:tr w14:paraId="55FE53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9" w:hRule="atLeast"/>
          <w:jc w:val="center"/>
        </w:trPr>
        <w:tc>
          <w:tcPr>
            <w:tcW w:w="673" w:type="dxa"/>
            <w:tcBorders>
              <w:top w:val="single" w:color="auto" w:sz="4" w:space="0"/>
              <w:left w:val="single" w:color="auto" w:sz="4" w:space="0"/>
              <w:bottom w:val="single" w:color="auto" w:sz="4" w:space="0"/>
              <w:right w:val="single" w:color="auto" w:sz="4" w:space="0"/>
            </w:tcBorders>
            <w:noWrap w:val="0"/>
            <w:vAlign w:val="center"/>
          </w:tcPr>
          <w:p w14:paraId="29F07511">
            <w:pPr>
              <w:widowControl/>
              <w:spacing w:line="360" w:lineRule="auto"/>
              <w:ind w:firstLine="200"/>
              <w:jc w:val="center"/>
              <w:rPr>
                <w:rFonts w:hint="eastAsia" w:ascii="宋体" w:hAnsi="宋体" w:eastAsia="宋体" w:cs="宋体"/>
                <w:bCs/>
                <w:color w:val="auto"/>
                <w:kern w:val="0"/>
                <w:sz w:val="24"/>
                <w:highlight w:val="none"/>
              </w:rPr>
            </w:pPr>
            <w:r>
              <w:rPr>
                <w:rFonts w:hint="eastAsia" w:ascii="宋体" w:hAnsi="宋体" w:eastAsia="宋体" w:cs="宋体"/>
                <w:bCs/>
                <w:color w:val="auto"/>
                <w:kern w:val="0"/>
                <w:sz w:val="24"/>
                <w:highlight w:val="none"/>
              </w:rPr>
              <w:t>2</w:t>
            </w:r>
          </w:p>
        </w:tc>
        <w:tc>
          <w:tcPr>
            <w:tcW w:w="1914" w:type="dxa"/>
            <w:tcBorders>
              <w:top w:val="single" w:color="auto" w:sz="4" w:space="0"/>
              <w:left w:val="single" w:color="auto" w:sz="4" w:space="0"/>
              <w:bottom w:val="single" w:color="auto" w:sz="4" w:space="0"/>
              <w:right w:val="single" w:color="auto" w:sz="4" w:space="0"/>
            </w:tcBorders>
            <w:noWrap w:val="0"/>
            <w:vAlign w:val="center"/>
          </w:tcPr>
          <w:p w14:paraId="605BAE25">
            <w:pPr>
              <w:widowControl/>
              <w:spacing w:line="360" w:lineRule="auto"/>
              <w:rPr>
                <w:rFonts w:hint="eastAsia" w:ascii="宋体" w:hAnsi="宋体" w:eastAsia="宋体" w:cs="宋体"/>
                <w:bCs/>
                <w:color w:val="auto"/>
                <w:kern w:val="0"/>
                <w:sz w:val="24"/>
                <w:highlight w:val="none"/>
              </w:rPr>
            </w:pPr>
            <w:r>
              <w:rPr>
                <w:rFonts w:hint="eastAsia" w:ascii="宋体" w:hAnsi="宋体" w:eastAsia="宋体" w:cs="宋体"/>
                <w:bCs/>
                <w:color w:val="auto"/>
                <w:kern w:val="0"/>
                <w:sz w:val="24"/>
                <w:highlight w:val="none"/>
              </w:rPr>
              <w:t>交付标的物质量文件</w:t>
            </w:r>
          </w:p>
        </w:tc>
        <w:tc>
          <w:tcPr>
            <w:tcW w:w="5930" w:type="dxa"/>
            <w:tcBorders>
              <w:top w:val="single" w:color="auto" w:sz="4" w:space="0"/>
              <w:left w:val="single" w:color="auto" w:sz="4" w:space="0"/>
              <w:bottom w:val="single" w:color="auto" w:sz="4" w:space="0"/>
              <w:right w:val="single" w:color="auto" w:sz="4" w:space="0"/>
            </w:tcBorders>
            <w:noWrap w:val="0"/>
            <w:vAlign w:val="center"/>
          </w:tcPr>
          <w:p w14:paraId="7B1A2687">
            <w:pPr>
              <w:widowControl/>
              <w:spacing w:line="360" w:lineRule="auto"/>
              <w:ind w:firstLine="200"/>
              <w:jc w:val="center"/>
              <w:rPr>
                <w:rFonts w:hint="eastAsia" w:ascii="宋体" w:hAnsi="宋体" w:eastAsia="宋体" w:cs="宋体"/>
                <w:color w:val="auto"/>
                <w:kern w:val="0"/>
                <w:sz w:val="24"/>
                <w:highlight w:val="none"/>
              </w:rPr>
            </w:pPr>
          </w:p>
        </w:tc>
      </w:tr>
      <w:tr w14:paraId="6720A0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35" w:hRule="atLeast"/>
          <w:jc w:val="center"/>
        </w:trPr>
        <w:tc>
          <w:tcPr>
            <w:tcW w:w="673" w:type="dxa"/>
            <w:tcBorders>
              <w:top w:val="single" w:color="auto" w:sz="4" w:space="0"/>
              <w:left w:val="single" w:color="auto" w:sz="4" w:space="0"/>
              <w:bottom w:val="single" w:color="auto" w:sz="4" w:space="0"/>
              <w:right w:val="single" w:color="auto" w:sz="4" w:space="0"/>
            </w:tcBorders>
            <w:noWrap w:val="0"/>
            <w:vAlign w:val="center"/>
          </w:tcPr>
          <w:p w14:paraId="44600D08">
            <w:pPr>
              <w:widowControl/>
              <w:spacing w:line="360" w:lineRule="auto"/>
              <w:ind w:firstLine="200"/>
              <w:jc w:val="center"/>
              <w:rPr>
                <w:rFonts w:hint="eastAsia" w:ascii="宋体" w:hAnsi="宋体" w:eastAsia="宋体" w:cs="宋体"/>
                <w:bCs/>
                <w:color w:val="auto"/>
                <w:kern w:val="0"/>
                <w:sz w:val="24"/>
                <w:highlight w:val="none"/>
                <w:lang w:eastAsia="zh-CN"/>
              </w:rPr>
            </w:pPr>
            <w:r>
              <w:rPr>
                <w:rFonts w:hint="eastAsia" w:ascii="宋体" w:hAnsi="宋体" w:cs="宋体"/>
                <w:bCs/>
                <w:color w:val="auto"/>
                <w:kern w:val="0"/>
                <w:sz w:val="24"/>
                <w:highlight w:val="none"/>
                <w:lang w:val="en-US" w:eastAsia="zh-CN"/>
              </w:rPr>
              <w:t>3</w:t>
            </w:r>
          </w:p>
        </w:tc>
        <w:tc>
          <w:tcPr>
            <w:tcW w:w="1914" w:type="dxa"/>
            <w:tcBorders>
              <w:top w:val="single" w:color="auto" w:sz="4" w:space="0"/>
              <w:left w:val="single" w:color="auto" w:sz="4" w:space="0"/>
              <w:bottom w:val="single" w:color="auto" w:sz="4" w:space="0"/>
              <w:right w:val="single" w:color="auto" w:sz="4" w:space="0"/>
            </w:tcBorders>
            <w:noWrap w:val="0"/>
            <w:vAlign w:val="center"/>
          </w:tcPr>
          <w:p w14:paraId="3BA8BC36">
            <w:pPr>
              <w:spacing w:line="360" w:lineRule="auto"/>
              <w:rPr>
                <w:rFonts w:hint="eastAsia" w:ascii="宋体" w:hAnsi="宋体" w:eastAsia="宋体" w:cs="宋体"/>
                <w:bCs/>
                <w:color w:val="auto"/>
                <w:kern w:val="0"/>
                <w:sz w:val="24"/>
                <w:highlight w:val="none"/>
                <w:lang w:eastAsia="zh-CN"/>
              </w:rPr>
            </w:pPr>
            <w:r>
              <w:rPr>
                <w:rFonts w:hint="eastAsia" w:ascii="宋体" w:hAnsi="宋体" w:eastAsia="宋体" w:cs="宋体"/>
                <w:bCs/>
                <w:color w:val="auto"/>
                <w:kern w:val="0"/>
                <w:sz w:val="24"/>
                <w:highlight w:val="none"/>
              </w:rPr>
              <w:t>交付标的物技术、性能指标</w:t>
            </w:r>
          </w:p>
        </w:tc>
        <w:tc>
          <w:tcPr>
            <w:tcW w:w="5930" w:type="dxa"/>
            <w:tcBorders>
              <w:top w:val="single" w:color="auto" w:sz="4" w:space="0"/>
              <w:left w:val="single" w:color="auto" w:sz="4" w:space="0"/>
              <w:bottom w:val="single" w:color="auto" w:sz="4" w:space="0"/>
              <w:right w:val="single" w:color="auto" w:sz="4" w:space="0"/>
            </w:tcBorders>
            <w:noWrap w:val="0"/>
            <w:vAlign w:val="center"/>
          </w:tcPr>
          <w:p w14:paraId="00E99D10">
            <w:pPr>
              <w:pStyle w:val="14"/>
              <w:spacing w:after="0" w:line="360" w:lineRule="auto"/>
              <w:ind w:firstLine="200"/>
              <w:jc w:val="left"/>
              <w:rPr>
                <w:rFonts w:hint="eastAsia" w:ascii="宋体" w:hAnsi="宋体" w:eastAsia="宋体" w:cs="宋体"/>
                <w:color w:val="auto"/>
                <w:highlight w:val="none"/>
              </w:rPr>
            </w:pPr>
          </w:p>
        </w:tc>
      </w:tr>
      <w:tr w14:paraId="406DE9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1" w:hRule="atLeast"/>
          <w:jc w:val="center"/>
        </w:trPr>
        <w:tc>
          <w:tcPr>
            <w:tcW w:w="673" w:type="dxa"/>
            <w:tcBorders>
              <w:top w:val="single" w:color="auto" w:sz="4" w:space="0"/>
              <w:left w:val="single" w:color="auto" w:sz="4" w:space="0"/>
              <w:bottom w:val="single" w:color="auto" w:sz="4" w:space="0"/>
              <w:right w:val="single" w:color="auto" w:sz="4" w:space="0"/>
            </w:tcBorders>
            <w:noWrap w:val="0"/>
            <w:vAlign w:val="center"/>
          </w:tcPr>
          <w:p w14:paraId="274D2230">
            <w:pPr>
              <w:widowControl/>
              <w:spacing w:line="360" w:lineRule="auto"/>
              <w:ind w:firstLine="200"/>
              <w:jc w:val="center"/>
              <w:rPr>
                <w:rFonts w:hint="eastAsia" w:ascii="宋体" w:hAnsi="宋体" w:eastAsia="宋体" w:cs="宋体"/>
                <w:color w:val="auto"/>
                <w:kern w:val="0"/>
                <w:sz w:val="24"/>
                <w:highlight w:val="none"/>
                <w:lang w:eastAsia="zh-CN"/>
              </w:rPr>
            </w:pPr>
            <w:r>
              <w:rPr>
                <w:rFonts w:hint="eastAsia" w:ascii="宋体" w:hAnsi="宋体" w:cs="宋体"/>
                <w:color w:val="auto"/>
                <w:kern w:val="0"/>
                <w:sz w:val="24"/>
                <w:highlight w:val="none"/>
                <w:lang w:val="en-US" w:eastAsia="zh-CN"/>
              </w:rPr>
              <w:t>4</w:t>
            </w:r>
          </w:p>
        </w:tc>
        <w:tc>
          <w:tcPr>
            <w:tcW w:w="1914" w:type="dxa"/>
            <w:tcBorders>
              <w:top w:val="single" w:color="auto" w:sz="4" w:space="0"/>
              <w:left w:val="single" w:color="auto" w:sz="4" w:space="0"/>
              <w:bottom w:val="single" w:color="auto" w:sz="4" w:space="0"/>
              <w:right w:val="single" w:color="auto" w:sz="4" w:space="0"/>
            </w:tcBorders>
            <w:noWrap w:val="0"/>
            <w:vAlign w:val="center"/>
          </w:tcPr>
          <w:p w14:paraId="09165B0F">
            <w:pPr>
              <w:spacing w:line="360" w:lineRule="auto"/>
              <w:rPr>
                <w:rFonts w:hint="eastAsia" w:ascii="宋体" w:hAnsi="宋体" w:eastAsia="宋体" w:cs="宋体"/>
                <w:color w:val="auto"/>
                <w:sz w:val="24"/>
                <w:highlight w:val="none"/>
              </w:rPr>
            </w:pPr>
            <w:r>
              <w:rPr>
                <w:rFonts w:hint="eastAsia" w:ascii="宋体" w:hAnsi="宋体" w:eastAsia="宋体" w:cs="宋体"/>
                <w:color w:val="auto"/>
                <w:sz w:val="24"/>
                <w:highlight w:val="none"/>
              </w:rPr>
              <w:t>售后服务承诺</w:t>
            </w:r>
          </w:p>
        </w:tc>
        <w:tc>
          <w:tcPr>
            <w:tcW w:w="5930" w:type="dxa"/>
            <w:tcBorders>
              <w:top w:val="single" w:color="auto" w:sz="4" w:space="0"/>
              <w:left w:val="single" w:color="auto" w:sz="4" w:space="0"/>
              <w:bottom w:val="single" w:color="auto" w:sz="4" w:space="0"/>
              <w:right w:val="single" w:color="auto" w:sz="4" w:space="0"/>
            </w:tcBorders>
            <w:noWrap w:val="0"/>
            <w:vAlign w:val="center"/>
          </w:tcPr>
          <w:p w14:paraId="6D9FBA16">
            <w:pPr>
              <w:widowControl/>
              <w:spacing w:line="360" w:lineRule="auto"/>
              <w:ind w:firstLine="200"/>
              <w:jc w:val="center"/>
              <w:rPr>
                <w:rFonts w:hint="eastAsia" w:ascii="宋体" w:hAnsi="宋体" w:eastAsia="宋体" w:cs="宋体"/>
                <w:color w:val="auto"/>
                <w:kern w:val="0"/>
                <w:sz w:val="24"/>
                <w:highlight w:val="none"/>
              </w:rPr>
            </w:pPr>
          </w:p>
        </w:tc>
      </w:tr>
      <w:tr w14:paraId="4BBE03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9" w:hRule="atLeast"/>
          <w:jc w:val="center"/>
        </w:trPr>
        <w:tc>
          <w:tcPr>
            <w:tcW w:w="673" w:type="dxa"/>
            <w:tcBorders>
              <w:top w:val="single" w:color="auto" w:sz="4" w:space="0"/>
              <w:left w:val="single" w:color="auto" w:sz="4" w:space="0"/>
              <w:bottom w:val="single" w:color="auto" w:sz="4" w:space="0"/>
              <w:right w:val="single" w:color="auto" w:sz="4" w:space="0"/>
            </w:tcBorders>
            <w:noWrap w:val="0"/>
            <w:vAlign w:val="center"/>
          </w:tcPr>
          <w:p w14:paraId="42237B24">
            <w:pPr>
              <w:widowControl/>
              <w:spacing w:line="360" w:lineRule="auto"/>
              <w:ind w:firstLine="200"/>
              <w:jc w:val="center"/>
              <w:rPr>
                <w:rFonts w:hint="eastAsia" w:ascii="宋体" w:hAnsi="宋体" w:eastAsia="宋体" w:cs="宋体"/>
                <w:bCs/>
                <w:color w:val="auto"/>
                <w:kern w:val="0"/>
                <w:sz w:val="24"/>
                <w:highlight w:val="none"/>
                <w:lang w:eastAsia="zh-CN"/>
              </w:rPr>
            </w:pPr>
            <w:r>
              <w:rPr>
                <w:rFonts w:hint="eastAsia" w:ascii="宋体" w:hAnsi="宋体" w:cs="宋体"/>
                <w:bCs/>
                <w:color w:val="auto"/>
                <w:kern w:val="0"/>
                <w:sz w:val="24"/>
                <w:highlight w:val="none"/>
                <w:lang w:val="en-US" w:eastAsia="zh-CN"/>
              </w:rPr>
              <w:t>5</w:t>
            </w:r>
          </w:p>
        </w:tc>
        <w:tc>
          <w:tcPr>
            <w:tcW w:w="1914" w:type="dxa"/>
            <w:tcBorders>
              <w:top w:val="single" w:color="auto" w:sz="4" w:space="0"/>
              <w:left w:val="single" w:color="auto" w:sz="4" w:space="0"/>
              <w:bottom w:val="single" w:color="auto" w:sz="4" w:space="0"/>
              <w:right w:val="single" w:color="auto" w:sz="4" w:space="0"/>
            </w:tcBorders>
            <w:noWrap w:val="0"/>
            <w:vAlign w:val="center"/>
          </w:tcPr>
          <w:p w14:paraId="3A36635E">
            <w:pPr>
              <w:widowControl/>
              <w:spacing w:line="360" w:lineRule="auto"/>
              <w:rPr>
                <w:rFonts w:hint="eastAsia" w:ascii="宋体" w:hAnsi="宋体" w:eastAsia="宋体" w:cs="宋体"/>
                <w:bCs/>
                <w:color w:val="auto"/>
                <w:kern w:val="0"/>
                <w:sz w:val="24"/>
                <w:highlight w:val="none"/>
              </w:rPr>
            </w:pPr>
            <w:r>
              <w:rPr>
                <w:rFonts w:hint="eastAsia" w:ascii="宋体" w:hAnsi="宋体" w:eastAsia="宋体" w:cs="宋体"/>
                <w:bCs/>
                <w:color w:val="auto"/>
                <w:kern w:val="0"/>
                <w:sz w:val="24"/>
                <w:highlight w:val="none"/>
              </w:rPr>
              <w:t>其他工作</w:t>
            </w:r>
          </w:p>
        </w:tc>
        <w:tc>
          <w:tcPr>
            <w:tcW w:w="5930" w:type="dxa"/>
            <w:tcBorders>
              <w:top w:val="single" w:color="auto" w:sz="4" w:space="0"/>
              <w:left w:val="single" w:color="auto" w:sz="4" w:space="0"/>
              <w:bottom w:val="single" w:color="auto" w:sz="4" w:space="0"/>
              <w:right w:val="single" w:color="auto" w:sz="4" w:space="0"/>
            </w:tcBorders>
            <w:noWrap w:val="0"/>
            <w:vAlign w:val="center"/>
          </w:tcPr>
          <w:p w14:paraId="1C15E5DA">
            <w:pPr>
              <w:widowControl/>
              <w:spacing w:line="360" w:lineRule="auto"/>
              <w:ind w:firstLine="200"/>
              <w:jc w:val="left"/>
              <w:rPr>
                <w:rFonts w:hint="eastAsia" w:ascii="宋体" w:hAnsi="宋体" w:eastAsia="宋体" w:cs="宋体"/>
                <w:color w:val="auto"/>
                <w:kern w:val="0"/>
                <w:sz w:val="24"/>
                <w:highlight w:val="none"/>
              </w:rPr>
            </w:pPr>
          </w:p>
        </w:tc>
      </w:tr>
    </w:tbl>
    <w:p w14:paraId="6786718E">
      <w:pPr>
        <w:tabs>
          <w:tab w:val="left" w:pos="904"/>
        </w:tabs>
        <w:snapToGrid w:val="0"/>
        <w:spacing w:line="360" w:lineRule="auto"/>
        <w:ind w:firstLine="480" w:firstLineChars="200"/>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温馨提示：根据《广西壮族自治区财政厅关于进一步发挥政府采购政策功能促进企业发展的通知》（桂财采〔2022〕30号）规定，采购人应当在项目完成且收到供应商验收申请后5个工作日内组织开展履约验收；对于满足合同约定支付条件的项目，应在收到发票后30日内将资金支付到合同约定的供应商账户，不得以进行审计作为支付供应商款项的条件。加快采购资金支付进度，对于200万元以下的货物和服务项目，鼓励采购人一次性全额支付给供应商。采购人不得以机构变动、人员更替、政策调整、履行内部付款流程等为由延迟付款。）</w:t>
      </w:r>
    </w:p>
    <w:p w14:paraId="26E7221E">
      <w:pPr>
        <w:tabs>
          <w:tab w:val="left" w:pos="904"/>
        </w:tabs>
        <w:snapToGrid w:val="0"/>
        <w:spacing w:line="360" w:lineRule="auto"/>
        <w:ind w:firstLine="480" w:firstLineChars="200"/>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3.6.7验收资料要求</w:t>
      </w:r>
    </w:p>
    <w:p w14:paraId="60A87E25">
      <w:pPr>
        <w:tabs>
          <w:tab w:val="left" w:pos="904"/>
        </w:tabs>
        <w:snapToGrid w:val="0"/>
        <w:spacing w:line="360" w:lineRule="auto"/>
        <w:ind w:firstLine="480" w:firstLineChars="200"/>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验收资料要求包括（不限于）以下内容：</w:t>
      </w:r>
    </w:p>
    <w:p w14:paraId="4A96BBD8">
      <w:pPr>
        <w:tabs>
          <w:tab w:val="left" w:pos="904"/>
        </w:tabs>
        <w:adjustRightInd w:val="0"/>
        <w:snapToGrid w:val="0"/>
        <w:spacing w:line="360" w:lineRule="auto"/>
        <w:ind w:firstLine="240" w:firstLineChars="100"/>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（1）采购文件；</w:t>
      </w:r>
    </w:p>
    <w:p w14:paraId="0910B328">
      <w:pPr>
        <w:tabs>
          <w:tab w:val="left" w:pos="904"/>
        </w:tabs>
        <w:adjustRightInd w:val="0"/>
        <w:snapToGrid w:val="0"/>
        <w:spacing w:line="360" w:lineRule="auto"/>
        <w:ind w:firstLine="240" w:firstLineChars="100"/>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（2）投标文件；</w:t>
      </w:r>
    </w:p>
    <w:p w14:paraId="137AA8DE">
      <w:pPr>
        <w:tabs>
          <w:tab w:val="left" w:pos="904"/>
        </w:tabs>
        <w:adjustRightInd w:val="0"/>
        <w:snapToGrid w:val="0"/>
        <w:spacing w:line="360" w:lineRule="auto"/>
        <w:ind w:firstLine="240" w:firstLineChars="100"/>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（3）采购合同；</w:t>
      </w:r>
    </w:p>
    <w:p w14:paraId="628AD722">
      <w:pPr>
        <w:tabs>
          <w:tab w:val="left" w:pos="904"/>
        </w:tabs>
        <w:adjustRightInd w:val="0"/>
        <w:snapToGrid w:val="0"/>
        <w:spacing w:line="360" w:lineRule="auto"/>
        <w:ind w:firstLine="240" w:firstLineChars="100"/>
        <w:jc w:val="left"/>
        <w:rPr>
          <w:rFonts w:hint="eastAsia" w:ascii="宋体" w:hAnsi="宋体" w:eastAsia="宋体" w:cs="宋体"/>
          <w:b/>
          <w:color w:val="auto"/>
          <w:sz w:val="36"/>
          <w:szCs w:val="20"/>
          <w:highlight w:val="none"/>
        </w:rPr>
      </w:pPr>
      <w:r>
        <w:rPr>
          <w:rFonts w:hint="eastAsia" w:ascii="宋体" w:hAnsi="宋体" w:eastAsia="宋体" w:cs="宋体"/>
          <w:color w:val="auto"/>
          <w:sz w:val="24"/>
          <w:highlight w:val="none"/>
        </w:rPr>
        <w:t>（4）其他需提供的相关材料：（业主根据项目实际增减第（4）点验收资料内容）。</w:t>
      </w:r>
    </w:p>
    <w:p w14:paraId="7B5969FD">
      <w:pPr>
        <w:pStyle w:val="18"/>
        <w:spacing w:line="360" w:lineRule="auto"/>
        <w:ind w:left="178" w:leftChars="85"/>
        <w:rPr>
          <w:rFonts w:hint="eastAsia" w:ascii="宋体" w:hAnsi="宋体" w:eastAsia="宋体" w:cs="宋体"/>
          <w:color w:val="auto"/>
          <w:highlight w:val="none"/>
        </w:rPr>
      </w:pPr>
    </w:p>
    <w:p w14:paraId="4F62453C">
      <w:pPr>
        <w:pStyle w:val="18"/>
        <w:tabs>
          <w:tab w:val="left" w:pos="2472"/>
        </w:tabs>
        <w:spacing w:line="460" w:lineRule="exact"/>
        <w:jc w:val="center"/>
        <w:rPr>
          <w:rFonts w:hint="eastAsia" w:ascii="宋体" w:hAnsi="宋体" w:eastAsia="宋体" w:cs="宋体"/>
          <w:b/>
          <w:color w:val="auto"/>
          <w:sz w:val="36"/>
          <w:highlight w:val="none"/>
        </w:rPr>
      </w:pPr>
    </w:p>
    <w:p w14:paraId="72BBD877">
      <w:pPr>
        <w:pStyle w:val="18"/>
        <w:tabs>
          <w:tab w:val="left" w:pos="2472"/>
        </w:tabs>
        <w:spacing w:line="460" w:lineRule="exact"/>
        <w:jc w:val="center"/>
        <w:rPr>
          <w:rFonts w:hint="eastAsia" w:ascii="宋体" w:hAnsi="宋体" w:eastAsia="宋体" w:cs="宋体"/>
          <w:b/>
          <w:color w:val="auto"/>
          <w:sz w:val="36"/>
          <w:highlight w:val="none"/>
        </w:rPr>
      </w:pPr>
    </w:p>
    <w:p w14:paraId="62C25053">
      <w:pPr>
        <w:pStyle w:val="18"/>
        <w:tabs>
          <w:tab w:val="left" w:pos="2472"/>
        </w:tabs>
        <w:spacing w:line="460" w:lineRule="exact"/>
        <w:jc w:val="center"/>
        <w:rPr>
          <w:rFonts w:hint="eastAsia" w:ascii="宋体" w:hAnsi="宋体" w:eastAsia="宋体" w:cs="宋体"/>
          <w:b/>
          <w:color w:val="auto"/>
          <w:sz w:val="36"/>
          <w:highlight w:val="none"/>
        </w:rPr>
      </w:pPr>
    </w:p>
    <w:p w14:paraId="7C74B881">
      <w:pPr>
        <w:pStyle w:val="18"/>
        <w:tabs>
          <w:tab w:val="left" w:pos="2472"/>
        </w:tabs>
        <w:spacing w:line="460" w:lineRule="exact"/>
        <w:jc w:val="center"/>
        <w:rPr>
          <w:rFonts w:hint="eastAsia" w:ascii="宋体" w:hAnsi="宋体" w:eastAsia="宋体" w:cs="宋体"/>
          <w:b/>
          <w:color w:val="auto"/>
          <w:sz w:val="36"/>
          <w:highlight w:val="none"/>
        </w:rPr>
      </w:pPr>
    </w:p>
    <w:p w14:paraId="47017660">
      <w:pPr>
        <w:pStyle w:val="18"/>
        <w:tabs>
          <w:tab w:val="left" w:pos="2472"/>
        </w:tabs>
        <w:spacing w:line="460" w:lineRule="exact"/>
        <w:jc w:val="center"/>
        <w:rPr>
          <w:rFonts w:hint="eastAsia" w:ascii="宋体" w:hAnsi="宋体" w:eastAsia="宋体" w:cs="宋体"/>
          <w:b/>
          <w:color w:val="auto"/>
          <w:sz w:val="36"/>
          <w:highlight w:val="none"/>
        </w:rPr>
      </w:pPr>
    </w:p>
    <w:p w14:paraId="5C12EFCD">
      <w:pPr>
        <w:pStyle w:val="18"/>
        <w:tabs>
          <w:tab w:val="left" w:pos="2472"/>
        </w:tabs>
        <w:spacing w:line="460" w:lineRule="exact"/>
        <w:jc w:val="center"/>
        <w:rPr>
          <w:rFonts w:hint="eastAsia" w:ascii="宋体" w:hAnsi="宋体" w:eastAsia="宋体" w:cs="宋体"/>
          <w:b/>
          <w:color w:val="auto"/>
          <w:sz w:val="36"/>
          <w:highlight w:val="none"/>
        </w:rPr>
      </w:pPr>
    </w:p>
    <w:p w14:paraId="33FE6C66">
      <w:pPr>
        <w:pStyle w:val="18"/>
        <w:tabs>
          <w:tab w:val="left" w:pos="2472"/>
        </w:tabs>
        <w:spacing w:line="460" w:lineRule="exact"/>
        <w:jc w:val="center"/>
        <w:rPr>
          <w:rFonts w:hint="eastAsia" w:ascii="宋体" w:hAnsi="宋体" w:eastAsia="宋体" w:cs="宋体"/>
          <w:b/>
          <w:color w:val="auto"/>
          <w:sz w:val="36"/>
          <w:highlight w:val="none"/>
        </w:rPr>
      </w:pPr>
    </w:p>
    <w:p w14:paraId="5B32C98C">
      <w:pPr>
        <w:pStyle w:val="18"/>
        <w:tabs>
          <w:tab w:val="left" w:pos="2472"/>
        </w:tabs>
        <w:spacing w:line="460" w:lineRule="exact"/>
        <w:jc w:val="center"/>
        <w:rPr>
          <w:rFonts w:hint="eastAsia" w:ascii="宋体" w:hAnsi="宋体" w:eastAsia="宋体" w:cs="宋体"/>
          <w:b/>
          <w:color w:val="auto"/>
          <w:sz w:val="36"/>
          <w:highlight w:val="none"/>
        </w:rPr>
      </w:pPr>
    </w:p>
    <w:p w14:paraId="0937753C">
      <w:pPr>
        <w:pStyle w:val="18"/>
        <w:tabs>
          <w:tab w:val="left" w:pos="2472"/>
        </w:tabs>
        <w:spacing w:line="460" w:lineRule="exact"/>
        <w:jc w:val="center"/>
        <w:rPr>
          <w:rFonts w:hint="eastAsia" w:ascii="宋体" w:hAnsi="宋体" w:eastAsia="宋体" w:cs="宋体"/>
          <w:b/>
          <w:color w:val="auto"/>
          <w:sz w:val="36"/>
          <w:highlight w:val="none"/>
        </w:rPr>
      </w:pPr>
    </w:p>
    <w:p w14:paraId="18652708">
      <w:pPr>
        <w:pStyle w:val="18"/>
        <w:tabs>
          <w:tab w:val="left" w:pos="2472"/>
        </w:tabs>
        <w:spacing w:line="460" w:lineRule="exact"/>
        <w:jc w:val="center"/>
        <w:outlineLvl w:val="0"/>
        <w:rPr>
          <w:rFonts w:hint="eastAsia" w:ascii="宋体" w:hAnsi="宋体" w:eastAsia="宋体" w:cs="宋体"/>
          <w:b/>
          <w:color w:val="auto"/>
          <w:sz w:val="36"/>
          <w:highlight w:val="none"/>
        </w:rPr>
      </w:pPr>
      <w:bookmarkStart w:id="24" w:name="_Toc31209"/>
      <w:r>
        <w:rPr>
          <w:rFonts w:hint="eastAsia" w:ascii="宋体" w:hAnsi="宋体" w:eastAsia="宋体" w:cs="宋体"/>
          <w:b/>
          <w:color w:val="auto"/>
          <w:sz w:val="36"/>
          <w:highlight w:val="none"/>
        </w:rPr>
        <w:t>第六章投标文件格式</w:t>
      </w:r>
      <w:bookmarkEnd w:id="24"/>
    </w:p>
    <w:p w14:paraId="56447050">
      <w:pPr>
        <w:widowControl/>
        <w:spacing w:beforeAutospacing="1" w:line="360" w:lineRule="auto"/>
        <w:jc w:val="left"/>
        <w:rPr>
          <w:rFonts w:hint="eastAsia" w:ascii="宋体" w:hAnsi="宋体" w:eastAsia="宋体" w:cs="宋体"/>
          <w:color w:val="auto"/>
          <w:szCs w:val="20"/>
          <w:highlight w:val="none"/>
        </w:rPr>
        <w:sectPr>
          <w:pgSz w:w="11906" w:h="16838"/>
          <w:pgMar w:top="1134" w:right="1134" w:bottom="1134" w:left="1134" w:header="720" w:footer="720" w:gutter="0"/>
          <w:cols w:space="720" w:num="1"/>
          <w:docGrid w:type="lines" w:linePitch="331" w:charSpace="0"/>
        </w:sectPr>
      </w:pPr>
    </w:p>
    <w:p w14:paraId="2912BC7C">
      <w:pPr>
        <w:pStyle w:val="18"/>
        <w:ind w:firstLine="551" w:firstLineChars="196"/>
        <w:jc w:val="center"/>
        <w:outlineLvl w:val="1"/>
        <w:rPr>
          <w:rFonts w:hint="eastAsia" w:ascii="宋体" w:hAnsi="宋体" w:eastAsia="宋体" w:cs="宋体"/>
          <w:b/>
          <w:bCs/>
          <w:color w:val="auto"/>
          <w:sz w:val="28"/>
          <w:szCs w:val="28"/>
          <w:highlight w:val="none"/>
        </w:rPr>
      </w:pPr>
      <w:bookmarkStart w:id="25" w:name="_Toc15299"/>
      <w:r>
        <w:rPr>
          <w:rFonts w:hint="eastAsia" w:ascii="宋体" w:hAnsi="宋体" w:eastAsia="宋体" w:cs="宋体"/>
          <w:b/>
          <w:bCs/>
          <w:color w:val="auto"/>
          <w:sz w:val="28"/>
          <w:szCs w:val="28"/>
          <w:highlight w:val="none"/>
        </w:rPr>
        <w:t>第一节投标文件外层包装封面</w:t>
      </w:r>
      <w:bookmarkEnd w:id="25"/>
    </w:p>
    <w:p w14:paraId="6BD7CAA9">
      <w:pPr>
        <w:spacing w:before="120" w:beforeLines="50" w:after="120" w:afterLines="50"/>
        <w:jc w:val="center"/>
        <w:rPr>
          <w:rFonts w:hint="eastAsia" w:ascii="宋体" w:hAnsi="宋体" w:eastAsia="宋体" w:cs="宋体"/>
          <w:color w:val="auto"/>
          <w:spacing w:val="20"/>
          <w:sz w:val="44"/>
          <w:szCs w:val="44"/>
          <w:highlight w:val="none"/>
        </w:rPr>
      </w:pPr>
    </w:p>
    <w:p w14:paraId="17489AE1">
      <w:pPr>
        <w:spacing w:before="120" w:beforeLines="50" w:after="120" w:afterLines="50"/>
        <w:jc w:val="center"/>
        <w:rPr>
          <w:rFonts w:hint="eastAsia" w:ascii="宋体" w:hAnsi="宋体" w:eastAsia="宋体" w:cs="宋体"/>
          <w:color w:val="auto"/>
          <w:spacing w:val="20"/>
          <w:sz w:val="44"/>
          <w:szCs w:val="44"/>
          <w:highlight w:val="none"/>
        </w:rPr>
      </w:pPr>
    </w:p>
    <w:p w14:paraId="34EEF72D">
      <w:pPr>
        <w:spacing w:before="120" w:beforeLines="50" w:after="120" w:afterLines="50"/>
        <w:jc w:val="center"/>
        <w:rPr>
          <w:rFonts w:hint="eastAsia" w:ascii="宋体" w:hAnsi="宋体" w:eastAsia="宋体" w:cs="宋体"/>
          <w:color w:val="auto"/>
          <w:spacing w:val="20"/>
          <w:sz w:val="44"/>
          <w:szCs w:val="44"/>
          <w:highlight w:val="none"/>
        </w:rPr>
      </w:pPr>
    </w:p>
    <w:p w14:paraId="5C4271C9">
      <w:pPr>
        <w:spacing w:before="120" w:beforeLines="50" w:after="120" w:afterLines="50"/>
        <w:jc w:val="center"/>
        <w:rPr>
          <w:rFonts w:hint="eastAsia" w:ascii="宋体" w:hAnsi="宋体" w:eastAsia="宋体" w:cs="宋体"/>
          <w:color w:val="auto"/>
          <w:spacing w:val="40"/>
          <w:w w:val="110"/>
          <w:sz w:val="44"/>
          <w:szCs w:val="44"/>
          <w:highlight w:val="none"/>
          <w:u w:val="single"/>
          <w:lang w:eastAsia="zh-CN"/>
        </w:rPr>
      </w:pPr>
      <w:r>
        <w:rPr>
          <w:rFonts w:hint="eastAsia" w:ascii="宋体" w:hAnsi="宋体" w:cs="宋体"/>
          <w:color w:val="auto"/>
          <w:spacing w:val="40"/>
          <w:w w:val="110"/>
          <w:sz w:val="44"/>
          <w:szCs w:val="44"/>
          <w:highlight w:val="none"/>
          <w:u w:val="single"/>
          <w:lang w:eastAsia="zh-CN"/>
        </w:rPr>
        <w:t>（</w:t>
      </w:r>
      <w:r>
        <w:rPr>
          <w:rFonts w:hint="eastAsia" w:ascii="宋体" w:hAnsi="宋体" w:cs="宋体"/>
          <w:color w:val="auto"/>
          <w:spacing w:val="40"/>
          <w:w w:val="110"/>
          <w:sz w:val="44"/>
          <w:szCs w:val="44"/>
          <w:highlight w:val="none"/>
          <w:u w:val="single"/>
          <w:lang w:val="en-US" w:eastAsia="zh-CN"/>
        </w:rPr>
        <w:t>项目名称</w:t>
      </w:r>
      <w:r>
        <w:rPr>
          <w:rFonts w:hint="eastAsia" w:ascii="宋体" w:hAnsi="宋体" w:cs="宋体"/>
          <w:color w:val="auto"/>
          <w:spacing w:val="40"/>
          <w:w w:val="110"/>
          <w:sz w:val="44"/>
          <w:szCs w:val="44"/>
          <w:highlight w:val="none"/>
          <w:u w:val="single"/>
          <w:lang w:eastAsia="zh-CN"/>
        </w:rPr>
        <w:t>）</w:t>
      </w:r>
    </w:p>
    <w:p w14:paraId="486A1C57">
      <w:pPr>
        <w:spacing w:before="120" w:beforeLines="50" w:after="120" w:afterLines="50"/>
        <w:jc w:val="center"/>
        <w:rPr>
          <w:rFonts w:hint="eastAsia" w:ascii="宋体" w:hAnsi="宋体" w:eastAsia="宋体" w:cs="宋体"/>
          <w:color w:val="auto"/>
          <w:spacing w:val="40"/>
          <w:w w:val="110"/>
          <w:sz w:val="44"/>
          <w:szCs w:val="44"/>
          <w:highlight w:val="none"/>
        </w:rPr>
      </w:pPr>
      <w:r>
        <w:rPr>
          <w:rFonts w:hint="eastAsia" w:ascii="宋体" w:hAnsi="宋体" w:eastAsia="宋体" w:cs="宋体"/>
          <w:color w:val="auto"/>
          <w:spacing w:val="40"/>
          <w:w w:val="110"/>
          <w:sz w:val="44"/>
          <w:szCs w:val="44"/>
          <w:highlight w:val="none"/>
        </w:rPr>
        <w:t>投标文件</w:t>
      </w:r>
    </w:p>
    <w:p w14:paraId="16B5C4E8">
      <w:pPr>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（电子投标文件）</w:t>
      </w:r>
    </w:p>
    <w:tbl>
      <w:tblPr>
        <w:tblStyle w:val="35"/>
        <w:tblW w:w="0" w:type="auto"/>
        <w:jc w:val="center"/>
        <w:tblLayout w:type="fixed"/>
        <w:tblCellMar>
          <w:top w:w="0" w:type="dxa"/>
          <w:left w:w="108" w:type="dxa"/>
          <w:bottom w:w="0" w:type="dxa"/>
          <w:right w:w="108" w:type="dxa"/>
        </w:tblCellMar>
      </w:tblPr>
      <w:tblGrid>
        <w:gridCol w:w="1601"/>
        <w:gridCol w:w="6172"/>
      </w:tblGrid>
      <w:tr w14:paraId="0ECFC6C5">
        <w:tblPrEx>
          <w:tblCellMar>
            <w:top w:w="0" w:type="dxa"/>
            <w:left w:w="108" w:type="dxa"/>
            <w:bottom w:w="0" w:type="dxa"/>
            <w:right w:w="108" w:type="dxa"/>
          </w:tblCellMar>
        </w:tblPrEx>
        <w:trPr>
          <w:jc w:val="center"/>
        </w:trPr>
        <w:tc>
          <w:tcPr>
            <w:tcW w:w="1601" w:type="dxa"/>
            <w:noWrap w:val="0"/>
            <w:vAlign w:val="bottom"/>
          </w:tcPr>
          <w:p w14:paraId="2D7C9E0B">
            <w:pPr>
              <w:jc w:val="distribute"/>
              <w:rPr>
                <w:rFonts w:hint="eastAsia" w:ascii="宋体" w:hAnsi="宋体" w:eastAsia="宋体" w:cs="宋体"/>
                <w:color w:val="auto"/>
                <w:sz w:val="24"/>
                <w:highlight w:val="none"/>
              </w:rPr>
            </w:pPr>
            <w:r>
              <w:rPr>
                <w:rFonts w:hint="eastAsia" w:ascii="宋体" w:hAnsi="宋体" w:eastAsia="宋体" w:cs="宋体"/>
                <w:color w:val="auto"/>
                <w:sz w:val="24"/>
                <w:highlight w:val="none"/>
              </w:rPr>
              <w:t>项目名称：</w:t>
            </w:r>
          </w:p>
        </w:tc>
        <w:tc>
          <w:tcPr>
            <w:tcW w:w="6172" w:type="dxa"/>
            <w:tcBorders>
              <w:top w:val="nil"/>
              <w:left w:val="nil"/>
              <w:bottom w:val="single" w:color="000000" w:sz="4" w:space="0"/>
              <w:right w:val="nil"/>
            </w:tcBorders>
            <w:noWrap w:val="0"/>
            <w:vAlign w:val="bottom"/>
          </w:tcPr>
          <w:p w14:paraId="06FC9B11">
            <w:pPr>
              <w:jc w:val="left"/>
              <w:rPr>
                <w:rFonts w:hint="eastAsia" w:ascii="宋体" w:hAnsi="宋体" w:eastAsia="宋体" w:cs="宋体"/>
                <w:color w:val="auto"/>
                <w:sz w:val="24"/>
                <w:highlight w:val="none"/>
                <w:lang w:eastAsia="zh-CN"/>
              </w:rPr>
            </w:pPr>
          </w:p>
        </w:tc>
      </w:tr>
      <w:tr w14:paraId="00999A64">
        <w:tblPrEx>
          <w:tblCellMar>
            <w:top w:w="0" w:type="dxa"/>
            <w:left w:w="108" w:type="dxa"/>
            <w:bottom w:w="0" w:type="dxa"/>
            <w:right w:w="108" w:type="dxa"/>
          </w:tblCellMar>
        </w:tblPrEx>
        <w:trPr>
          <w:jc w:val="center"/>
        </w:trPr>
        <w:tc>
          <w:tcPr>
            <w:tcW w:w="1601" w:type="dxa"/>
            <w:noWrap w:val="0"/>
            <w:vAlign w:val="bottom"/>
          </w:tcPr>
          <w:p w14:paraId="4FEEF326">
            <w:pPr>
              <w:jc w:val="distribute"/>
              <w:rPr>
                <w:rFonts w:hint="eastAsia" w:ascii="宋体" w:hAnsi="宋体" w:eastAsia="宋体" w:cs="宋体"/>
                <w:color w:val="auto"/>
                <w:sz w:val="24"/>
                <w:highlight w:val="none"/>
              </w:rPr>
            </w:pPr>
            <w:r>
              <w:rPr>
                <w:rFonts w:hint="eastAsia" w:ascii="宋体" w:hAnsi="宋体" w:eastAsia="宋体" w:cs="宋体"/>
                <w:color w:val="auto"/>
                <w:sz w:val="24"/>
                <w:highlight w:val="none"/>
              </w:rPr>
              <w:t>采购方式：</w:t>
            </w:r>
          </w:p>
        </w:tc>
        <w:tc>
          <w:tcPr>
            <w:tcW w:w="6172" w:type="dxa"/>
            <w:tcBorders>
              <w:top w:val="single" w:color="000000" w:sz="4" w:space="0"/>
              <w:left w:val="nil"/>
              <w:bottom w:val="single" w:color="000000" w:sz="4" w:space="0"/>
              <w:right w:val="nil"/>
            </w:tcBorders>
            <w:noWrap w:val="0"/>
            <w:vAlign w:val="bottom"/>
          </w:tcPr>
          <w:p w14:paraId="2A13B6F5">
            <w:pPr>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公开招标</w:t>
            </w:r>
          </w:p>
        </w:tc>
      </w:tr>
      <w:tr w14:paraId="38D9F8A3">
        <w:tblPrEx>
          <w:tblCellMar>
            <w:top w:w="0" w:type="dxa"/>
            <w:left w:w="108" w:type="dxa"/>
            <w:bottom w:w="0" w:type="dxa"/>
            <w:right w:w="108" w:type="dxa"/>
          </w:tblCellMar>
        </w:tblPrEx>
        <w:trPr>
          <w:jc w:val="center"/>
        </w:trPr>
        <w:tc>
          <w:tcPr>
            <w:tcW w:w="1601" w:type="dxa"/>
            <w:noWrap w:val="0"/>
            <w:vAlign w:val="bottom"/>
          </w:tcPr>
          <w:p w14:paraId="0633E679">
            <w:pPr>
              <w:jc w:val="distribute"/>
              <w:rPr>
                <w:rFonts w:hint="eastAsia" w:ascii="宋体" w:hAnsi="宋体" w:eastAsia="宋体" w:cs="宋体"/>
                <w:color w:val="auto"/>
                <w:sz w:val="24"/>
                <w:highlight w:val="none"/>
              </w:rPr>
            </w:pPr>
            <w:r>
              <w:rPr>
                <w:rFonts w:hint="eastAsia" w:ascii="宋体" w:hAnsi="宋体" w:eastAsia="宋体" w:cs="宋体"/>
                <w:color w:val="auto"/>
                <w:sz w:val="24"/>
                <w:highlight w:val="none"/>
              </w:rPr>
              <w:t>项目编号：</w:t>
            </w:r>
          </w:p>
        </w:tc>
        <w:tc>
          <w:tcPr>
            <w:tcW w:w="6172" w:type="dxa"/>
            <w:tcBorders>
              <w:top w:val="single" w:color="000000" w:sz="4" w:space="0"/>
              <w:left w:val="nil"/>
              <w:bottom w:val="single" w:color="000000" w:sz="4" w:space="0"/>
              <w:right w:val="nil"/>
            </w:tcBorders>
            <w:noWrap w:val="0"/>
            <w:vAlign w:val="bottom"/>
          </w:tcPr>
          <w:p w14:paraId="3E95F0E7">
            <w:pPr>
              <w:jc w:val="left"/>
              <w:rPr>
                <w:rFonts w:hint="eastAsia" w:ascii="宋体" w:hAnsi="宋体" w:eastAsia="宋体" w:cs="宋体"/>
                <w:color w:val="auto"/>
                <w:sz w:val="24"/>
                <w:highlight w:val="none"/>
                <w:lang w:eastAsia="zh-CN"/>
              </w:rPr>
            </w:pPr>
            <w:r>
              <w:rPr>
                <w:rFonts w:hint="eastAsia" w:ascii="宋体" w:hAnsi="宋体" w:cs="宋体"/>
                <w:color w:val="auto"/>
                <w:sz w:val="24"/>
                <w:highlight w:val="none"/>
                <w:lang w:eastAsia="zh-CN"/>
              </w:rPr>
              <w:t>NNZC2026-G3-270174-GXZT</w:t>
            </w:r>
          </w:p>
        </w:tc>
      </w:tr>
      <w:tr w14:paraId="6C17E493">
        <w:tblPrEx>
          <w:tblCellMar>
            <w:top w:w="0" w:type="dxa"/>
            <w:left w:w="108" w:type="dxa"/>
            <w:bottom w:w="0" w:type="dxa"/>
            <w:right w:w="108" w:type="dxa"/>
          </w:tblCellMar>
        </w:tblPrEx>
        <w:trPr>
          <w:jc w:val="center"/>
        </w:trPr>
        <w:tc>
          <w:tcPr>
            <w:tcW w:w="1601" w:type="dxa"/>
            <w:noWrap w:val="0"/>
            <w:vAlign w:val="bottom"/>
          </w:tcPr>
          <w:p w14:paraId="640199F6">
            <w:pPr>
              <w:jc w:val="distribute"/>
              <w:rPr>
                <w:rFonts w:hint="eastAsia" w:ascii="宋体" w:hAnsi="宋体" w:eastAsia="宋体" w:cs="宋体"/>
                <w:color w:val="auto"/>
                <w:sz w:val="24"/>
                <w:highlight w:val="none"/>
              </w:rPr>
            </w:pPr>
            <w:r>
              <w:rPr>
                <w:rFonts w:hint="eastAsia" w:ascii="宋体" w:hAnsi="宋体" w:eastAsia="宋体" w:cs="宋体"/>
                <w:color w:val="auto"/>
                <w:sz w:val="24"/>
                <w:highlight w:val="none"/>
              </w:rPr>
              <w:t>所投分标：</w:t>
            </w:r>
          </w:p>
        </w:tc>
        <w:tc>
          <w:tcPr>
            <w:tcW w:w="6172" w:type="dxa"/>
            <w:tcBorders>
              <w:top w:val="single" w:color="000000" w:sz="4" w:space="0"/>
              <w:left w:val="nil"/>
              <w:bottom w:val="single" w:color="000000" w:sz="4" w:space="0"/>
              <w:right w:val="nil"/>
            </w:tcBorders>
            <w:noWrap w:val="0"/>
            <w:vAlign w:val="bottom"/>
          </w:tcPr>
          <w:p w14:paraId="6650A71E">
            <w:pPr>
              <w:jc w:val="left"/>
              <w:rPr>
                <w:rFonts w:hint="eastAsia" w:ascii="宋体" w:hAnsi="宋体" w:eastAsia="宋体" w:cs="宋体"/>
                <w:color w:val="auto"/>
                <w:sz w:val="24"/>
                <w:highlight w:val="none"/>
              </w:rPr>
            </w:pPr>
          </w:p>
        </w:tc>
      </w:tr>
      <w:tr w14:paraId="7614AC22">
        <w:tblPrEx>
          <w:tblCellMar>
            <w:top w:w="0" w:type="dxa"/>
            <w:left w:w="108" w:type="dxa"/>
            <w:bottom w:w="0" w:type="dxa"/>
            <w:right w:w="108" w:type="dxa"/>
          </w:tblCellMar>
        </w:tblPrEx>
        <w:trPr>
          <w:jc w:val="center"/>
        </w:trPr>
        <w:tc>
          <w:tcPr>
            <w:tcW w:w="1601" w:type="dxa"/>
            <w:noWrap w:val="0"/>
            <w:vAlign w:val="bottom"/>
          </w:tcPr>
          <w:p w14:paraId="2771849B">
            <w:pPr>
              <w:jc w:val="distribute"/>
              <w:rPr>
                <w:rFonts w:hint="eastAsia" w:ascii="宋体" w:hAnsi="宋体" w:eastAsia="宋体" w:cs="宋体"/>
                <w:color w:val="auto"/>
                <w:sz w:val="24"/>
                <w:highlight w:val="none"/>
              </w:rPr>
            </w:pPr>
            <w:r>
              <w:rPr>
                <w:rFonts w:hint="eastAsia" w:ascii="宋体" w:hAnsi="宋体" w:eastAsia="宋体" w:cs="宋体"/>
                <w:color w:val="auto"/>
                <w:sz w:val="24"/>
                <w:highlight w:val="none"/>
              </w:rPr>
              <w:t>投标人名称：</w:t>
            </w:r>
          </w:p>
        </w:tc>
        <w:tc>
          <w:tcPr>
            <w:tcW w:w="6172" w:type="dxa"/>
            <w:tcBorders>
              <w:top w:val="single" w:color="000000" w:sz="4" w:space="0"/>
              <w:left w:val="nil"/>
              <w:bottom w:val="single" w:color="000000" w:sz="4" w:space="0"/>
              <w:right w:val="nil"/>
            </w:tcBorders>
            <w:noWrap w:val="0"/>
            <w:vAlign w:val="bottom"/>
          </w:tcPr>
          <w:p w14:paraId="5EB3A605">
            <w:pPr>
              <w:jc w:val="left"/>
              <w:rPr>
                <w:rFonts w:hint="eastAsia" w:ascii="宋体" w:hAnsi="宋体" w:eastAsia="宋体" w:cs="宋体"/>
                <w:color w:val="auto"/>
                <w:sz w:val="24"/>
                <w:highlight w:val="none"/>
              </w:rPr>
            </w:pPr>
          </w:p>
        </w:tc>
      </w:tr>
      <w:tr w14:paraId="300FBB0E">
        <w:tblPrEx>
          <w:tblCellMar>
            <w:top w:w="0" w:type="dxa"/>
            <w:left w:w="108" w:type="dxa"/>
            <w:bottom w:w="0" w:type="dxa"/>
            <w:right w:w="108" w:type="dxa"/>
          </w:tblCellMar>
        </w:tblPrEx>
        <w:trPr>
          <w:jc w:val="center"/>
        </w:trPr>
        <w:tc>
          <w:tcPr>
            <w:tcW w:w="1601" w:type="dxa"/>
            <w:noWrap w:val="0"/>
            <w:vAlign w:val="bottom"/>
          </w:tcPr>
          <w:p w14:paraId="7F3A22FA">
            <w:pPr>
              <w:jc w:val="distribute"/>
              <w:rPr>
                <w:rFonts w:hint="eastAsia" w:ascii="宋体" w:hAnsi="宋体" w:eastAsia="宋体" w:cs="宋体"/>
                <w:color w:val="auto"/>
                <w:sz w:val="24"/>
                <w:highlight w:val="none"/>
              </w:rPr>
            </w:pPr>
            <w:r>
              <w:rPr>
                <w:rFonts w:hint="eastAsia" w:ascii="宋体" w:hAnsi="宋体" w:eastAsia="宋体" w:cs="宋体"/>
                <w:color w:val="auto"/>
                <w:sz w:val="24"/>
                <w:highlight w:val="none"/>
              </w:rPr>
              <w:t>投标人地址：</w:t>
            </w:r>
          </w:p>
        </w:tc>
        <w:tc>
          <w:tcPr>
            <w:tcW w:w="6172" w:type="dxa"/>
            <w:tcBorders>
              <w:top w:val="single" w:color="000000" w:sz="4" w:space="0"/>
              <w:left w:val="nil"/>
              <w:bottom w:val="single" w:color="000000" w:sz="4" w:space="0"/>
              <w:right w:val="nil"/>
            </w:tcBorders>
            <w:noWrap w:val="0"/>
            <w:vAlign w:val="bottom"/>
          </w:tcPr>
          <w:p w14:paraId="408C9B00">
            <w:pPr>
              <w:jc w:val="left"/>
              <w:rPr>
                <w:rFonts w:hint="eastAsia" w:ascii="宋体" w:hAnsi="宋体" w:eastAsia="宋体" w:cs="宋体"/>
                <w:color w:val="auto"/>
                <w:sz w:val="24"/>
                <w:highlight w:val="none"/>
              </w:rPr>
            </w:pPr>
          </w:p>
        </w:tc>
      </w:tr>
    </w:tbl>
    <w:p w14:paraId="0336E5B1">
      <w:pPr>
        <w:ind w:firstLine="4200" w:firstLineChars="1750"/>
        <w:rPr>
          <w:rFonts w:hint="eastAsia" w:ascii="宋体" w:hAnsi="宋体" w:eastAsia="宋体" w:cs="宋体"/>
          <w:color w:val="auto"/>
          <w:sz w:val="24"/>
          <w:highlight w:val="none"/>
        </w:rPr>
      </w:pPr>
    </w:p>
    <w:p w14:paraId="49588B47">
      <w:pPr>
        <w:ind w:firstLine="4200" w:firstLineChars="1750"/>
        <w:rPr>
          <w:rFonts w:hint="eastAsia" w:ascii="宋体" w:hAnsi="宋体" w:eastAsia="宋体" w:cs="宋体"/>
          <w:color w:val="auto"/>
          <w:sz w:val="24"/>
          <w:highlight w:val="none"/>
        </w:rPr>
      </w:pPr>
    </w:p>
    <w:p w14:paraId="31625F4E">
      <w:pPr>
        <w:ind w:firstLine="4200" w:firstLineChars="1750"/>
        <w:rPr>
          <w:rFonts w:hint="eastAsia" w:ascii="宋体" w:hAnsi="宋体" w:eastAsia="宋体" w:cs="宋体"/>
          <w:color w:val="auto"/>
          <w:sz w:val="24"/>
          <w:highlight w:val="none"/>
        </w:rPr>
      </w:pPr>
    </w:p>
    <w:p w14:paraId="324CF69D">
      <w:pPr>
        <w:ind w:firstLine="5880" w:firstLineChars="2450"/>
        <w:rPr>
          <w:rFonts w:hint="eastAsia" w:ascii="宋体" w:hAnsi="宋体" w:eastAsia="宋体" w:cs="宋体"/>
          <w:color w:val="auto"/>
          <w:sz w:val="24"/>
          <w:highlight w:val="none"/>
        </w:rPr>
      </w:pPr>
      <w:r>
        <w:rPr>
          <w:rFonts w:hint="eastAsia" w:ascii="宋体" w:hAnsi="宋体" w:eastAsia="宋体" w:cs="宋体"/>
          <w:color w:val="auto"/>
          <w:sz w:val="24"/>
          <w:highlight w:val="none"/>
        </w:rPr>
        <w:t>投标截止时间前不得解密</w:t>
      </w:r>
    </w:p>
    <w:p w14:paraId="0D87B54B">
      <w:pPr>
        <w:ind w:firstLine="6480" w:firstLineChars="2700"/>
        <w:rPr>
          <w:rFonts w:hint="eastAsia" w:ascii="宋体" w:hAnsi="宋体" w:eastAsia="宋体" w:cs="宋体"/>
          <w:color w:val="auto"/>
          <w:sz w:val="24"/>
          <w:highlight w:val="none"/>
        </w:rPr>
      </w:pPr>
      <w:r>
        <w:rPr>
          <w:rFonts w:hint="eastAsia" w:ascii="宋体" w:hAnsi="宋体" w:eastAsia="宋体" w:cs="宋体"/>
          <w:color w:val="auto"/>
          <w:sz w:val="24"/>
          <w:highlight w:val="none"/>
        </w:rPr>
        <w:t>年月日</w:t>
      </w:r>
    </w:p>
    <w:p w14:paraId="0B1DF18F">
      <w:pPr>
        <w:widowControl/>
        <w:jc w:val="left"/>
        <w:rPr>
          <w:rFonts w:hint="eastAsia" w:ascii="宋体" w:hAnsi="宋体" w:eastAsia="宋体" w:cs="宋体"/>
          <w:color w:val="auto"/>
          <w:sz w:val="24"/>
          <w:highlight w:val="none"/>
        </w:rPr>
        <w:sectPr>
          <w:pgSz w:w="11907" w:h="16840"/>
          <w:pgMar w:top="1531" w:right="1418" w:bottom="1361" w:left="1418" w:header="720" w:footer="720" w:gutter="0"/>
          <w:cols w:space="720" w:num="1"/>
        </w:sectPr>
      </w:pPr>
    </w:p>
    <w:p w14:paraId="69B18CD5">
      <w:pPr>
        <w:pStyle w:val="18"/>
        <w:jc w:val="center"/>
        <w:outlineLvl w:val="1"/>
        <w:rPr>
          <w:rFonts w:hint="eastAsia" w:ascii="宋体" w:hAnsi="宋体" w:eastAsia="宋体" w:cs="宋体"/>
          <w:b/>
          <w:bCs/>
          <w:color w:val="auto"/>
          <w:sz w:val="28"/>
          <w:szCs w:val="28"/>
          <w:highlight w:val="none"/>
        </w:rPr>
      </w:pPr>
      <w:bookmarkStart w:id="26" w:name="_Toc6921"/>
      <w:r>
        <w:rPr>
          <w:rFonts w:hint="eastAsia" w:ascii="宋体" w:hAnsi="宋体" w:eastAsia="宋体" w:cs="宋体"/>
          <w:b/>
          <w:bCs/>
          <w:color w:val="auto"/>
          <w:sz w:val="28"/>
          <w:szCs w:val="28"/>
          <w:highlight w:val="none"/>
        </w:rPr>
        <w:t>第二节资格证明文件格式</w:t>
      </w:r>
      <w:bookmarkEnd w:id="26"/>
    </w:p>
    <w:p w14:paraId="3A787296">
      <w:pPr>
        <w:pStyle w:val="18"/>
        <w:spacing w:line="360" w:lineRule="auto"/>
        <w:ind w:firstLine="420"/>
        <w:rPr>
          <w:rFonts w:hint="eastAsia" w:ascii="宋体" w:hAnsi="宋体" w:eastAsia="宋体" w:cs="宋体"/>
          <w:color w:val="auto"/>
          <w:sz w:val="30"/>
          <w:highlight w:val="none"/>
        </w:rPr>
      </w:pPr>
    </w:p>
    <w:p w14:paraId="052BFA87">
      <w:pPr>
        <w:snapToGrid w:val="0"/>
        <w:spacing w:before="165" w:beforeLines="50" w:after="50"/>
        <w:rPr>
          <w:rFonts w:hint="eastAsia" w:ascii="宋体" w:hAnsi="宋体" w:eastAsia="宋体" w:cs="宋体"/>
          <w:bCs/>
          <w:color w:val="auto"/>
          <w:sz w:val="32"/>
          <w:szCs w:val="20"/>
          <w:highlight w:val="none"/>
        </w:rPr>
      </w:pPr>
      <w:r>
        <w:rPr>
          <w:rFonts w:hint="eastAsia" w:ascii="宋体" w:hAnsi="宋体" w:eastAsia="宋体" w:cs="宋体"/>
          <w:bCs/>
          <w:color w:val="auto"/>
          <w:highlight w:val="none"/>
        </w:rPr>
        <w:t>电子投标文件</w:t>
      </w:r>
    </w:p>
    <w:p w14:paraId="277041DC">
      <w:pPr>
        <w:snapToGrid w:val="0"/>
        <w:spacing w:before="165" w:beforeLines="50" w:after="50"/>
        <w:rPr>
          <w:rFonts w:hint="eastAsia" w:ascii="宋体" w:hAnsi="宋体" w:eastAsia="宋体" w:cs="宋体"/>
          <w:color w:val="auto"/>
          <w:sz w:val="24"/>
          <w:szCs w:val="20"/>
          <w:highlight w:val="none"/>
        </w:rPr>
      </w:pPr>
    </w:p>
    <w:p w14:paraId="2DC602AF">
      <w:pPr>
        <w:snapToGrid w:val="0"/>
        <w:spacing w:before="165" w:beforeLines="50" w:after="50"/>
        <w:jc w:val="center"/>
        <w:rPr>
          <w:rFonts w:hint="eastAsia" w:ascii="宋体" w:hAnsi="宋体" w:eastAsia="宋体" w:cs="宋体"/>
          <w:b/>
          <w:color w:val="auto"/>
          <w:sz w:val="24"/>
          <w:szCs w:val="20"/>
          <w:highlight w:val="none"/>
        </w:rPr>
      </w:pPr>
      <w:r>
        <w:rPr>
          <w:rFonts w:hint="eastAsia" w:ascii="宋体" w:hAnsi="宋体" w:eastAsia="宋体" w:cs="宋体"/>
          <w:b/>
          <w:color w:val="auto"/>
          <w:sz w:val="32"/>
          <w:szCs w:val="32"/>
          <w:highlight w:val="none"/>
        </w:rPr>
        <w:t>资格证明文件（封面）</w:t>
      </w:r>
    </w:p>
    <w:p w14:paraId="605FEC4F">
      <w:pPr>
        <w:snapToGrid w:val="0"/>
        <w:spacing w:before="165" w:beforeLines="50" w:after="50"/>
        <w:rPr>
          <w:rFonts w:hint="eastAsia" w:ascii="宋体" w:hAnsi="宋体" w:eastAsia="宋体" w:cs="宋体"/>
          <w:bCs/>
          <w:color w:val="auto"/>
          <w:sz w:val="24"/>
          <w:szCs w:val="20"/>
          <w:highlight w:val="none"/>
        </w:rPr>
      </w:pPr>
    </w:p>
    <w:p w14:paraId="1E0A3F08">
      <w:pPr>
        <w:snapToGrid w:val="0"/>
        <w:spacing w:before="165" w:beforeLines="50" w:after="50"/>
        <w:rPr>
          <w:rFonts w:hint="eastAsia" w:ascii="宋体" w:hAnsi="宋体" w:eastAsia="宋体" w:cs="宋体"/>
          <w:bCs/>
          <w:color w:val="auto"/>
          <w:sz w:val="24"/>
          <w:szCs w:val="20"/>
          <w:highlight w:val="none"/>
        </w:rPr>
      </w:pPr>
    </w:p>
    <w:p w14:paraId="5747DA63">
      <w:pPr>
        <w:snapToGrid w:val="0"/>
        <w:spacing w:before="165" w:beforeLines="50" w:after="50"/>
        <w:rPr>
          <w:rFonts w:hint="eastAsia" w:ascii="宋体" w:hAnsi="宋体" w:eastAsia="宋体" w:cs="宋体"/>
          <w:bCs/>
          <w:color w:val="auto"/>
          <w:sz w:val="24"/>
          <w:szCs w:val="20"/>
          <w:highlight w:val="none"/>
        </w:rPr>
      </w:pPr>
    </w:p>
    <w:p w14:paraId="4C6665F0">
      <w:pPr>
        <w:snapToGrid w:val="0"/>
        <w:spacing w:before="165" w:beforeLines="50" w:after="50"/>
        <w:rPr>
          <w:rFonts w:hint="eastAsia" w:ascii="宋体" w:hAnsi="宋体" w:eastAsia="宋体" w:cs="宋体"/>
          <w:bCs/>
          <w:color w:val="auto"/>
          <w:sz w:val="24"/>
          <w:szCs w:val="20"/>
          <w:highlight w:val="none"/>
        </w:rPr>
      </w:pPr>
    </w:p>
    <w:p w14:paraId="5D4F0A79">
      <w:pPr>
        <w:snapToGrid w:val="0"/>
        <w:spacing w:before="165" w:beforeLines="50" w:after="50"/>
        <w:rPr>
          <w:rFonts w:hint="eastAsia" w:ascii="宋体" w:hAnsi="宋体" w:eastAsia="宋体" w:cs="宋体"/>
          <w:bCs/>
          <w:color w:val="auto"/>
          <w:sz w:val="24"/>
          <w:szCs w:val="20"/>
          <w:highlight w:val="none"/>
        </w:rPr>
      </w:pPr>
    </w:p>
    <w:p w14:paraId="3E3651E8">
      <w:pPr>
        <w:snapToGrid w:val="0"/>
        <w:spacing w:before="165" w:beforeLines="50" w:after="50"/>
        <w:rPr>
          <w:rFonts w:hint="eastAsia" w:ascii="宋体" w:hAnsi="宋体" w:eastAsia="宋体" w:cs="宋体"/>
          <w:bCs/>
          <w:color w:val="auto"/>
          <w:sz w:val="24"/>
          <w:szCs w:val="20"/>
          <w:highlight w:val="none"/>
        </w:rPr>
      </w:pPr>
    </w:p>
    <w:p w14:paraId="51D6C8BF">
      <w:pPr>
        <w:snapToGrid w:val="0"/>
        <w:spacing w:before="165" w:beforeLines="50" w:after="50"/>
        <w:rPr>
          <w:rFonts w:hint="eastAsia" w:ascii="宋体" w:hAnsi="宋体" w:eastAsia="宋体" w:cs="宋体"/>
          <w:bCs/>
          <w:color w:val="auto"/>
          <w:sz w:val="24"/>
          <w:szCs w:val="20"/>
          <w:highlight w:val="none"/>
        </w:rPr>
      </w:pPr>
    </w:p>
    <w:p w14:paraId="0FD9B83E">
      <w:pPr>
        <w:snapToGrid w:val="0"/>
        <w:spacing w:before="165" w:beforeLines="50" w:after="50"/>
        <w:ind w:firstLine="540" w:firstLineChars="225"/>
        <w:rPr>
          <w:rFonts w:hint="eastAsia" w:ascii="宋体" w:hAnsi="宋体" w:eastAsia="宋体" w:cs="宋体"/>
          <w:bCs/>
          <w:color w:val="auto"/>
          <w:sz w:val="24"/>
          <w:highlight w:val="none"/>
          <w:lang w:eastAsia="zh-CN"/>
        </w:rPr>
      </w:pPr>
      <w:r>
        <w:rPr>
          <w:rFonts w:hint="eastAsia" w:ascii="宋体" w:hAnsi="宋体" w:eastAsia="宋体" w:cs="宋体"/>
          <w:bCs/>
          <w:color w:val="auto"/>
          <w:sz w:val="24"/>
          <w:highlight w:val="none"/>
        </w:rPr>
        <w:t>项目名称：</w:t>
      </w:r>
    </w:p>
    <w:p w14:paraId="74182F37">
      <w:pPr>
        <w:snapToGrid w:val="0"/>
        <w:spacing w:before="165" w:beforeLines="50" w:after="50"/>
        <w:ind w:firstLine="540" w:firstLineChars="225"/>
        <w:rPr>
          <w:rFonts w:hint="eastAsia" w:ascii="宋体" w:hAnsi="宋体" w:eastAsia="宋体" w:cs="宋体"/>
          <w:bCs/>
          <w:color w:val="auto"/>
          <w:sz w:val="24"/>
          <w:szCs w:val="20"/>
          <w:highlight w:val="none"/>
        </w:rPr>
      </w:pPr>
    </w:p>
    <w:p w14:paraId="4CC1E742">
      <w:pPr>
        <w:snapToGrid w:val="0"/>
        <w:spacing w:before="165" w:beforeLines="50" w:after="50"/>
        <w:ind w:firstLine="540" w:firstLineChars="225"/>
        <w:rPr>
          <w:rFonts w:hint="eastAsia" w:ascii="宋体" w:hAnsi="宋体" w:eastAsia="宋体" w:cs="宋体"/>
          <w:bCs/>
          <w:color w:val="auto"/>
          <w:sz w:val="24"/>
          <w:highlight w:val="none"/>
          <w:lang w:eastAsia="zh-CN"/>
        </w:rPr>
      </w:pPr>
      <w:r>
        <w:rPr>
          <w:rFonts w:hint="eastAsia" w:ascii="宋体" w:hAnsi="宋体" w:eastAsia="宋体" w:cs="宋体"/>
          <w:bCs/>
          <w:color w:val="auto"/>
          <w:sz w:val="24"/>
          <w:highlight w:val="none"/>
        </w:rPr>
        <w:t>项目编号：</w:t>
      </w:r>
    </w:p>
    <w:p w14:paraId="237B30F8">
      <w:pPr>
        <w:snapToGrid w:val="0"/>
        <w:spacing w:before="165" w:beforeLines="50" w:after="50"/>
        <w:ind w:firstLine="540" w:firstLineChars="225"/>
        <w:rPr>
          <w:rFonts w:hint="eastAsia" w:ascii="宋体" w:hAnsi="宋体" w:eastAsia="宋体" w:cs="宋体"/>
          <w:bCs/>
          <w:color w:val="auto"/>
          <w:sz w:val="24"/>
          <w:szCs w:val="20"/>
          <w:highlight w:val="none"/>
          <w:lang w:eastAsia="zh-CN"/>
        </w:rPr>
      </w:pPr>
    </w:p>
    <w:p w14:paraId="250FAB10">
      <w:pPr>
        <w:snapToGrid w:val="0"/>
        <w:spacing w:before="165" w:beforeLines="50" w:after="50"/>
        <w:ind w:firstLine="540" w:firstLineChars="225"/>
        <w:rPr>
          <w:rFonts w:hint="eastAsia" w:ascii="宋体" w:hAnsi="宋体" w:eastAsia="宋体" w:cs="宋体"/>
          <w:bCs/>
          <w:color w:val="auto"/>
          <w:sz w:val="24"/>
          <w:highlight w:val="none"/>
        </w:rPr>
      </w:pPr>
      <w:r>
        <w:rPr>
          <w:rFonts w:hint="eastAsia" w:ascii="宋体" w:hAnsi="宋体" w:eastAsia="宋体" w:cs="宋体"/>
          <w:bCs/>
          <w:color w:val="auto"/>
          <w:sz w:val="24"/>
          <w:highlight w:val="none"/>
        </w:rPr>
        <w:t>所投分标：</w:t>
      </w:r>
    </w:p>
    <w:p w14:paraId="1BF4AB85">
      <w:pPr>
        <w:pStyle w:val="9"/>
        <w:snapToGrid w:val="0"/>
        <w:spacing w:before="50" w:after="50"/>
        <w:ind w:firstLine="540" w:firstLineChars="225"/>
        <w:rPr>
          <w:rFonts w:hint="eastAsia" w:ascii="宋体" w:hAnsi="宋体" w:eastAsia="宋体" w:cs="宋体"/>
          <w:bCs/>
          <w:color w:val="auto"/>
          <w:sz w:val="24"/>
          <w:szCs w:val="24"/>
          <w:highlight w:val="none"/>
        </w:rPr>
      </w:pPr>
    </w:p>
    <w:p w14:paraId="72D95153">
      <w:pPr>
        <w:pStyle w:val="9"/>
        <w:snapToGrid w:val="0"/>
        <w:spacing w:before="50" w:after="50"/>
        <w:ind w:firstLine="540" w:firstLineChars="225"/>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投标人名称：</w:t>
      </w:r>
    </w:p>
    <w:p w14:paraId="296C7F7D">
      <w:pPr>
        <w:pStyle w:val="9"/>
        <w:snapToGrid w:val="0"/>
        <w:spacing w:before="50" w:after="50"/>
        <w:ind w:firstLine="540" w:firstLineChars="225"/>
        <w:rPr>
          <w:rFonts w:hint="eastAsia" w:ascii="宋体" w:hAnsi="宋体" w:eastAsia="宋体" w:cs="宋体"/>
          <w:bCs/>
          <w:color w:val="auto"/>
          <w:sz w:val="24"/>
          <w:szCs w:val="24"/>
          <w:highlight w:val="none"/>
        </w:rPr>
      </w:pPr>
    </w:p>
    <w:p w14:paraId="7420611E">
      <w:pPr>
        <w:pStyle w:val="9"/>
        <w:snapToGrid w:val="0"/>
        <w:spacing w:before="50" w:after="50"/>
        <w:ind w:firstLine="960" w:firstLineChars="400"/>
        <w:rPr>
          <w:rFonts w:hint="eastAsia" w:ascii="宋体" w:hAnsi="宋体" w:eastAsia="宋体" w:cs="宋体"/>
          <w:bCs/>
          <w:color w:val="auto"/>
          <w:sz w:val="24"/>
          <w:szCs w:val="24"/>
          <w:highlight w:val="none"/>
        </w:rPr>
      </w:pPr>
    </w:p>
    <w:p w14:paraId="30EDBE26">
      <w:pPr>
        <w:snapToGrid w:val="0"/>
        <w:spacing w:before="165" w:beforeLines="50" w:after="50"/>
        <w:ind w:firstLine="645"/>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年月日</w:t>
      </w:r>
    </w:p>
    <w:p w14:paraId="7E14783A">
      <w:pPr>
        <w:widowControl/>
        <w:spacing w:line="360" w:lineRule="auto"/>
        <w:jc w:val="left"/>
        <w:rPr>
          <w:rFonts w:hint="eastAsia" w:ascii="宋体" w:hAnsi="宋体" w:eastAsia="宋体" w:cs="宋体"/>
          <w:color w:val="auto"/>
          <w:sz w:val="30"/>
          <w:szCs w:val="20"/>
          <w:highlight w:val="none"/>
        </w:rPr>
        <w:sectPr>
          <w:pgSz w:w="11906" w:h="16838"/>
          <w:pgMar w:top="1134" w:right="1134" w:bottom="1134" w:left="1134" w:header="720" w:footer="720" w:gutter="0"/>
          <w:cols w:space="720" w:num="1"/>
          <w:docGrid w:type="lines" w:linePitch="331" w:charSpace="0"/>
        </w:sectPr>
      </w:pPr>
    </w:p>
    <w:p w14:paraId="3720E38E">
      <w:pPr>
        <w:jc w:val="center"/>
        <w:rPr>
          <w:rFonts w:hint="eastAsia" w:ascii="宋体" w:hAnsi="宋体" w:eastAsia="宋体" w:cs="宋体"/>
          <w:b/>
          <w:color w:val="auto"/>
          <w:kern w:val="0"/>
          <w:sz w:val="36"/>
          <w:szCs w:val="36"/>
          <w:highlight w:val="none"/>
        </w:rPr>
      </w:pPr>
      <w:r>
        <w:rPr>
          <w:rFonts w:hint="eastAsia" w:ascii="宋体" w:hAnsi="宋体" w:eastAsia="宋体" w:cs="宋体"/>
          <w:b/>
          <w:color w:val="auto"/>
          <w:kern w:val="0"/>
          <w:sz w:val="36"/>
          <w:szCs w:val="36"/>
          <w:highlight w:val="none"/>
        </w:rPr>
        <w:t>资格证明文件目录</w:t>
      </w:r>
    </w:p>
    <w:p w14:paraId="00ECF7DC">
      <w:pPr>
        <w:snapToGrid w:val="0"/>
        <w:spacing w:line="360" w:lineRule="auto"/>
        <w:rPr>
          <w:rFonts w:hint="eastAsia" w:ascii="宋体" w:hAnsi="宋体" w:eastAsia="宋体" w:cs="宋体"/>
          <w:color w:val="auto"/>
          <w:kern w:val="0"/>
          <w:sz w:val="24"/>
          <w:highlight w:val="none"/>
        </w:rPr>
      </w:pPr>
    </w:p>
    <w:p w14:paraId="4D2BF142">
      <w:pPr>
        <w:snapToGrid w:val="0"/>
        <w:spacing w:line="360" w:lineRule="auto"/>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一、</w:t>
      </w:r>
      <w:r>
        <w:rPr>
          <w:rFonts w:hint="eastAsia" w:ascii="宋体" w:hAnsi="宋体" w:eastAsia="宋体" w:cs="宋体"/>
          <w:color w:val="auto"/>
          <w:sz w:val="24"/>
          <w:highlight w:val="none"/>
        </w:rPr>
        <w:t>营业执照(或事业法人登记证或其他工商等登记证明材料)复印件（投标人为自然人的，须提供</w:t>
      </w:r>
      <w:r>
        <w:rPr>
          <w:rFonts w:hint="eastAsia" w:ascii="宋体" w:hAnsi="宋体" w:eastAsia="宋体" w:cs="宋体"/>
          <w:color w:val="auto"/>
          <w:kern w:val="0"/>
          <w:sz w:val="24"/>
          <w:highlight w:val="none"/>
        </w:rPr>
        <w:t>自然人的身份证明</w:t>
      </w:r>
      <w:r>
        <w:rPr>
          <w:rFonts w:hint="eastAsia" w:ascii="宋体" w:hAnsi="宋体" w:eastAsia="宋体" w:cs="宋体"/>
          <w:color w:val="auto"/>
          <w:sz w:val="24"/>
          <w:highlight w:val="none"/>
        </w:rPr>
        <w:t>）</w:t>
      </w:r>
      <w:r>
        <w:rPr>
          <w:rFonts w:hint="eastAsia" w:ascii="宋体" w:hAnsi="宋体" w:eastAsia="宋体" w:cs="宋体"/>
          <w:color w:val="auto"/>
          <w:kern w:val="0"/>
          <w:sz w:val="24"/>
          <w:highlight w:val="none"/>
        </w:rPr>
        <w:t>……………………………………………………………（页码）</w:t>
      </w:r>
    </w:p>
    <w:p w14:paraId="25630795">
      <w:pPr>
        <w:snapToGrid w:val="0"/>
        <w:spacing w:line="360" w:lineRule="auto"/>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二、符合参与政府采购活动的资格条件依法缴纳税收、社会保障资金等方面的材料…………………………………………………………………………………………（页码）</w:t>
      </w:r>
    </w:p>
    <w:p w14:paraId="250BD070">
      <w:pPr>
        <w:snapToGrid w:val="0"/>
        <w:spacing w:line="360" w:lineRule="auto"/>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三、财务状况报告方面的材料…………………………………………………………（页码）</w:t>
      </w:r>
    </w:p>
    <w:p w14:paraId="1CB31A2B">
      <w:pPr>
        <w:snapToGrid w:val="0"/>
        <w:spacing w:line="360" w:lineRule="auto"/>
        <w:rPr>
          <w:rFonts w:hint="eastAsia" w:ascii="宋体" w:hAnsi="宋体" w:eastAsia="宋体" w:cs="宋体"/>
          <w:color w:val="auto"/>
          <w:kern w:val="0"/>
          <w:sz w:val="24"/>
          <w:highlight w:val="none"/>
        </w:rPr>
      </w:pPr>
      <w:r>
        <w:rPr>
          <w:rFonts w:hint="eastAsia" w:ascii="宋体" w:hAnsi="宋体" w:eastAsia="宋体" w:cs="宋体"/>
          <w:color w:val="auto"/>
          <w:sz w:val="24"/>
          <w:highlight w:val="none"/>
        </w:rPr>
        <w:t>四、投标人直接控股股东信息</w:t>
      </w:r>
      <w:r>
        <w:rPr>
          <w:rFonts w:hint="eastAsia" w:ascii="宋体" w:hAnsi="宋体" w:eastAsia="宋体" w:cs="宋体"/>
          <w:color w:val="auto"/>
          <w:kern w:val="0"/>
          <w:sz w:val="24"/>
          <w:highlight w:val="none"/>
        </w:rPr>
        <w:t>…………………………………………………………（页码）</w:t>
      </w:r>
    </w:p>
    <w:p w14:paraId="6A4DE94D">
      <w:pPr>
        <w:snapToGrid w:val="0"/>
        <w:spacing w:line="360" w:lineRule="auto"/>
        <w:rPr>
          <w:rFonts w:hint="eastAsia" w:ascii="宋体" w:hAnsi="宋体" w:eastAsia="宋体" w:cs="宋体"/>
          <w:color w:val="auto"/>
          <w:kern w:val="0"/>
          <w:sz w:val="24"/>
          <w:highlight w:val="none"/>
        </w:rPr>
      </w:pPr>
      <w:r>
        <w:rPr>
          <w:rFonts w:hint="eastAsia" w:ascii="宋体" w:hAnsi="宋体" w:eastAsia="宋体" w:cs="宋体"/>
          <w:color w:val="auto"/>
          <w:sz w:val="24"/>
          <w:highlight w:val="none"/>
        </w:rPr>
        <w:t>五、投标人直接关联关系信息表</w:t>
      </w:r>
      <w:r>
        <w:rPr>
          <w:rFonts w:hint="eastAsia" w:ascii="宋体" w:hAnsi="宋体" w:eastAsia="宋体" w:cs="宋体"/>
          <w:color w:val="auto"/>
          <w:kern w:val="0"/>
          <w:sz w:val="24"/>
          <w:highlight w:val="none"/>
        </w:rPr>
        <w:t>………………………………………………………（页码）</w:t>
      </w:r>
    </w:p>
    <w:p w14:paraId="08A48CC3">
      <w:pPr>
        <w:snapToGrid w:val="0"/>
        <w:spacing w:line="360" w:lineRule="auto"/>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六、投标资格声明函……………………………………………………………………（页码）</w:t>
      </w:r>
    </w:p>
    <w:p w14:paraId="6F3D6C79">
      <w:pPr>
        <w:snapToGrid w:val="0"/>
        <w:spacing w:line="360" w:lineRule="auto"/>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七、联合体协议书（</w:t>
      </w:r>
      <w:r>
        <w:rPr>
          <w:rFonts w:hint="eastAsia" w:ascii="宋体" w:hAnsi="宋体" w:eastAsia="宋体" w:cs="宋体"/>
          <w:color w:val="auto"/>
          <w:sz w:val="24"/>
          <w:highlight w:val="none"/>
        </w:rPr>
        <w:t>以联合体形式投标的，提供联合体协议；本项目不接受联合体投标或者投标人不以联合体形式投标的，则不需要提供</w:t>
      </w:r>
      <w:r>
        <w:rPr>
          <w:rFonts w:hint="eastAsia" w:ascii="宋体" w:hAnsi="宋体" w:eastAsia="宋体" w:cs="宋体"/>
          <w:color w:val="auto"/>
          <w:kern w:val="0"/>
          <w:sz w:val="24"/>
          <w:highlight w:val="none"/>
        </w:rPr>
        <w:t>）……………………………………（页码）</w:t>
      </w:r>
    </w:p>
    <w:p w14:paraId="0B2D0E6D">
      <w:pPr>
        <w:snapToGrid w:val="0"/>
        <w:spacing w:line="360" w:lineRule="auto"/>
        <w:rPr>
          <w:rFonts w:hint="eastAsia" w:ascii="宋体" w:hAnsi="宋体" w:eastAsia="宋体" w:cs="宋体"/>
          <w:color w:val="auto"/>
          <w:kern w:val="0"/>
          <w:sz w:val="24"/>
          <w:highlight w:val="none"/>
        </w:rPr>
      </w:pPr>
      <w:r>
        <w:rPr>
          <w:rFonts w:hint="eastAsia" w:ascii="宋体" w:hAnsi="宋体" w:eastAsia="宋体" w:cs="宋体"/>
          <w:color w:val="auto"/>
          <w:sz w:val="24"/>
          <w:highlight w:val="none"/>
        </w:rPr>
        <w:t>八、符合特定资格条件（如有）的有关证明材料（复印件）</w:t>
      </w:r>
      <w:r>
        <w:rPr>
          <w:rFonts w:hint="eastAsia" w:ascii="宋体" w:hAnsi="宋体" w:eastAsia="宋体" w:cs="宋体"/>
          <w:color w:val="auto"/>
          <w:kern w:val="0"/>
          <w:sz w:val="24"/>
          <w:highlight w:val="none"/>
        </w:rPr>
        <w:t>………………………（页码）</w:t>
      </w:r>
    </w:p>
    <w:p w14:paraId="00D093E0">
      <w:pPr>
        <w:spacing w:line="360" w:lineRule="auto"/>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注：以上目录是基本格式要求，各投标人可根据自身情况进一步向下增加内容或细化。</w:t>
      </w:r>
    </w:p>
    <w:p w14:paraId="634F2E8B">
      <w:pPr>
        <w:widowControl/>
        <w:spacing w:line="360" w:lineRule="auto"/>
        <w:jc w:val="left"/>
        <w:rPr>
          <w:rFonts w:hint="eastAsia" w:ascii="宋体" w:hAnsi="宋体" w:eastAsia="宋体" w:cs="宋体"/>
          <w:color w:val="auto"/>
          <w:sz w:val="30"/>
          <w:szCs w:val="20"/>
          <w:highlight w:val="none"/>
        </w:rPr>
        <w:sectPr>
          <w:pgSz w:w="11906" w:h="16838"/>
          <w:pgMar w:top="1134" w:right="1134" w:bottom="1134" w:left="1134" w:header="720" w:footer="720" w:gutter="0"/>
          <w:cols w:space="720" w:num="1"/>
          <w:docGrid w:type="lines" w:linePitch="331" w:charSpace="0"/>
        </w:sectPr>
      </w:pPr>
    </w:p>
    <w:p w14:paraId="411DF2D6">
      <w:pPr>
        <w:snapToGrid w:val="0"/>
        <w:spacing w:line="360" w:lineRule="auto"/>
        <w:rPr>
          <w:rFonts w:hint="eastAsia" w:ascii="宋体" w:hAnsi="宋体" w:eastAsia="宋体" w:cs="宋体"/>
          <w:b/>
          <w:color w:val="auto"/>
          <w:kern w:val="0"/>
          <w:sz w:val="32"/>
          <w:szCs w:val="32"/>
          <w:highlight w:val="none"/>
          <w:lang w:val="zh-CN"/>
        </w:rPr>
      </w:pPr>
    </w:p>
    <w:p w14:paraId="1CF3B491">
      <w:pPr>
        <w:spacing w:line="360" w:lineRule="auto"/>
        <w:jc w:val="center"/>
        <w:rPr>
          <w:rFonts w:hint="eastAsia" w:ascii="宋体" w:hAnsi="宋体" w:eastAsia="宋体" w:cs="宋体"/>
          <w:b/>
          <w:color w:val="auto"/>
          <w:sz w:val="30"/>
          <w:szCs w:val="30"/>
          <w:highlight w:val="none"/>
        </w:rPr>
      </w:pPr>
      <w:r>
        <w:rPr>
          <w:rFonts w:hint="eastAsia" w:ascii="宋体" w:hAnsi="宋体" w:eastAsia="宋体" w:cs="宋体"/>
          <w:b/>
          <w:color w:val="auto"/>
          <w:kern w:val="0"/>
          <w:sz w:val="32"/>
          <w:szCs w:val="32"/>
          <w:highlight w:val="none"/>
          <w:lang w:val="zh-CN"/>
        </w:rPr>
        <w:t>一、</w:t>
      </w:r>
      <w:r>
        <w:rPr>
          <w:rFonts w:hint="eastAsia" w:ascii="宋体" w:hAnsi="宋体" w:eastAsia="宋体" w:cs="宋体"/>
          <w:b/>
          <w:color w:val="auto"/>
          <w:sz w:val="30"/>
          <w:szCs w:val="30"/>
          <w:highlight w:val="none"/>
        </w:rPr>
        <w:t>营业执照(或事业法人登记证或其他工商等登记证明材料)复印件（投标人为自然人的，提供自然人的身份证明）</w:t>
      </w:r>
    </w:p>
    <w:p w14:paraId="7116B1CF">
      <w:pPr>
        <w:spacing w:line="360" w:lineRule="auto"/>
        <w:rPr>
          <w:rFonts w:hint="eastAsia" w:ascii="宋体" w:hAnsi="宋体" w:eastAsia="宋体" w:cs="宋体"/>
          <w:b/>
          <w:color w:val="auto"/>
          <w:sz w:val="30"/>
          <w:szCs w:val="30"/>
          <w:highlight w:val="none"/>
        </w:rPr>
      </w:pPr>
    </w:p>
    <w:p w14:paraId="39FBEC5C">
      <w:pPr>
        <w:snapToGrid w:val="0"/>
        <w:spacing w:line="360" w:lineRule="auto"/>
        <w:ind w:firstLine="576"/>
        <w:jc w:val="center"/>
        <w:rPr>
          <w:rFonts w:hint="eastAsia" w:ascii="宋体" w:hAnsi="宋体" w:eastAsia="宋体" w:cs="宋体"/>
          <w:color w:val="auto"/>
          <w:kern w:val="0"/>
          <w:sz w:val="24"/>
          <w:highlight w:val="none"/>
          <w:lang w:val="zh-CN"/>
        </w:rPr>
      </w:pPr>
      <w:r>
        <w:rPr>
          <w:rFonts w:hint="eastAsia" w:ascii="宋体" w:hAnsi="宋体" w:eastAsia="宋体" w:cs="宋体"/>
          <w:color w:val="auto"/>
          <w:kern w:val="0"/>
          <w:sz w:val="24"/>
          <w:highlight w:val="none"/>
          <w:lang w:val="zh-CN"/>
        </w:rPr>
        <w:t>投标人名称(电子签章)：</w:t>
      </w:r>
    </w:p>
    <w:p w14:paraId="13266A21">
      <w:pPr>
        <w:spacing w:line="360" w:lineRule="auto"/>
        <w:jc w:val="center"/>
        <w:rPr>
          <w:rFonts w:hint="eastAsia" w:ascii="宋体" w:hAnsi="宋体" w:eastAsia="宋体" w:cs="宋体"/>
          <w:b/>
          <w:color w:val="auto"/>
          <w:sz w:val="30"/>
          <w:szCs w:val="30"/>
          <w:highlight w:val="none"/>
        </w:rPr>
      </w:pPr>
      <w:r>
        <w:rPr>
          <w:rFonts w:hint="eastAsia" w:ascii="宋体" w:hAnsi="宋体" w:eastAsia="宋体" w:cs="宋体"/>
          <w:color w:val="auto"/>
          <w:kern w:val="0"/>
          <w:sz w:val="24"/>
          <w:highlight w:val="none"/>
          <w:lang w:val="zh-CN"/>
        </w:rPr>
        <w:t>日期：年月</w:t>
      </w:r>
    </w:p>
    <w:p w14:paraId="06C4927B">
      <w:pPr>
        <w:spacing w:line="360" w:lineRule="auto"/>
        <w:jc w:val="center"/>
        <w:rPr>
          <w:rFonts w:hint="eastAsia" w:ascii="宋体" w:hAnsi="宋体" w:eastAsia="宋体" w:cs="宋体"/>
          <w:b/>
          <w:color w:val="auto"/>
          <w:sz w:val="30"/>
          <w:szCs w:val="30"/>
          <w:highlight w:val="none"/>
        </w:rPr>
      </w:pPr>
    </w:p>
    <w:p w14:paraId="435DA3EF">
      <w:pPr>
        <w:snapToGrid w:val="0"/>
        <w:spacing w:line="360" w:lineRule="auto"/>
        <w:ind w:right="480"/>
        <w:jc w:val="center"/>
        <w:rPr>
          <w:rFonts w:hint="eastAsia" w:ascii="宋体" w:hAnsi="宋体" w:eastAsia="宋体" w:cs="宋体"/>
          <w:b/>
          <w:color w:val="auto"/>
          <w:kern w:val="0"/>
          <w:sz w:val="32"/>
          <w:szCs w:val="32"/>
          <w:highlight w:val="none"/>
        </w:rPr>
      </w:pPr>
      <w:r>
        <w:rPr>
          <w:rFonts w:hint="eastAsia" w:ascii="宋体" w:hAnsi="宋体" w:eastAsia="宋体" w:cs="宋体"/>
          <w:b/>
          <w:color w:val="auto"/>
          <w:sz w:val="30"/>
          <w:szCs w:val="30"/>
          <w:highlight w:val="none"/>
        </w:rPr>
        <w:t>二、</w:t>
      </w:r>
      <w:r>
        <w:rPr>
          <w:rFonts w:hint="eastAsia" w:ascii="宋体" w:hAnsi="宋体" w:eastAsia="宋体" w:cs="宋体"/>
          <w:b/>
          <w:color w:val="auto"/>
          <w:kern w:val="0"/>
          <w:sz w:val="32"/>
          <w:szCs w:val="32"/>
          <w:highlight w:val="none"/>
        </w:rPr>
        <w:t>符合参与政府采购活动的资格条件依法缴纳税收、社会保障资金等方面的材料</w:t>
      </w:r>
    </w:p>
    <w:p w14:paraId="3BBF6185">
      <w:pPr>
        <w:snapToGrid w:val="0"/>
        <w:spacing w:line="360" w:lineRule="auto"/>
        <w:ind w:firstLine="480" w:firstLineChars="200"/>
        <w:rPr>
          <w:rFonts w:hint="eastAsia" w:ascii="宋体" w:hAnsi="宋体" w:eastAsia="宋体" w:cs="宋体"/>
          <w:color w:val="auto"/>
          <w:sz w:val="24"/>
          <w:highlight w:val="none"/>
        </w:rPr>
      </w:pPr>
    </w:p>
    <w:p w14:paraId="10F247DC">
      <w:pPr>
        <w:snapToGrid w:val="0"/>
        <w:spacing w:line="360" w:lineRule="auto"/>
        <w:rPr>
          <w:rFonts w:hint="eastAsia" w:ascii="宋体" w:hAnsi="宋体" w:eastAsia="宋体" w:cs="宋体"/>
          <w:color w:val="auto"/>
          <w:kern w:val="0"/>
          <w:sz w:val="24"/>
          <w:highlight w:val="none"/>
          <w:lang w:val="zh-CN"/>
        </w:rPr>
      </w:pPr>
    </w:p>
    <w:p w14:paraId="3A332DAF">
      <w:pPr>
        <w:snapToGrid w:val="0"/>
        <w:spacing w:line="360" w:lineRule="auto"/>
        <w:ind w:firstLine="5040" w:firstLineChars="2100"/>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lang w:val="zh-CN"/>
        </w:rPr>
        <w:t>投标人名称(电子签章)：</w:t>
      </w:r>
    </w:p>
    <w:p w14:paraId="50BBA590">
      <w:pPr>
        <w:snapToGrid w:val="0"/>
        <w:spacing w:line="360" w:lineRule="auto"/>
        <w:ind w:firstLine="5160" w:firstLineChars="2150"/>
        <w:rPr>
          <w:rFonts w:hint="eastAsia" w:ascii="宋体" w:hAnsi="宋体" w:eastAsia="宋体" w:cs="宋体"/>
          <w:color w:val="auto"/>
          <w:kern w:val="0"/>
          <w:sz w:val="24"/>
          <w:highlight w:val="none"/>
          <w:lang w:val="zh-CN"/>
        </w:rPr>
      </w:pPr>
      <w:r>
        <w:rPr>
          <w:rFonts w:hint="eastAsia" w:ascii="宋体" w:hAnsi="宋体" w:eastAsia="宋体" w:cs="宋体"/>
          <w:color w:val="auto"/>
          <w:kern w:val="0"/>
          <w:sz w:val="24"/>
          <w:highlight w:val="none"/>
          <w:lang w:val="zh-CN"/>
        </w:rPr>
        <w:t>日期</w:t>
      </w:r>
      <w:r>
        <w:rPr>
          <w:rFonts w:hint="eastAsia" w:ascii="宋体" w:hAnsi="宋体" w:eastAsia="宋体" w:cs="宋体"/>
          <w:color w:val="auto"/>
          <w:kern w:val="0"/>
          <w:sz w:val="24"/>
          <w:highlight w:val="none"/>
        </w:rPr>
        <w:t>：年</w:t>
      </w:r>
      <w:r>
        <w:rPr>
          <w:rFonts w:hint="eastAsia" w:ascii="宋体" w:hAnsi="宋体" w:eastAsia="宋体" w:cs="宋体"/>
          <w:color w:val="auto"/>
          <w:kern w:val="0"/>
          <w:sz w:val="24"/>
          <w:highlight w:val="none"/>
          <w:lang w:val="zh-CN"/>
        </w:rPr>
        <w:t>月日</w:t>
      </w:r>
    </w:p>
    <w:p w14:paraId="5B18E665">
      <w:pPr>
        <w:snapToGrid w:val="0"/>
        <w:spacing w:line="360" w:lineRule="auto"/>
        <w:ind w:right="480"/>
        <w:jc w:val="center"/>
        <w:rPr>
          <w:rFonts w:hint="eastAsia" w:ascii="宋体" w:hAnsi="宋体" w:eastAsia="宋体" w:cs="宋体"/>
          <w:b/>
          <w:color w:val="auto"/>
          <w:kern w:val="0"/>
          <w:sz w:val="32"/>
          <w:szCs w:val="32"/>
          <w:highlight w:val="none"/>
        </w:rPr>
      </w:pPr>
      <w:r>
        <w:rPr>
          <w:rFonts w:hint="eastAsia" w:ascii="宋体" w:hAnsi="宋体" w:eastAsia="宋体" w:cs="宋体"/>
          <w:b/>
          <w:color w:val="auto"/>
          <w:sz w:val="30"/>
          <w:szCs w:val="30"/>
          <w:highlight w:val="none"/>
        </w:rPr>
        <w:t>三、</w:t>
      </w:r>
      <w:r>
        <w:rPr>
          <w:rFonts w:hint="eastAsia" w:ascii="宋体" w:hAnsi="宋体" w:eastAsia="宋体" w:cs="宋体"/>
          <w:b/>
          <w:color w:val="auto"/>
          <w:kern w:val="0"/>
          <w:sz w:val="32"/>
          <w:szCs w:val="32"/>
          <w:highlight w:val="none"/>
        </w:rPr>
        <w:t>财务状况报告方面的材料</w:t>
      </w:r>
    </w:p>
    <w:p w14:paraId="3A92CA86">
      <w:pPr>
        <w:snapToGrid w:val="0"/>
        <w:spacing w:line="360" w:lineRule="auto"/>
        <w:ind w:firstLine="480" w:firstLineChars="200"/>
        <w:rPr>
          <w:rFonts w:hint="eastAsia" w:ascii="宋体" w:hAnsi="宋体" w:eastAsia="宋体" w:cs="宋体"/>
          <w:color w:val="auto"/>
          <w:sz w:val="24"/>
          <w:highlight w:val="none"/>
        </w:rPr>
      </w:pPr>
    </w:p>
    <w:p w14:paraId="3CBACFCA">
      <w:pPr>
        <w:snapToGrid w:val="0"/>
        <w:spacing w:line="360" w:lineRule="auto"/>
        <w:rPr>
          <w:rFonts w:hint="eastAsia" w:ascii="宋体" w:hAnsi="宋体" w:eastAsia="宋体" w:cs="宋体"/>
          <w:color w:val="auto"/>
          <w:kern w:val="0"/>
          <w:sz w:val="24"/>
          <w:highlight w:val="none"/>
          <w:lang w:val="zh-CN"/>
        </w:rPr>
      </w:pPr>
    </w:p>
    <w:p w14:paraId="520EE708">
      <w:pPr>
        <w:snapToGrid w:val="0"/>
        <w:spacing w:line="360" w:lineRule="auto"/>
        <w:ind w:firstLine="5040" w:firstLineChars="2100"/>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lang w:val="zh-CN"/>
        </w:rPr>
        <w:t>投标人名称(电子签章)：</w:t>
      </w:r>
    </w:p>
    <w:p w14:paraId="4ADB88ED">
      <w:pPr>
        <w:snapToGrid w:val="0"/>
        <w:spacing w:line="360" w:lineRule="auto"/>
        <w:ind w:firstLine="5160" w:firstLineChars="2150"/>
        <w:rPr>
          <w:rFonts w:hint="eastAsia" w:ascii="宋体" w:hAnsi="宋体" w:eastAsia="宋体" w:cs="宋体"/>
          <w:color w:val="auto"/>
          <w:kern w:val="0"/>
          <w:sz w:val="24"/>
          <w:highlight w:val="none"/>
          <w:lang w:val="zh-CN"/>
        </w:rPr>
      </w:pPr>
      <w:r>
        <w:rPr>
          <w:rFonts w:hint="eastAsia" w:ascii="宋体" w:hAnsi="宋体" w:eastAsia="宋体" w:cs="宋体"/>
          <w:color w:val="auto"/>
          <w:kern w:val="0"/>
          <w:sz w:val="24"/>
          <w:highlight w:val="none"/>
          <w:lang w:val="zh-CN"/>
        </w:rPr>
        <w:t>日期</w:t>
      </w:r>
      <w:r>
        <w:rPr>
          <w:rFonts w:hint="eastAsia" w:ascii="宋体" w:hAnsi="宋体" w:eastAsia="宋体" w:cs="宋体"/>
          <w:color w:val="auto"/>
          <w:kern w:val="0"/>
          <w:sz w:val="24"/>
          <w:highlight w:val="none"/>
        </w:rPr>
        <w:t>：年</w:t>
      </w:r>
      <w:r>
        <w:rPr>
          <w:rFonts w:hint="eastAsia" w:ascii="宋体" w:hAnsi="宋体" w:eastAsia="宋体" w:cs="宋体"/>
          <w:color w:val="auto"/>
          <w:kern w:val="0"/>
          <w:sz w:val="24"/>
          <w:highlight w:val="none"/>
          <w:lang w:val="zh-CN"/>
        </w:rPr>
        <w:t>月日</w:t>
      </w:r>
    </w:p>
    <w:p w14:paraId="797B4A36">
      <w:pPr>
        <w:snapToGrid w:val="0"/>
        <w:spacing w:line="360" w:lineRule="auto"/>
        <w:ind w:firstLine="5160" w:firstLineChars="2150"/>
        <w:rPr>
          <w:rFonts w:hint="eastAsia" w:ascii="宋体" w:hAnsi="宋体" w:eastAsia="宋体" w:cs="宋体"/>
          <w:color w:val="auto"/>
          <w:kern w:val="0"/>
          <w:sz w:val="24"/>
          <w:highlight w:val="none"/>
          <w:lang w:val="zh-CN"/>
        </w:rPr>
      </w:pPr>
    </w:p>
    <w:p w14:paraId="278E5264">
      <w:pPr>
        <w:snapToGrid w:val="0"/>
        <w:spacing w:line="360" w:lineRule="auto"/>
        <w:ind w:right="480"/>
        <w:jc w:val="center"/>
        <w:rPr>
          <w:rFonts w:hint="eastAsia" w:ascii="宋体" w:hAnsi="宋体" w:eastAsia="宋体" w:cs="宋体"/>
          <w:b/>
          <w:color w:val="auto"/>
          <w:kern w:val="0"/>
          <w:sz w:val="32"/>
          <w:szCs w:val="32"/>
          <w:highlight w:val="none"/>
          <w:lang w:val="zh-CN"/>
        </w:rPr>
      </w:pPr>
    </w:p>
    <w:p w14:paraId="62A8D0D8">
      <w:pPr>
        <w:snapToGrid w:val="0"/>
        <w:spacing w:line="360" w:lineRule="auto"/>
        <w:ind w:right="480"/>
        <w:jc w:val="center"/>
        <w:rPr>
          <w:rFonts w:hint="eastAsia" w:ascii="宋体" w:hAnsi="宋体" w:eastAsia="宋体" w:cs="宋体"/>
          <w:b/>
          <w:color w:val="auto"/>
          <w:sz w:val="28"/>
          <w:szCs w:val="28"/>
          <w:highlight w:val="none"/>
        </w:rPr>
      </w:pPr>
      <w:r>
        <w:rPr>
          <w:rFonts w:hint="eastAsia" w:ascii="宋体" w:hAnsi="宋体" w:eastAsia="宋体" w:cs="宋体"/>
          <w:b/>
          <w:color w:val="auto"/>
          <w:kern w:val="0"/>
          <w:sz w:val="32"/>
          <w:szCs w:val="32"/>
          <w:highlight w:val="none"/>
        </w:rPr>
        <w:br w:type="page"/>
      </w:r>
    </w:p>
    <w:p w14:paraId="0F60A392">
      <w:pPr>
        <w:snapToGrid w:val="0"/>
        <w:spacing w:before="50" w:after="165" w:afterLines="50" w:line="360" w:lineRule="auto"/>
        <w:jc w:val="center"/>
        <w:rPr>
          <w:rFonts w:hint="eastAsia" w:ascii="宋体" w:hAnsi="宋体" w:eastAsia="宋体" w:cs="宋体"/>
          <w:b/>
          <w:color w:val="auto"/>
          <w:kern w:val="0"/>
          <w:sz w:val="32"/>
          <w:szCs w:val="32"/>
          <w:highlight w:val="none"/>
        </w:rPr>
      </w:pPr>
      <w:r>
        <w:rPr>
          <w:rFonts w:hint="eastAsia" w:ascii="宋体" w:hAnsi="宋体" w:eastAsia="宋体" w:cs="宋体"/>
          <w:b/>
          <w:color w:val="auto"/>
          <w:kern w:val="0"/>
          <w:sz w:val="32"/>
          <w:szCs w:val="32"/>
          <w:highlight w:val="none"/>
        </w:rPr>
        <w:t>四、投标人直接控股股东信息表</w:t>
      </w:r>
    </w:p>
    <w:tbl>
      <w:tblPr>
        <w:tblStyle w:val="35"/>
        <w:tblW w:w="0" w:type="auto"/>
        <w:tblInd w:w="125" w:type="dxa"/>
        <w:shd w:val="clear" w:color="auto" w:fill="FBFBFB"/>
        <w:tblLayout w:type="fixed"/>
        <w:tblCellMar>
          <w:top w:w="0" w:type="dxa"/>
          <w:left w:w="0" w:type="dxa"/>
          <w:bottom w:w="0" w:type="dxa"/>
          <w:right w:w="0" w:type="dxa"/>
        </w:tblCellMar>
      </w:tblPr>
      <w:tblGrid>
        <w:gridCol w:w="828"/>
        <w:gridCol w:w="2269"/>
        <w:gridCol w:w="1239"/>
        <w:gridCol w:w="3722"/>
        <w:gridCol w:w="1418"/>
      </w:tblGrid>
      <w:tr w14:paraId="0C749326">
        <w:tblPrEx>
          <w:shd w:val="clear" w:color="auto" w:fill="FBFBFB"/>
          <w:tblCellMar>
            <w:top w:w="0" w:type="dxa"/>
            <w:left w:w="0" w:type="dxa"/>
            <w:bottom w:w="0" w:type="dxa"/>
            <w:right w:w="0" w:type="dxa"/>
          </w:tblCellMar>
        </w:tblPrEx>
        <w:trPr>
          <w:tblHeader/>
        </w:trPr>
        <w:tc>
          <w:tcPr>
            <w:tcW w:w="828"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1EEBEA6E">
            <w:pPr>
              <w:spacing w:line="360" w:lineRule="auto"/>
              <w:jc w:val="center"/>
              <w:rPr>
                <w:rFonts w:hint="eastAsia" w:ascii="宋体" w:hAnsi="宋体" w:eastAsia="宋体" w:cs="宋体"/>
                <w:b/>
                <w:bCs/>
                <w:color w:val="auto"/>
                <w:kern w:val="0"/>
                <w:sz w:val="24"/>
                <w:highlight w:val="none"/>
              </w:rPr>
            </w:pPr>
            <w:r>
              <w:rPr>
                <w:rFonts w:hint="eastAsia" w:ascii="宋体" w:hAnsi="宋体" w:eastAsia="宋体" w:cs="宋体"/>
                <w:b/>
                <w:bCs/>
                <w:color w:val="auto"/>
                <w:kern w:val="0"/>
                <w:sz w:val="24"/>
                <w:highlight w:val="none"/>
              </w:rPr>
              <w:t>序号</w:t>
            </w:r>
          </w:p>
        </w:tc>
        <w:tc>
          <w:tcPr>
            <w:tcW w:w="2269"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7586DFD4">
            <w:pPr>
              <w:spacing w:line="360" w:lineRule="auto"/>
              <w:jc w:val="center"/>
              <w:rPr>
                <w:rFonts w:hint="eastAsia" w:ascii="宋体" w:hAnsi="宋体" w:eastAsia="宋体" w:cs="宋体"/>
                <w:b/>
                <w:bCs/>
                <w:color w:val="auto"/>
                <w:kern w:val="0"/>
                <w:sz w:val="24"/>
                <w:highlight w:val="none"/>
              </w:rPr>
            </w:pPr>
            <w:r>
              <w:rPr>
                <w:rFonts w:hint="eastAsia" w:ascii="宋体" w:hAnsi="宋体" w:eastAsia="宋体" w:cs="宋体"/>
                <w:b/>
                <w:bCs/>
                <w:color w:val="auto"/>
                <w:kern w:val="0"/>
                <w:sz w:val="24"/>
                <w:highlight w:val="none"/>
              </w:rPr>
              <w:t>直接控股股东名称</w:t>
            </w:r>
          </w:p>
        </w:tc>
        <w:tc>
          <w:tcPr>
            <w:tcW w:w="1239"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38AC2954">
            <w:pPr>
              <w:spacing w:line="360" w:lineRule="auto"/>
              <w:jc w:val="center"/>
              <w:rPr>
                <w:rFonts w:hint="eastAsia" w:ascii="宋体" w:hAnsi="宋体" w:eastAsia="宋体" w:cs="宋体"/>
                <w:b/>
                <w:bCs/>
                <w:color w:val="auto"/>
                <w:kern w:val="0"/>
                <w:sz w:val="24"/>
                <w:highlight w:val="none"/>
              </w:rPr>
            </w:pPr>
            <w:r>
              <w:rPr>
                <w:rFonts w:hint="eastAsia" w:ascii="宋体" w:hAnsi="宋体" w:eastAsia="宋体" w:cs="宋体"/>
                <w:b/>
                <w:bCs/>
                <w:color w:val="auto"/>
                <w:kern w:val="0"/>
                <w:sz w:val="24"/>
                <w:highlight w:val="none"/>
              </w:rPr>
              <w:t>出资比例</w:t>
            </w:r>
          </w:p>
        </w:tc>
        <w:tc>
          <w:tcPr>
            <w:tcW w:w="3722"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3C7775CA">
            <w:pPr>
              <w:spacing w:line="360" w:lineRule="auto"/>
              <w:jc w:val="center"/>
              <w:rPr>
                <w:rFonts w:hint="eastAsia" w:ascii="宋体" w:hAnsi="宋体" w:eastAsia="宋体" w:cs="宋体"/>
                <w:b/>
                <w:bCs/>
                <w:color w:val="auto"/>
                <w:kern w:val="0"/>
                <w:sz w:val="24"/>
                <w:highlight w:val="none"/>
              </w:rPr>
            </w:pPr>
            <w:r>
              <w:rPr>
                <w:rFonts w:hint="eastAsia" w:ascii="宋体" w:hAnsi="宋体" w:eastAsia="宋体" w:cs="宋体"/>
                <w:b/>
                <w:bCs/>
                <w:color w:val="auto"/>
                <w:kern w:val="0"/>
                <w:sz w:val="24"/>
                <w:highlight w:val="none"/>
              </w:rPr>
              <w:t>身份证号码或者统一社会信用代码</w:t>
            </w:r>
          </w:p>
        </w:tc>
        <w:tc>
          <w:tcPr>
            <w:tcW w:w="1418"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41289522">
            <w:pPr>
              <w:spacing w:line="360" w:lineRule="auto"/>
              <w:jc w:val="center"/>
              <w:rPr>
                <w:rFonts w:hint="eastAsia" w:ascii="宋体" w:hAnsi="宋体" w:eastAsia="宋体" w:cs="宋体"/>
                <w:b/>
                <w:bCs/>
                <w:color w:val="auto"/>
                <w:kern w:val="0"/>
                <w:sz w:val="24"/>
                <w:highlight w:val="none"/>
              </w:rPr>
            </w:pPr>
            <w:r>
              <w:rPr>
                <w:rFonts w:hint="eastAsia" w:ascii="宋体" w:hAnsi="宋体" w:eastAsia="宋体" w:cs="宋体"/>
                <w:b/>
                <w:bCs/>
                <w:color w:val="auto"/>
                <w:kern w:val="0"/>
                <w:sz w:val="24"/>
                <w:highlight w:val="none"/>
              </w:rPr>
              <w:t>备注</w:t>
            </w:r>
          </w:p>
        </w:tc>
      </w:tr>
      <w:tr w14:paraId="178D00CB">
        <w:tblPrEx>
          <w:shd w:val="clear" w:color="auto" w:fill="FBFBFB"/>
          <w:tblCellMar>
            <w:top w:w="0" w:type="dxa"/>
            <w:left w:w="0" w:type="dxa"/>
            <w:bottom w:w="0" w:type="dxa"/>
            <w:right w:w="0" w:type="dxa"/>
          </w:tblCellMar>
        </w:tblPrEx>
        <w:tc>
          <w:tcPr>
            <w:tcW w:w="82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635DC91">
            <w:pPr>
              <w:spacing w:line="360" w:lineRule="auto"/>
              <w:jc w:val="center"/>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1</w:t>
            </w:r>
          </w:p>
        </w:tc>
        <w:tc>
          <w:tcPr>
            <w:tcW w:w="226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224638AF">
            <w:pPr>
              <w:spacing w:line="360" w:lineRule="auto"/>
              <w:jc w:val="center"/>
              <w:rPr>
                <w:rFonts w:hint="eastAsia" w:ascii="宋体" w:hAnsi="宋体" w:eastAsia="宋体" w:cs="宋体"/>
                <w:color w:val="auto"/>
                <w:kern w:val="0"/>
                <w:sz w:val="24"/>
                <w:highlight w:val="none"/>
              </w:rPr>
            </w:pPr>
          </w:p>
        </w:tc>
        <w:tc>
          <w:tcPr>
            <w:tcW w:w="123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39D6FA8F">
            <w:pPr>
              <w:spacing w:line="360" w:lineRule="auto"/>
              <w:jc w:val="center"/>
              <w:rPr>
                <w:rFonts w:hint="eastAsia" w:ascii="宋体" w:hAnsi="宋体" w:eastAsia="宋体" w:cs="宋体"/>
                <w:color w:val="auto"/>
                <w:kern w:val="0"/>
                <w:sz w:val="24"/>
                <w:highlight w:val="none"/>
              </w:rPr>
            </w:pPr>
          </w:p>
        </w:tc>
        <w:tc>
          <w:tcPr>
            <w:tcW w:w="372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76BAF3F">
            <w:pPr>
              <w:spacing w:line="360" w:lineRule="auto"/>
              <w:jc w:val="center"/>
              <w:rPr>
                <w:rFonts w:hint="eastAsia" w:ascii="宋体" w:hAnsi="宋体" w:eastAsia="宋体" w:cs="宋体"/>
                <w:color w:val="auto"/>
                <w:kern w:val="0"/>
                <w:sz w:val="24"/>
                <w:highlight w:val="none"/>
              </w:rPr>
            </w:pPr>
          </w:p>
        </w:tc>
        <w:tc>
          <w:tcPr>
            <w:tcW w:w="141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6B8CE67">
            <w:pPr>
              <w:spacing w:line="360" w:lineRule="auto"/>
              <w:jc w:val="center"/>
              <w:rPr>
                <w:rFonts w:hint="eastAsia" w:ascii="宋体" w:hAnsi="宋体" w:eastAsia="宋体" w:cs="宋体"/>
                <w:color w:val="auto"/>
                <w:kern w:val="0"/>
                <w:sz w:val="24"/>
                <w:highlight w:val="none"/>
              </w:rPr>
            </w:pPr>
          </w:p>
        </w:tc>
      </w:tr>
      <w:tr w14:paraId="11872B04">
        <w:tblPrEx>
          <w:shd w:val="clear" w:color="auto" w:fill="FBFBFB"/>
          <w:tblCellMar>
            <w:top w:w="0" w:type="dxa"/>
            <w:left w:w="0" w:type="dxa"/>
            <w:bottom w:w="0" w:type="dxa"/>
            <w:right w:w="0" w:type="dxa"/>
          </w:tblCellMar>
        </w:tblPrEx>
        <w:tc>
          <w:tcPr>
            <w:tcW w:w="82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9E535EF">
            <w:pPr>
              <w:spacing w:line="360" w:lineRule="auto"/>
              <w:jc w:val="center"/>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2</w:t>
            </w:r>
          </w:p>
        </w:tc>
        <w:tc>
          <w:tcPr>
            <w:tcW w:w="226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4709E25">
            <w:pPr>
              <w:spacing w:line="360" w:lineRule="auto"/>
              <w:jc w:val="center"/>
              <w:rPr>
                <w:rFonts w:hint="eastAsia" w:ascii="宋体" w:hAnsi="宋体" w:eastAsia="宋体" w:cs="宋体"/>
                <w:color w:val="auto"/>
                <w:kern w:val="0"/>
                <w:sz w:val="24"/>
                <w:highlight w:val="none"/>
              </w:rPr>
            </w:pPr>
          </w:p>
        </w:tc>
        <w:tc>
          <w:tcPr>
            <w:tcW w:w="123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F6F5AB6">
            <w:pPr>
              <w:spacing w:line="360" w:lineRule="auto"/>
              <w:jc w:val="center"/>
              <w:rPr>
                <w:rFonts w:hint="eastAsia" w:ascii="宋体" w:hAnsi="宋体" w:eastAsia="宋体" w:cs="宋体"/>
                <w:color w:val="auto"/>
                <w:kern w:val="0"/>
                <w:sz w:val="24"/>
                <w:highlight w:val="none"/>
              </w:rPr>
            </w:pPr>
          </w:p>
        </w:tc>
        <w:tc>
          <w:tcPr>
            <w:tcW w:w="372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DA8230B">
            <w:pPr>
              <w:spacing w:line="360" w:lineRule="auto"/>
              <w:jc w:val="center"/>
              <w:rPr>
                <w:rFonts w:hint="eastAsia" w:ascii="宋体" w:hAnsi="宋体" w:eastAsia="宋体" w:cs="宋体"/>
                <w:color w:val="auto"/>
                <w:kern w:val="0"/>
                <w:sz w:val="24"/>
                <w:highlight w:val="none"/>
              </w:rPr>
            </w:pPr>
          </w:p>
        </w:tc>
        <w:tc>
          <w:tcPr>
            <w:tcW w:w="141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BC77F85">
            <w:pPr>
              <w:spacing w:line="360" w:lineRule="auto"/>
              <w:jc w:val="center"/>
              <w:rPr>
                <w:rFonts w:hint="eastAsia" w:ascii="宋体" w:hAnsi="宋体" w:eastAsia="宋体" w:cs="宋体"/>
                <w:color w:val="auto"/>
                <w:kern w:val="0"/>
                <w:sz w:val="24"/>
                <w:highlight w:val="none"/>
              </w:rPr>
            </w:pPr>
          </w:p>
        </w:tc>
      </w:tr>
      <w:tr w14:paraId="12676D84">
        <w:tblPrEx>
          <w:shd w:val="clear" w:color="auto" w:fill="FBFBFB"/>
          <w:tblCellMar>
            <w:top w:w="0" w:type="dxa"/>
            <w:left w:w="0" w:type="dxa"/>
            <w:bottom w:w="0" w:type="dxa"/>
            <w:right w:w="0" w:type="dxa"/>
          </w:tblCellMar>
        </w:tblPrEx>
        <w:tc>
          <w:tcPr>
            <w:tcW w:w="82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BBD1438">
            <w:pPr>
              <w:spacing w:line="360" w:lineRule="auto"/>
              <w:jc w:val="center"/>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3</w:t>
            </w:r>
          </w:p>
        </w:tc>
        <w:tc>
          <w:tcPr>
            <w:tcW w:w="226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ED4E66A">
            <w:pPr>
              <w:spacing w:line="360" w:lineRule="auto"/>
              <w:jc w:val="center"/>
              <w:rPr>
                <w:rFonts w:hint="eastAsia" w:ascii="宋体" w:hAnsi="宋体" w:eastAsia="宋体" w:cs="宋体"/>
                <w:color w:val="auto"/>
                <w:kern w:val="0"/>
                <w:sz w:val="24"/>
                <w:highlight w:val="none"/>
              </w:rPr>
            </w:pPr>
          </w:p>
        </w:tc>
        <w:tc>
          <w:tcPr>
            <w:tcW w:w="123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7DB3D76">
            <w:pPr>
              <w:spacing w:line="360" w:lineRule="auto"/>
              <w:jc w:val="center"/>
              <w:rPr>
                <w:rFonts w:hint="eastAsia" w:ascii="宋体" w:hAnsi="宋体" w:eastAsia="宋体" w:cs="宋体"/>
                <w:color w:val="auto"/>
                <w:kern w:val="0"/>
                <w:sz w:val="24"/>
                <w:highlight w:val="none"/>
              </w:rPr>
            </w:pPr>
          </w:p>
        </w:tc>
        <w:tc>
          <w:tcPr>
            <w:tcW w:w="372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379C945">
            <w:pPr>
              <w:spacing w:line="360" w:lineRule="auto"/>
              <w:jc w:val="center"/>
              <w:rPr>
                <w:rFonts w:hint="eastAsia" w:ascii="宋体" w:hAnsi="宋体" w:eastAsia="宋体" w:cs="宋体"/>
                <w:color w:val="auto"/>
                <w:kern w:val="0"/>
                <w:sz w:val="24"/>
                <w:highlight w:val="none"/>
              </w:rPr>
            </w:pPr>
          </w:p>
        </w:tc>
        <w:tc>
          <w:tcPr>
            <w:tcW w:w="141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FF088F9">
            <w:pPr>
              <w:spacing w:line="360" w:lineRule="auto"/>
              <w:jc w:val="center"/>
              <w:rPr>
                <w:rFonts w:hint="eastAsia" w:ascii="宋体" w:hAnsi="宋体" w:eastAsia="宋体" w:cs="宋体"/>
                <w:color w:val="auto"/>
                <w:kern w:val="0"/>
                <w:sz w:val="24"/>
                <w:highlight w:val="none"/>
              </w:rPr>
            </w:pPr>
          </w:p>
        </w:tc>
      </w:tr>
      <w:tr w14:paraId="409A553D">
        <w:tblPrEx>
          <w:shd w:val="clear" w:color="auto" w:fill="FBFBFB"/>
          <w:tblCellMar>
            <w:top w:w="0" w:type="dxa"/>
            <w:left w:w="0" w:type="dxa"/>
            <w:bottom w:w="0" w:type="dxa"/>
            <w:right w:w="0" w:type="dxa"/>
          </w:tblCellMar>
        </w:tblPrEx>
        <w:tc>
          <w:tcPr>
            <w:tcW w:w="82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8867195">
            <w:pPr>
              <w:spacing w:line="360" w:lineRule="auto"/>
              <w:jc w:val="center"/>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w:t>
            </w:r>
          </w:p>
        </w:tc>
        <w:tc>
          <w:tcPr>
            <w:tcW w:w="226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3D1C45C3">
            <w:pPr>
              <w:spacing w:line="360" w:lineRule="auto"/>
              <w:jc w:val="center"/>
              <w:rPr>
                <w:rFonts w:hint="eastAsia" w:ascii="宋体" w:hAnsi="宋体" w:eastAsia="宋体" w:cs="宋体"/>
                <w:color w:val="auto"/>
                <w:kern w:val="0"/>
                <w:sz w:val="24"/>
                <w:highlight w:val="none"/>
              </w:rPr>
            </w:pPr>
          </w:p>
        </w:tc>
        <w:tc>
          <w:tcPr>
            <w:tcW w:w="123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FDA5A7F">
            <w:pPr>
              <w:spacing w:line="360" w:lineRule="auto"/>
              <w:jc w:val="center"/>
              <w:rPr>
                <w:rFonts w:hint="eastAsia" w:ascii="宋体" w:hAnsi="宋体" w:eastAsia="宋体" w:cs="宋体"/>
                <w:color w:val="auto"/>
                <w:kern w:val="0"/>
                <w:sz w:val="24"/>
                <w:highlight w:val="none"/>
              </w:rPr>
            </w:pPr>
          </w:p>
        </w:tc>
        <w:tc>
          <w:tcPr>
            <w:tcW w:w="372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3B6EC826">
            <w:pPr>
              <w:spacing w:line="360" w:lineRule="auto"/>
              <w:jc w:val="center"/>
              <w:rPr>
                <w:rFonts w:hint="eastAsia" w:ascii="宋体" w:hAnsi="宋体" w:eastAsia="宋体" w:cs="宋体"/>
                <w:color w:val="auto"/>
                <w:kern w:val="0"/>
                <w:sz w:val="24"/>
                <w:highlight w:val="none"/>
              </w:rPr>
            </w:pPr>
          </w:p>
        </w:tc>
        <w:tc>
          <w:tcPr>
            <w:tcW w:w="141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F676810">
            <w:pPr>
              <w:spacing w:line="360" w:lineRule="auto"/>
              <w:jc w:val="center"/>
              <w:rPr>
                <w:rFonts w:hint="eastAsia" w:ascii="宋体" w:hAnsi="宋体" w:eastAsia="宋体" w:cs="宋体"/>
                <w:color w:val="auto"/>
                <w:kern w:val="0"/>
                <w:sz w:val="24"/>
                <w:highlight w:val="none"/>
              </w:rPr>
            </w:pPr>
          </w:p>
        </w:tc>
      </w:tr>
    </w:tbl>
    <w:p w14:paraId="79D4C49A">
      <w:pPr>
        <w:snapToGrid w:val="0"/>
        <w:spacing w:line="360" w:lineRule="auto"/>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注：</w:t>
      </w:r>
    </w:p>
    <w:p w14:paraId="20D2D3E9">
      <w:pPr>
        <w:snapToGrid w:val="0"/>
        <w:spacing w:line="360" w:lineRule="auto"/>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1.直接控股股东：是指其出资额占有限责任公司资本总额百分之五十以上或者其持有的股份占股份有限公司股份总额百分之五十以上的股东；出资额或者持有股份的比例虽然不足百分之五十，但依其出资额或者持有的股份所享有的表决权已足以对股东会、股东大会的决议产生重大影响的股东。</w:t>
      </w:r>
    </w:p>
    <w:p w14:paraId="3BA2DD36">
      <w:pPr>
        <w:snapToGrid w:val="0"/>
        <w:spacing w:line="360" w:lineRule="auto"/>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2.本表所指的控股关系仅限于直接控股关系，不包括间接的控股关系。公司实际控制人与公司之间的关系不属于本表所指的直接控股关系。</w:t>
      </w:r>
    </w:p>
    <w:p w14:paraId="4D7DDE9D">
      <w:pPr>
        <w:snapToGrid w:val="0"/>
        <w:spacing w:line="360" w:lineRule="auto"/>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3.供应商不存在直接控股股东的，则填“无”。</w:t>
      </w:r>
    </w:p>
    <w:p w14:paraId="4547A4A0">
      <w:pPr>
        <w:snapToGrid w:val="0"/>
        <w:spacing w:line="360" w:lineRule="auto"/>
        <w:jc w:val="left"/>
        <w:rPr>
          <w:rFonts w:hint="eastAsia" w:ascii="宋体" w:hAnsi="宋体" w:eastAsia="宋体" w:cs="宋体"/>
          <w:color w:val="auto"/>
          <w:sz w:val="24"/>
          <w:highlight w:val="none"/>
        </w:rPr>
      </w:pPr>
    </w:p>
    <w:p w14:paraId="48294F44">
      <w:pPr>
        <w:snapToGrid w:val="0"/>
        <w:spacing w:line="360" w:lineRule="auto"/>
        <w:jc w:val="left"/>
        <w:rPr>
          <w:rFonts w:hint="eastAsia" w:ascii="宋体" w:hAnsi="宋体" w:eastAsia="宋体" w:cs="宋体"/>
          <w:color w:val="auto"/>
          <w:sz w:val="24"/>
          <w:highlight w:val="none"/>
        </w:rPr>
      </w:pPr>
    </w:p>
    <w:p w14:paraId="31E362E2">
      <w:pPr>
        <w:snapToGrid w:val="0"/>
        <w:spacing w:line="360" w:lineRule="auto"/>
        <w:jc w:val="left"/>
        <w:rPr>
          <w:rFonts w:hint="eastAsia" w:ascii="宋体" w:hAnsi="宋体" w:eastAsia="宋体" w:cs="宋体"/>
          <w:color w:val="auto"/>
          <w:sz w:val="24"/>
          <w:highlight w:val="none"/>
        </w:rPr>
      </w:pPr>
    </w:p>
    <w:p w14:paraId="37ABEE52">
      <w:pPr>
        <w:snapToGrid w:val="0"/>
        <w:spacing w:line="360" w:lineRule="auto"/>
        <w:jc w:val="left"/>
        <w:rPr>
          <w:rFonts w:hint="eastAsia" w:ascii="宋体" w:hAnsi="宋体" w:eastAsia="宋体" w:cs="宋体"/>
          <w:color w:val="auto"/>
          <w:sz w:val="24"/>
          <w:highlight w:val="none"/>
        </w:rPr>
      </w:pPr>
    </w:p>
    <w:p w14:paraId="77F879BE">
      <w:pPr>
        <w:snapToGrid w:val="0"/>
        <w:spacing w:line="360" w:lineRule="auto"/>
        <w:jc w:val="left"/>
        <w:rPr>
          <w:rFonts w:hint="eastAsia" w:ascii="宋体" w:hAnsi="宋体" w:eastAsia="宋体" w:cs="宋体"/>
          <w:color w:val="auto"/>
          <w:sz w:val="24"/>
          <w:highlight w:val="none"/>
        </w:rPr>
      </w:pPr>
    </w:p>
    <w:p w14:paraId="465FAC77">
      <w:pPr>
        <w:snapToGrid w:val="0"/>
        <w:spacing w:line="360" w:lineRule="auto"/>
        <w:ind w:firstLine="5040" w:firstLineChars="2100"/>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lang w:val="zh-CN"/>
        </w:rPr>
        <w:t>投标人名称(电子签章)：</w:t>
      </w:r>
    </w:p>
    <w:p w14:paraId="2CDD0E5F">
      <w:pPr>
        <w:snapToGrid w:val="0"/>
        <w:spacing w:line="360" w:lineRule="auto"/>
        <w:ind w:firstLine="5160" w:firstLineChars="2150"/>
        <w:rPr>
          <w:rFonts w:hint="eastAsia" w:ascii="宋体" w:hAnsi="宋体" w:eastAsia="宋体" w:cs="宋体"/>
          <w:color w:val="auto"/>
          <w:kern w:val="0"/>
          <w:sz w:val="24"/>
          <w:highlight w:val="none"/>
          <w:lang w:val="zh-CN"/>
        </w:rPr>
      </w:pPr>
      <w:r>
        <w:rPr>
          <w:rFonts w:hint="eastAsia" w:ascii="宋体" w:hAnsi="宋体" w:eastAsia="宋体" w:cs="宋体"/>
          <w:color w:val="auto"/>
          <w:kern w:val="0"/>
          <w:sz w:val="24"/>
          <w:highlight w:val="none"/>
          <w:lang w:val="zh-CN"/>
        </w:rPr>
        <w:t>日期</w:t>
      </w:r>
      <w:r>
        <w:rPr>
          <w:rFonts w:hint="eastAsia" w:ascii="宋体" w:hAnsi="宋体" w:eastAsia="宋体" w:cs="宋体"/>
          <w:color w:val="auto"/>
          <w:kern w:val="0"/>
          <w:sz w:val="24"/>
          <w:highlight w:val="none"/>
        </w:rPr>
        <w:t>：年</w:t>
      </w:r>
      <w:r>
        <w:rPr>
          <w:rFonts w:hint="eastAsia" w:ascii="宋体" w:hAnsi="宋体" w:eastAsia="宋体" w:cs="宋体"/>
          <w:color w:val="auto"/>
          <w:kern w:val="0"/>
          <w:sz w:val="24"/>
          <w:highlight w:val="none"/>
          <w:lang w:val="zh-CN"/>
        </w:rPr>
        <w:t>月日</w:t>
      </w:r>
    </w:p>
    <w:p w14:paraId="36EA2EFF">
      <w:pPr>
        <w:snapToGrid w:val="0"/>
        <w:jc w:val="center"/>
        <w:rPr>
          <w:rFonts w:hint="eastAsia" w:ascii="宋体" w:hAnsi="宋体" w:eastAsia="宋体" w:cs="宋体"/>
          <w:b/>
          <w:color w:val="auto"/>
          <w:sz w:val="28"/>
          <w:szCs w:val="28"/>
          <w:highlight w:val="none"/>
        </w:rPr>
      </w:pPr>
      <w:r>
        <w:rPr>
          <w:rFonts w:hint="eastAsia" w:ascii="宋体" w:hAnsi="宋体" w:eastAsia="宋体" w:cs="宋体"/>
          <w:b/>
          <w:color w:val="auto"/>
          <w:sz w:val="28"/>
          <w:szCs w:val="28"/>
          <w:highlight w:val="none"/>
        </w:rPr>
        <w:br w:type="page"/>
      </w:r>
    </w:p>
    <w:p w14:paraId="54B10A48">
      <w:pPr>
        <w:snapToGrid w:val="0"/>
        <w:spacing w:line="360" w:lineRule="auto"/>
        <w:jc w:val="center"/>
        <w:rPr>
          <w:rFonts w:hint="eastAsia" w:ascii="宋体" w:hAnsi="宋体" w:eastAsia="宋体" w:cs="宋体"/>
          <w:color w:val="auto"/>
          <w:sz w:val="32"/>
          <w:szCs w:val="32"/>
          <w:highlight w:val="none"/>
        </w:rPr>
      </w:pPr>
      <w:r>
        <w:rPr>
          <w:rFonts w:hint="eastAsia" w:ascii="宋体" w:hAnsi="宋体" w:eastAsia="宋体" w:cs="宋体"/>
          <w:b/>
          <w:color w:val="auto"/>
          <w:sz w:val="32"/>
          <w:szCs w:val="32"/>
          <w:highlight w:val="none"/>
        </w:rPr>
        <w:t>五、投标人直接管理关系信息表</w:t>
      </w:r>
    </w:p>
    <w:tbl>
      <w:tblPr>
        <w:tblStyle w:val="35"/>
        <w:tblW w:w="0" w:type="auto"/>
        <w:tblInd w:w="125" w:type="dxa"/>
        <w:shd w:val="clear" w:color="auto" w:fill="FBFBFB"/>
        <w:tblLayout w:type="fixed"/>
        <w:tblCellMar>
          <w:top w:w="0" w:type="dxa"/>
          <w:left w:w="0" w:type="dxa"/>
          <w:bottom w:w="0" w:type="dxa"/>
          <w:right w:w="0" w:type="dxa"/>
        </w:tblCellMar>
      </w:tblPr>
      <w:tblGrid>
        <w:gridCol w:w="1005"/>
        <w:gridCol w:w="2659"/>
        <w:gridCol w:w="3924"/>
        <w:gridCol w:w="2064"/>
      </w:tblGrid>
      <w:tr w14:paraId="0FE6D050">
        <w:tblPrEx>
          <w:shd w:val="clear" w:color="auto" w:fill="FBFBFB"/>
          <w:tblCellMar>
            <w:top w:w="0" w:type="dxa"/>
            <w:left w:w="0" w:type="dxa"/>
            <w:bottom w:w="0" w:type="dxa"/>
            <w:right w:w="0" w:type="dxa"/>
          </w:tblCellMar>
        </w:tblPrEx>
        <w:trPr>
          <w:tblHeader/>
        </w:trPr>
        <w:tc>
          <w:tcPr>
            <w:tcW w:w="1005"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2C4CB4B9">
            <w:pPr>
              <w:spacing w:line="360" w:lineRule="auto"/>
              <w:jc w:val="center"/>
              <w:rPr>
                <w:rFonts w:hint="eastAsia" w:ascii="宋体" w:hAnsi="宋体" w:eastAsia="宋体" w:cs="宋体"/>
                <w:b/>
                <w:bCs/>
                <w:color w:val="auto"/>
                <w:kern w:val="0"/>
                <w:sz w:val="24"/>
                <w:highlight w:val="none"/>
              </w:rPr>
            </w:pPr>
            <w:r>
              <w:rPr>
                <w:rFonts w:hint="eastAsia" w:ascii="宋体" w:hAnsi="宋体" w:eastAsia="宋体" w:cs="宋体"/>
                <w:b/>
                <w:bCs/>
                <w:color w:val="auto"/>
                <w:kern w:val="0"/>
                <w:sz w:val="24"/>
                <w:highlight w:val="none"/>
              </w:rPr>
              <w:t>序号</w:t>
            </w:r>
          </w:p>
        </w:tc>
        <w:tc>
          <w:tcPr>
            <w:tcW w:w="2659"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7E930EB4">
            <w:pPr>
              <w:spacing w:line="360" w:lineRule="auto"/>
              <w:jc w:val="center"/>
              <w:rPr>
                <w:rFonts w:hint="eastAsia" w:ascii="宋体" w:hAnsi="宋体" w:eastAsia="宋体" w:cs="宋体"/>
                <w:b/>
                <w:bCs/>
                <w:color w:val="auto"/>
                <w:kern w:val="0"/>
                <w:sz w:val="24"/>
                <w:highlight w:val="none"/>
              </w:rPr>
            </w:pPr>
            <w:r>
              <w:rPr>
                <w:rFonts w:hint="eastAsia" w:ascii="宋体" w:hAnsi="宋体" w:eastAsia="宋体" w:cs="宋体"/>
                <w:b/>
                <w:bCs/>
                <w:color w:val="auto"/>
                <w:kern w:val="0"/>
                <w:sz w:val="24"/>
                <w:highlight w:val="none"/>
              </w:rPr>
              <w:t>直接管理关系单位名称</w:t>
            </w:r>
          </w:p>
        </w:tc>
        <w:tc>
          <w:tcPr>
            <w:tcW w:w="3924"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4452A45A">
            <w:pPr>
              <w:spacing w:line="360" w:lineRule="auto"/>
              <w:jc w:val="center"/>
              <w:rPr>
                <w:rFonts w:hint="eastAsia" w:ascii="宋体" w:hAnsi="宋体" w:eastAsia="宋体" w:cs="宋体"/>
                <w:b/>
                <w:bCs/>
                <w:color w:val="auto"/>
                <w:kern w:val="0"/>
                <w:sz w:val="24"/>
                <w:highlight w:val="none"/>
              </w:rPr>
            </w:pPr>
            <w:r>
              <w:rPr>
                <w:rFonts w:hint="eastAsia" w:ascii="宋体" w:hAnsi="宋体" w:eastAsia="宋体" w:cs="宋体"/>
                <w:b/>
                <w:bCs/>
                <w:color w:val="auto"/>
                <w:kern w:val="0"/>
                <w:sz w:val="24"/>
                <w:highlight w:val="none"/>
              </w:rPr>
              <w:t>统一社会信用代码</w:t>
            </w:r>
          </w:p>
        </w:tc>
        <w:tc>
          <w:tcPr>
            <w:tcW w:w="2064"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129AA339">
            <w:pPr>
              <w:spacing w:line="360" w:lineRule="auto"/>
              <w:jc w:val="center"/>
              <w:rPr>
                <w:rFonts w:hint="eastAsia" w:ascii="宋体" w:hAnsi="宋体" w:eastAsia="宋体" w:cs="宋体"/>
                <w:b/>
                <w:bCs/>
                <w:color w:val="auto"/>
                <w:kern w:val="0"/>
                <w:sz w:val="24"/>
                <w:highlight w:val="none"/>
              </w:rPr>
            </w:pPr>
            <w:r>
              <w:rPr>
                <w:rFonts w:hint="eastAsia" w:ascii="宋体" w:hAnsi="宋体" w:eastAsia="宋体" w:cs="宋体"/>
                <w:b/>
                <w:bCs/>
                <w:color w:val="auto"/>
                <w:kern w:val="0"/>
                <w:sz w:val="24"/>
                <w:highlight w:val="none"/>
              </w:rPr>
              <w:t>备注</w:t>
            </w:r>
          </w:p>
        </w:tc>
      </w:tr>
      <w:tr w14:paraId="64AF6F02">
        <w:tblPrEx>
          <w:shd w:val="clear" w:color="auto" w:fill="FBFBFB"/>
          <w:tblCellMar>
            <w:top w:w="0" w:type="dxa"/>
            <w:left w:w="0" w:type="dxa"/>
            <w:bottom w:w="0" w:type="dxa"/>
            <w:right w:w="0" w:type="dxa"/>
          </w:tblCellMar>
        </w:tblPrEx>
        <w:tc>
          <w:tcPr>
            <w:tcW w:w="1005"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2C2DA3A0">
            <w:pPr>
              <w:spacing w:line="360" w:lineRule="auto"/>
              <w:jc w:val="center"/>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1</w:t>
            </w:r>
          </w:p>
        </w:tc>
        <w:tc>
          <w:tcPr>
            <w:tcW w:w="265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A774B7D">
            <w:pPr>
              <w:spacing w:line="360" w:lineRule="auto"/>
              <w:jc w:val="center"/>
              <w:rPr>
                <w:rFonts w:hint="eastAsia" w:ascii="宋体" w:hAnsi="宋体" w:eastAsia="宋体" w:cs="宋体"/>
                <w:color w:val="auto"/>
                <w:kern w:val="0"/>
                <w:sz w:val="24"/>
                <w:highlight w:val="none"/>
              </w:rPr>
            </w:pPr>
          </w:p>
        </w:tc>
        <w:tc>
          <w:tcPr>
            <w:tcW w:w="392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93E99FE">
            <w:pPr>
              <w:spacing w:line="360" w:lineRule="auto"/>
              <w:jc w:val="center"/>
              <w:rPr>
                <w:rFonts w:hint="eastAsia" w:ascii="宋体" w:hAnsi="宋体" w:eastAsia="宋体" w:cs="宋体"/>
                <w:color w:val="auto"/>
                <w:kern w:val="0"/>
                <w:sz w:val="24"/>
                <w:highlight w:val="none"/>
              </w:rPr>
            </w:pPr>
          </w:p>
        </w:tc>
        <w:tc>
          <w:tcPr>
            <w:tcW w:w="206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FB8C56A">
            <w:pPr>
              <w:spacing w:line="360" w:lineRule="auto"/>
              <w:jc w:val="center"/>
              <w:rPr>
                <w:rFonts w:hint="eastAsia" w:ascii="宋体" w:hAnsi="宋体" w:eastAsia="宋体" w:cs="宋体"/>
                <w:color w:val="auto"/>
                <w:kern w:val="0"/>
                <w:sz w:val="24"/>
                <w:highlight w:val="none"/>
              </w:rPr>
            </w:pPr>
          </w:p>
        </w:tc>
      </w:tr>
      <w:tr w14:paraId="270602CD">
        <w:tblPrEx>
          <w:shd w:val="clear" w:color="auto" w:fill="FBFBFB"/>
          <w:tblCellMar>
            <w:top w:w="0" w:type="dxa"/>
            <w:left w:w="0" w:type="dxa"/>
            <w:bottom w:w="0" w:type="dxa"/>
            <w:right w:w="0" w:type="dxa"/>
          </w:tblCellMar>
        </w:tblPrEx>
        <w:tc>
          <w:tcPr>
            <w:tcW w:w="1005"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52C6F5F">
            <w:pPr>
              <w:spacing w:line="360" w:lineRule="auto"/>
              <w:jc w:val="center"/>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2</w:t>
            </w:r>
          </w:p>
        </w:tc>
        <w:tc>
          <w:tcPr>
            <w:tcW w:w="265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28B4CFA2">
            <w:pPr>
              <w:spacing w:line="360" w:lineRule="auto"/>
              <w:jc w:val="center"/>
              <w:rPr>
                <w:rFonts w:hint="eastAsia" w:ascii="宋体" w:hAnsi="宋体" w:eastAsia="宋体" w:cs="宋体"/>
                <w:color w:val="auto"/>
                <w:kern w:val="0"/>
                <w:sz w:val="24"/>
                <w:highlight w:val="none"/>
              </w:rPr>
            </w:pPr>
          </w:p>
        </w:tc>
        <w:tc>
          <w:tcPr>
            <w:tcW w:w="392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4AD49AE">
            <w:pPr>
              <w:spacing w:line="360" w:lineRule="auto"/>
              <w:jc w:val="center"/>
              <w:rPr>
                <w:rFonts w:hint="eastAsia" w:ascii="宋体" w:hAnsi="宋体" w:eastAsia="宋体" w:cs="宋体"/>
                <w:color w:val="auto"/>
                <w:kern w:val="0"/>
                <w:sz w:val="24"/>
                <w:highlight w:val="none"/>
              </w:rPr>
            </w:pPr>
          </w:p>
        </w:tc>
        <w:tc>
          <w:tcPr>
            <w:tcW w:w="206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348954F0">
            <w:pPr>
              <w:spacing w:line="360" w:lineRule="auto"/>
              <w:jc w:val="center"/>
              <w:rPr>
                <w:rFonts w:hint="eastAsia" w:ascii="宋体" w:hAnsi="宋体" w:eastAsia="宋体" w:cs="宋体"/>
                <w:color w:val="auto"/>
                <w:kern w:val="0"/>
                <w:sz w:val="24"/>
                <w:highlight w:val="none"/>
              </w:rPr>
            </w:pPr>
          </w:p>
        </w:tc>
      </w:tr>
      <w:tr w14:paraId="06F1406F">
        <w:tblPrEx>
          <w:shd w:val="clear" w:color="auto" w:fill="FBFBFB"/>
          <w:tblCellMar>
            <w:top w:w="0" w:type="dxa"/>
            <w:left w:w="0" w:type="dxa"/>
            <w:bottom w:w="0" w:type="dxa"/>
            <w:right w:w="0" w:type="dxa"/>
          </w:tblCellMar>
        </w:tblPrEx>
        <w:tc>
          <w:tcPr>
            <w:tcW w:w="1005"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5861E55">
            <w:pPr>
              <w:spacing w:line="360" w:lineRule="auto"/>
              <w:jc w:val="center"/>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3</w:t>
            </w:r>
          </w:p>
        </w:tc>
        <w:tc>
          <w:tcPr>
            <w:tcW w:w="265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6E209DA">
            <w:pPr>
              <w:spacing w:line="360" w:lineRule="auto"/>
              <w:jc w:val="center"/>
              <w:rPr>
                <w:rFonts w:hint="eastAsia" w:ascii="宋体" w:hAnsi="宋体" w:eastAsia="宋体" w:cs="宋体"/>
                <w:color w:val="auto"/>
                <w:kern w:val="0"/>
                <w:sz w:val="24"/>
                <w:highlight w:val="none"/>
              </w:rPr>
            </w:pPr>
          </w:p>
        </w:tc>
        <w:tc>
          <w:tcPr>
            <w:tcW w:w="392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A21E890">
            <w:pPr>
              <w:spacing w:line="360" w:lineRule="auto"/>
              <w:jc w:val="center"/>
              <w:rPr>
                <w:rFonts w:hint="eastAsia" w:ascii="宋体" w:hAnsi="宋体" w:eastAsia="宋体" w:cs="宋体"/>
                <w:color w:val="auto"/>
                <w:kern w:val="0"/>
                <w:sz w:val="24"/>
                <w:highlight w:val="none"/>
              </w:rPr>
            </w:pPr>
          </w:p>
        </w:tc>
        <w:tc>
          <w:tcPr>
            <w:tcW w:w="206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2D5B774E">
            <w:pPr>
              <w:spacing w:line="360" w:lineRule="auto"/>
              <w:jc w:val="center"/>
              <w:rPr>
                <w:rFonts w:hint="eastAsia" w:ascii="宋体" w:hAnsi="宋体" w:eastAsia="宋体" w:cs="宋体"/>
                <w:color w:val="auto"/>
                <w:kern w:val="0"/>
                <w:sz w:val="24"/>
                <w:highlight w:val="none"/>
              </w:rPr>
            </w:pPr>
          </w:p>
        </w:tc>
      </w:tr>
      <w:tr w14:paraId="6AF6B7D0">
        <w:tblPrEx>
          <w:shd w:val="clear" w:color="auto" w:fill="FBFBFB"/>
          <w:tblCellMar>
            <w:top w:w="0" w:type="dxa"/>
            <w:left w:w="0" w:type="dxa"/>
            <w:bottom w:w="0" w:type="dxa"/>
            <w:right w:w="0" w:type="dxa"/>
          </w:tblCellMar>
        </w:tblPrEx>
        <w:tc>
          <w:tcPr>
            <w:tcW w:w="1005"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CA99E8E">
            <w:pPr>
              <w:spacing w:line="360" w:lineRule="auto"/>
              <w:jc w:val="center"/>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w:t>
            </w:r>
          </w:p>
        </w:tc>
        <w:tc>
          <w:tcPr>
            <w:tcW w:w="265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7824EF0">
            <w:pPr>
              <w:spacing w:line="360" w:lineRule="auto"/>
              <w:jc w:val="center"/>
              <w:rPr>
                <w:rFonts w:hint="eastAsia" w:ascii="宋体" w:hAnsi="宋体" w:eastAsia="宋体" w:cs="宋体"/>
                <w:color w:val="auto"/>
                <w:kern w:val="0"/>
                <w:sz w:val="24"/>
                <w:highlight w:val="none"/>
              </w:rPr>
            </w:pPr>
          </w:p>
        </w:tc>
        <w:tc>
          <w:tcPr>
            <w:tcW w:w="392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22F3CE7C">
            <w:pPr>
              <w:spacing w:line="360" w:lineRule="auto"/>
              <w:jc w:val="center"/>
              <w:rPr>
                <w:rFonts w:hint="eastAsia" w:ascii="宋体" w:hAnsi="宋体" w:eastAsia="宋体" w:cs="宋体"/>
                <w:color w:val="auto"/>
                <w:kern w:val="0"/>
                <w:sz w:val="24"/>
                <w:highlight w:val="none"/>
              </w:rPr>
            </w:pPr>
          </w:p>
        </w:tc>
        <w:tc>
          <w:tcPr>
            <w:tcW w:w="206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74395C0">
            <w:pPr>
              <w:spacing w:line="360" w:lineRule="auto"/>
              <w:jc w:val="center"/>
              <w:rPr>
                <w:rFonts w:hint="eastAsia" w:ascii="宋体" w:hAnsi="宋体" w:eastAsia="宋体" w:cs="宋体"/>
                <w:color w:val="auto"/>
                <w:kern w:val="0"/>
                <w:sz w:val="24"/>
                <w:highlight w:val="none"/>
              </w:rPr>
            </w:pPr>
          </w:p>
        </w:tc>
      </w:tr>
    </w:tbl>
    <w:p w14:paraId="7B073C28">
      <w:pPr>
        <w:snapToGrid w:val="0"/>
        <w:spacing w:line="360" w:lineRule="auto"/>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注：</w:t>
      </w:r>
    </w:p>
    <w:p w14:paraId="241DDF84">
      <w:pPr>
        <w:snapToGrid w:val="0"/>
        <w:spacing w:line="360" w:lineRule="auto"/>
        <w:ind w:firstLine="480" w:firstLineChars="200"/>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1.管理关系：是指不具有出资持股关系的其他单位之间存在的管理与被管理关系，如一些上下级关系的事业单位和团体组织。</w:t>
      </w:r>
    </w:p>
    <w:p w14:paraId="471B0774">
      <w:pPr>
        <w:snapToGrid w:val="0"/>
        <w:spacing w:line="360" w:lineRule="auto"/>
        <w:ind w:firstLine="480" w:firstLineChars="200"/>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2.</w:t>
      </w:r>
      <w:r>
        <w:rPr>
          <w:rFonts w:hint="eastAsia" w:ascii="宋体" w:hAnsi="宋体" w:eastAsia="宋体" w:cs="宋体"/>
          <w:color w:val="auto"/>
          <w:spacing w:val="-6"/>
          <w:sz w:val="24"/>
          <w:highlight w:val="none"/>
        </w:rPr>
        <w:t>本表所指的管理关系仅限于直接管理关系，不包括间接的管理关系。</w:t>
      </w:r>
    </w:p>
    <w:p w14:paraId="736E0941">
      <w:pPr>
        <w:snapToGrid w:val="0"/>
        <w:spacing w:line="360" w:lineRule="auto"/>
        <w:ind w:firstLine="480" w:firstLineChars="200"/>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3.供应商不存在直接管理关系的，则填“无”。</w:t>
      </w:r>
    </w:p>
    <w:p w14:paraId="377AD1F9">
      <w:pPr>
        <w:snapToGrid w:val="0"/>
        <w:spacing w:line="360" w:lineRule="auto"/>
        <w:jc w:val="left"/>
        <w:rPr>
          <w:rFonts w:hint="eastAsia" w:ascii="宋体" w:hAnsi="宋体" w:eastAsia="宋体" w:cs="宋体"/>
          <w:color w:val="auto"/>
          <w:sz w:val="24"/>
          <w:highlight w:val="none"/>
        </w:rPr>
      </w:pPr>
    </w:p>
    <w:p w14:paraId="1F1856A9">
      <w:pPr>
        <w:snapToGrid w:val="0"/>
        <w:spacing w:line="360" w:lineRule="auto"/>
        <w:jc w:val="left"/>
        <w:rPr>
          <w:rFonts w:hint="eastAsia" w:ascii="宋体" w:hAnsi="宋体" w:eastAsia="宋体" w:cs="宋体"/>
          <w:color w:val="auto"/>
          <w:sz w:val="24"/>
          <w:highlight w:val="none"/>
        </w:rPr>
      </w:pPr>
    </w:p>
    <w:p w14:paraId="406E40C7">
      <w:pPr>
        <w:snapToGrid w:val="0"/>
        <w:spacing w:line="360" w:lineRule="auto"/>
        <w:jc w:val="left"/>
        <w:rPr>
          <w:rFonts w:hint="eastAsia" w:ascii="宋体" w:hAnsi="宋体" w:eastAsia="宋体" w:cs="宋体"/>
          <w:color w:val="auto"/>
          <w:sz w:val="24"/>
          <w:highlight w:val="none"/>
        </w:rPr>
      </w:pPr>
    </w:p>
    <w:p w14:paraId="29A00688">
      <w:pPr>
        <w:snapToGrid w:val="0"/>
        <w:spacing w:line="360" w:lineRule="auto"/>
        <w:jc w:val="left"/>
        <w:rPr>
          <w:rFonts w:hint="eastAsia" w:ascii="宋体" w:hAnsi="宋体" w:eastAsia="宋体" w:cs="宋体"/>
          <w:color w:val="auto"/>
          <w:sz w:val="24"/>
          <w:highlight w:val="none"/>
        </w:rPr>
      </w:pPr>
    </w:p>
    <w:p w14:paraId="0620797D">
      <w:pPr>
        <w:snapToGrid w:val="0"/>
        <w:spacing w:line="360" w:lineRule="auto"/>
        <w:jc w:val="left"/>
        <w:rPr>
          <w:rFonts w:hint="eastAsia" w:ascii="宋体" w:hAnsi="宋体" w:eastAsia="宋体" w:cs="宋体"/>
          <w:color w:val="auto"/>
          <w:sz w:val="24"/>
          <w:highlight w:val="none"/>
        </w:rPr>
      </w:pPr>
    </w:p>
    <w:p w14:paraId="001CB47E">
      <w:pPr>
        <w:snapToGrid w:val="0"/>
        <w:spacing w:line="360" w:lineRule="auto"/>
        <w:jc w:val="left"/>
        <w:rPr>
          <w:rFonts w:hint="eastAsia" w:ascii="宋体" w:hAnsi="宋体" w:eastAsia="宋体" w:cs="宋体"/>
          <w:color w:val="auto"/>
          <w:sz w:val="24"/>
          <w:highlight w:val="none"/>
        </w:rPr>
      </w:pPr>
    </w:p>
    <w:p w14:paraId="5B88B5D8">
      <w:pPr>
        <w:snapToGrid w:val="0"/>
        <w:spacing w:line="360" w:lineRule="auto"/>
        <w:jc w:val="left"/>
        <w:rPr>
          <w:rFonts w:hint="eastAsia" w:ascii="宋体" w:hAnsi="宋体" w:eastAsia="宋体" w:cs="宋体"/>
          <w:color w:val="auto"/>
          <w:sz w:val="24"/>
          <w:highlight w:val="none"/>
        </w:rPr>
      </w:pPr>
    </w:p>
    <w:p w14:paraId="08E9C601">
      <w:pPr>
        <w:snapToGrid w:val="0"/>
        <w:spacing w:line="360" w:lineRule="auto"/>
        <w:jc w:val="left"/>
        <w:rPr>
          <w:rFonts w:hint="eastAsia" w:ascii="宋体" w:hAnsi="宋体" w:eastAsia="宋体" w:cs="宋体"/>
          <w:color w:val="auto"/>
          <w:sz w:val="24"/>
          <w:highlight w:val="none"/>
        </w:rPr>
      </w:pPr>
    </w:p>
    <w:p w14:paraId="0BDE73F5">
      <w:pPr>
        <w:snapToGrid w:val="0"/>
        <w:spacing w:line="360" w:lineRule="auto"/>
        <w:ind w:firstLine="5040" w:firstLineChars="2100"/>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lang w:val="zh-CN"/>
        </w:rPr>
        <w:t>投标人名称(电子签章)：</w:t>
      </w:r>
    </w:p>
    <w:p w14:paraId="5D0DB675">
      <w:pPr>
        <w:snapToGrid w:val="0"/>
        <w:spacing w:line="360" w:lineRule="auto"/>
        <w:ind w:firstLine="5160" w:firstLineChars="2150"/>
        <w:rPr>
          <w:rFonts w:hint="eastAsia" w:ascii="宋体" w:hAnsi="宋体" w:eastAsia="宋体" w:cs="宋体"/>
          <w:color w:val="auto"/>
          <w:kern w:val="0"/>
          <w:sz w:val="24"/>
          <w:highlight w:val="none"/>
          <w:lang w:val="zh-CN"/>
        </w:rPr>
      </w:pPr>
      <w:r>
        <w:rPr>
          <w:rFonts w:hint="eastAsia" w:ascii="宋体" w:hAnsi="宋体" w:eastAsia="宋体" w:cs="宋体"/>
          <w:color w:val="auto"/>
          <w:kern w:val="0"/>
          <w:sz w:val="24"/>
          <w:highlight w:val="none"/>
          <w:lang w:val="zh-CN"/>
        </w:rPr>
        <w:t>日期</w:t>
      </w:r>
      <w:r>
        <w:rPr>
          <w:rFonts w:hint="eastAsia" w:ascii="宋体" w:hAnsi="宋体" w:eastAsia="宋体" w:cs="宋体"/>
          <w:color w:val="auto"/>
          <w:kern w:val="0"/>
          <w:sz w:val="24"/>
          <w:highlight w:val="none"/>
        </w:rPr>
        <w:t>：年</w:t>
      </w:r>
      <w:r>
        <w:rPr>
          <w:rFonts w:hint="eastAsia" w:ascii="宋体" w:hAnsi="宋体" w:eastAsia="宋体" w:cs="宋体"/>
          <w:color w:val="auto"/>
          <w:kern w:val="0"/>
          <w:sz w:val="24"/>
          <w:highlight w:val="none"/>
          <w:lang w:val="zh-CN"/>
        </w:rPr>
        <w:t>月日</w:t>
      </w:r>
    </w:p>
    <w:p w14:paraId="5E876453">
      <w:pPr>
        <w:snapToGrid w:val="0"/>
        <w:spacing w:before="50" w:after="165" w:afterLines="50"/>
        <w:jc w:val="left"/>
        <w:rPr>
          <w:rFonts w:hint="eastAsia" w:ascii="宋体" w:hAnsi="宋体" w:eastAsia="宋体" w:cs="宋体"/>
          <w:color w:val="auto"/>
          <w:szCs w:val="21"/>
          <w:highlight w:val="none"/>
        </w:rPr>
      </w:pPr>
    </w:p>
    <w:p w14:paraId="5C670ED7">
      <w:pPr>
        <w:snapToGrid w:val="0"/>
        <w:spacing w:before="165" w:beforeLines="50" w:after="50"/>
        <w:jc w:val="left"/>
        <w:rPr>
          <w:rFonts w:hint="eastAsia" w:ascii="宋体" w:hAnsi="宋体" w:eastAsia="宋体" w:cs="宋体"/>
          <w:b/>
          <w:color w:val="auto"/>
          <w:sz w:val="24"/>
          <w:szCs w:val="20"/>
          <w:highlight w:val="none"/>
        </w:rPr>
      </w:pPr>
    </w:p>
    <w:p w14:paraId="2C373B0B">
      <w:pPr>
        <w:snapToGrid w:val="0"/>
        <w:spacing w:before="165" w:beforeLines="50" w:after="50"/>
        <w:jc w:val="left"/>
        <w:rPr>
          <w:rFonts w:hint="eastAsia" w:ascii="宋体" w:hAnsi="宋体" w:eastAsia="宋体" w:cs="宋体"/>
          <w:b/>
          <w:color w:val="auto"/>
          <w:sz w:val="24"/>
          <w:highlight w:val="none"/>
        </w:rPr>
      </w:pPr>
    </w:p>
    <w:p w14:paraId="33C7A662">
      <w:pPr>
        <w:snapToGrid w:val="0"/>
        <w:spacing w:before="165" w:beforeLines="50" w:after="50"/>
        <w:jc w:val="left"/>
        <w:rPr>
          <w:rFonts w:hint="eastAsia" w:ascii="宋体" w:hAnsi="宋体" w:eastAsia="宋体" w:cs="宋体"/>
          <w:b/>
          <w:color w:val="auto"/>
          <w:sz w:val="24"/>
          <w:szCs w:val="20"/>
          <w:highlight w:val="none"/>
          <w:lang w:eastAsia="zh-CN"/>
        </w:rPr>
      </w:pPr>
    </w:p>
    <w:p w14:paraId="07429433">
      <w:pPr>
        <w:snapToGrid w:val="0"/>
        <w:spacing w:before="165" w:beforeLines="50" w:after="50"/>
        <w:jc w:val="left"/>
        <w:rPr>
          <w:rFonts w:hint="eastAsia" w:ascii="宋体" w:hAnsi="宋体" w:eastAsia="宋体" w:cs="宋体"/>
          <w:b/>
          <w:color w:val="auto"/>
          <w:sz w:val="24"/>
          <w:szCs w:val="20"/>
          <w:highlight w:val="none"/>
        </w:rPr>
      </w:pPr>
    </w:p>
    <w:p w14:paraId="2E8E439D">
      <w:pPr>
        <w:snapToGrid w:val="0"/>
        <w:spacing w:before="165" w:beforeLines="50" w:after="50"/>
        <w:jc w:val="left"/>
        <w:rPr>
          <w:rFonts w:hint="eastAsia" w:ascii="宋体" w:hAnsi="宋体" w:eastAsia="宋体" w:cs="宋体"/>
          <w:b/>
          <w:color w:val="auto"/>
          <w:sz w:val="24"/>
          <w:szCs w:val="20"/>
          <w:highlight w:val="none"/>
        </w:rPr>
      </w:pPr>
    </w:p>
    <w:p w14:paraId="290A8F14">
      <w:pPr>
        <w:snapToGrid w:val="0"/>
        <w:spacing w:before="50" w:after="165" w:afterLines="50"/>
        <w:jc w:val="left"/>
        <w:rPr>
          <w:rFonts w:hint="eastAsia" w:ascii="宋体" w:hAnsi="宋体" w:eastAsia="宋体" w:cs="宋体"/>
          <w:color w:val="auto"/>
          <w:highlight w:val="none"/>
        </w:rPr>
      </w:pPr>
    </w:p>
    <w:p w14:paraId="22064070">
      <w:pPr>
        <w:snapToGrid w:val="0"/>
        <w:spacing w:before="50" w:after="165" w:afterLines="50"/>
        <w:jc w:val="center"/>
        <w:rPr>
          <w:rFonts w:hint="eastAsia" w:ascii="宋体" w:hAnsi="宋体" w:eastAsia="宋体" w:cs="宋体"/>
          <w:b/>
          <w:color w:val="auto"/>
          <w:sz w:val="32"/>
          <w:szCs w:val="32"/>
          <w:highlight w:val="none"/>
        </w:rPr>
      </w:pPr>
      <w:r>
        <w:rPr>
          <w:rFonts w:hint="eastAsia" w:ascii="宋体" w:hAnsi="宋体" w:eastAsia="宋体" w:cs="宋体"/>
          <w:b/>
          <w:color w:val="auto"/>
          <w:sz w:val="32"/>
          <w:szCs w:val="32"/>
          <w:highlight w:val="none"/>
        </w:rPr>
        <w:t>六、投标资格声明函</w:t>
      </w:r>
    </w:p>
    <w:p w14:paraId="2B6E4CB7">
      <w:pPr>
        <w:tabs>
          <w:tab w:val="left" w:pos="7200"/>
        </w:tabs>
        <w:spacing w:line="360" w:lineRule="auto"/>
        <w:rPr>
          <w:rFonts w:hint="eastAsia" w:ascii="宋体" w:hAnsi="宋体" w:eastAsia="宋体" w:cs="宋体"/>
          <w:color w:val="auto"/>
          <w:szCs w:val="21"/>
          <w:highlight w:val="none"/>
          <w:u w:val="single"/>
          <w:lang w:eastAsia="zh-CN"/>
        </w:rPr>
      </w:pPr>
      <w:r>
        <w:rPr>
          <w:rFonts w:hint="eastAsia" w:ascii="宋体" w:hAnsi="宋体" w:eastAsia="宋体" w:cs="宋体"/>
          <w:color w:val="auto"/>
          <w:szCs w:val="21"/>
          <w:highlight w:val="none"/>
        </w:rPr>
        <w:t>致：</w:t>
      </w:r>
      <w:r>
        <w:rPr>
          <w:rFonts w:hint="eastAsia" w:ascii="宋体" w:hAnsi="宋体" w:eastAsia="宋体" w:cs="宋体"/>
          <w:color w:val="auto"/>
          <w:szCs w:val="21"/>
          <w:highlight w:val="none"/>
          <w:u w:val="single"/>
          <w:lang w:eastAsia="zh-CN"/>
        </w:rPr>
        <w:t>广西哲通项目管理有限公司</w:t>
      </w:r>
    </w:p>
    <w:p w14:paraId="060D4763">
      <w:pPr>
        <w:bidi w:val="0"/>
        <w:rPr>
          <w:rFonts w:hint="eastAsia"/>
          <w:color w:val="auto"/>
          <w:highlight w:val="none"/>
          <w:lang w:eastAsia="zh-CN"/>
        </w:rPr>
      </w:pPr>
    </w:p>
    <w:p w14:paraId="48D468D1">
      <w:pPr>
        <w:snapToGrid w:val="0"/>
        <w:spacing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我方愿意参加贵方组织的</w:t>
      </w:r>
      <w:r>
        <w:rPr>
          <w:rFonts w:hint="eastAsia" w:ascii="宋体" w:hAnsi="宋体" w:cs="宋体"/>
          <w:color w:val="auto"/>
          <w:szCs w:val="21"/>
          <w:highlight w:val="none"/>
          <w:u w:val="single"/>
          <w:lang w:eastAsia="zh-CN"/>
        </w:rPr>
        <w:t>（</w:t>
      </w:r>
      <w:r>
        <w:rPr>
          <w:rFonts w:hint="eastAsia" w:ascii="宋体" w:hAnsi="宋体" w:cs="宋体"/>
          <w:color w:val="auto"/>
          <w:szCs w:val="21"/>
          <w:highlight w:val="none"/>
          <w:u w:val="single"/>
          <w:lang w:val="en-US" w:eastAsia="zh-CN"/>
        </w:rPr>
        <w:t>项目名称</w:t>
      </w:r>
      <w:r>
        <w:rPr>
          <w:rFonts w:hint="eastAsia" w:ascii="宋体" w:hAnsi="宋体" w:cs="宋体"/>
          <w:color w:val="auto"/>
          <w:szCs w:val="21"/>
          <w:highlight w:val="none"/>
          <w:u w:val="single"/>
          <w:lang w:eastAsia="zh-CN"/>
        </w:rPr>
        <w:t>）</w:t>
      </w:r>
      <w:r>
        <w:rPr>
          <w:rFonts w:hint="eastAsia" w:ascii="宋体" w:hAnsi="宋体" w:eastAsia="宋体" w:cs="宋体"/>
          <w:color w:val="auto"/>
          <w:szCs w:val="21"/>
          <w:highlight w:val="none"/>
        </w:rPr>
        <w:t>（项目编号：）项目的投标，为便于贵方公正、择优地确定中标人，我方就本次投标有关事项郑重声明如下：</w:t>
      </w:r>
    </w:p>
    <w:p w14:paraId="6646C3AF">
      <w:pPr>
        <w:snapToGrid w:val="0"/>
        <w:spacing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1.我方承诺已经具备《中华人民共和国政府采购法》第二十二条中规定的参加政府采购活动的供应商应当具备的条件并按本项目投标文件“第三章”“第二节投标人须知前附表”中“资格证明文件组成”完整提供证明材料。</w:t>
      </w:r>
    </w:p>
    <w:p w14:paraId="65527682">
      <w:pPr>
        <w:snapToGrid w:val="0"/>
        <w:spacing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2.我方不是采购人的附属机构；不是为本次采购项目提供整体设计、规范编制或者项目管理、监理、检测等服务的供应商；在获知本项目采购信息后，与采购人聘请的为此项目提供咨询服务的公司及其附属机构没有任何联系。</w:t>
      </w:r>
    </w:p>
    <w:p w14:paraId="190FE47C">
      <w:pPr>
        <w:snapToGrid w:val="0"/>
        <w:spacing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3.经查询，在“信用中国”和“中国政府采购网”网站我方未被列入失信被执行人、重大税收违法案件当事人名单、政府采购严重违法失信行为记录名单。</w:t>
      </w:r>
    </w:p>
    <w:p w14:paraId="2FC5F67A">
      <w:pPr>
        <w:snapToGrid w:val="0"/>
        <w:spacing w:line="360" w:lineRule="auto"/>
        <w:ind w:firstLine="420" w:firstLineChars="200"/>
        <w:jc w:val="left"/>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rPr>
        <w:t>4.以上事项如有虚假或隐瞒，我方愿意承担一切后果，并不再寻求任何旨在减轻或免除法律责任的辩解。</w:t>
      </w:r>
    </w:p>
    <w:p w14:paraId="5BC892CA">
      <w:pPr>
        <w:tabs>
          <w:tab w:val="left" w:pos="7200"/>
        </w:tabs>
        <w:ind w:firstLine="270" w:firstLineChars="150"/>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说明：</w:t>
      </w:r>
    </w:p>
    <w:p w14:paraId="0D71E798">
      <w:pPr>
        <w:ind w:firstLine="360" w:firstLineChars="200"/>
        <w:jc w:val="left"/>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1.采购人或者评标委员会将在资格审查阶段，通过 “信用中国” 网站（https://www.creditchina.gov.cn）、中国政府采购网（https://www.ccgp.gov.cn）查询投标人信用记录。投标人被列入失信被执行人、重大税收违法失信主体、政府采购严重违法失信行为记录名单的，不得参与本项目政府采购活动。</w:t>
      </w:r>
    </w:p>
    <w:p w14:paraId="11407C2F">
      <w:pPr>
        <w:ind w:firstLine="360" w:firstLineChars="200"/>
        <w:jc w:val="left"/>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2.两个以上主体组成联合体参加本项目采购活动的，对全部联合体成员开展信用记录查询；联合体任一成员存在前述不良信用记录的，联合体资格审查不合格。</w:t>
      </w:r>
    </w:p>
    <w:p w14:paraId="1C21C780">
      <w:pPr>
        <w:snapToGrid w:val="0"/>
        <w:spacing w:before="50" w:after="165" w:afterLines="50"/>
        <w:ind w:firstLine="361" w:firstLineChars="200"/>
        <w:jc w:val="left"/>
        <w:rPr>
          <w:rFonts w:hint="eastAsia" w:ascii="宋体" w:hAnsi="宋体" w:eastAsia="宋体" w:cs="宋体"/>
          <w:color w:val="auto"/>
          <w:sz w:val="18"/>
          <w:szCs w:val="18"/>
          <w:highlight w:val="none"/>
        </w:rPr>
      </w:pPr>
      <w:r>
        <w:rPr>
          <w:rFonts w:hint="eastAsia" w:ascii="宋体" w:hAnsi="宋体" w:eastAsia="宋体" w:cs="宋体"/>
          <w:b/>
          <w:color w:val="auto"/>
          <w:sz w:val="18"/>
          <w:szCs w:val="18"/>
          <w:highlight w:val="none"/>
        </w:rPr>
        <w:t>3.如为联合体投标，盖章处须加盖联合体各方公章并由联合体各方法定代表人分别签署，否则投标无效。</w:t>
      </w:r>
    </w:p>
    <w:p w14:paraId="5B13CE79">
      <w:pPr>
        <w:snapToGrid w:val="0"/>
        <w:spacing w:before="50" w:after="331" w:afterLines="100" w:line="360" w:lineRule="auto"/>
        <w:jc w:val="left"/>
        <w:rPr>
          <w:rFonts w:hint="eastAsia" w:ascii="宋体" w:hAnsi="宋体" w:eastAsia="宋体" w:cs="宋体"/>
          <w:color w:val="auto"/>
          <w:sz w:val="24"/>
          <w:highlight w:val="none"/>
          <w:lang w:eastAsia="zh-CN"/>
        </w:rPr>
      </w:pPr>
    </w:p>
    <w:p w14:paraId="1D1D466B">
      <w:pPr>
        <w:snapToGrid w:val="0"/>
        <w:spacing w:before="50" w:after="331" w:afterLines="100" w:line="360" w:lineRule="auto"/>
        <w:ind w:left="7428" w:leftChars="2223" w:hanging="2760" w:hangingChars="1150"/>
        <w:jc w:val="left"/>
        <w:rPr>
          <w:rFonts w:hint="eastAsia" w:ascii="宋体" w:hAnsi="宋体" w:eastAsia="宋体" w:cs="宋体"/>
          <w:color w:val="auto"/>
          <w:kern w:val="0"/>
          <w:sz w:val="24"/>
          <w:highlight w:val="none"/>
          <w:lang w:val="zh-CN"/>
        </w:rPr>
      </w:pPr>
      <w:r>
        <w:rPr>
          <w:rFonts w:hint="eastAsia" w:ascii="宋体" w:hAnsi="宋体" w:eastAsia="宋体" w:cs="宋体"/>
          <w:color w:val="auto"/>
          <w:kern w:val="0"/>
          <w:sz w:val="24"/>
          <w:highlight w:val="none"/>
          <w:lang w:val="zh-CN"/>
        </w:rPr>
        <w:t>投标人名称(电子签章)：</w:t>
      </w:r>
      <w:r>
        <w:rPr>
          <w:rFonts w:hint="eastAsia" w:ascii="宋体" w:hAnsi="宋体" w:eastAsia="宋体" w:cs="宋体"/>
          <w:color w:val="auto"/>
          <w:szCs w:val="21"/>
          <w:highlight w:val="none"/>
        </w:rPr>
        <w:t>年月日</w:t>
      </w:r>
    </w:p>
    <w:p w14:paraId="1A915225">
      <w:pPr>
        <w:pStyle w:val="18"/>
        <w:spacing w:line="600" w:lineRule="exact"/>
        <w:jc w:val="center"/>
        <w:rPr>
          <w:rFonts w:hint="eastAsia" w:ascii="宋体" w:hAnsi="宋体" w:eastAsia="宋体" w:cs="宋体"/>
          <w:b/>
          <w:bCs/>
          <w:color w:val="auto"/>
          <w:sz w:val="30"/>
          <w:szCs w:val="30"/>
          <w:highlight w:val="none"/>
        </w:rPr>
      </w:pPr>
    </w:p>
    <w:p w14:paraId="52F03A73">
      <w:pPr>
        <w:pStyle w:val="18"/>
        <w:spacing w:line="600" w:lineRule="exact"/>
        <w:jc w:val="center"/>
        <w:rPr>
          <w:rFonts w:hint="eastAsia" w:ascii="宋体" w:hAnsi="宋体" w:eastAsia="宋体" w:cs="宋体"/>
          <w:b/>
          <w:bCs/>
          <w:color w:val="auto"/>
          <w:sz w:val="30"/>
          <w:szCs w:val="30"/>
          <w:highlight w:val="none"/>
        </w:rPr>
      </w:pPr>
    </w:p>
    <w:p w14:paraId="44E0BC78">
      <w:pPr>
        <w:widowControl/>
        <w:jc w:val="left"/>
        <w:rPr>
          <w:rFonts w:hint="eastAsia" w:ascii="宋体" w:hAnsi="宋体" w:eastAsia="宋体" w:cs="宋体"/>
          <w:b/>
          <w:bCs/>
          <w:color w:val="auto"/>
          <w:sz w:val="30"/>
          <w:szCs w:val="30"/>
          <w:highlight w:val="none"/>
        </w:rPr>
        <w:sectPr>
          <w:pgSz w:w="11906" w:h="16838"/>
          <w:pgMar w:top="1134" w:right="1134" w:bottom="1134" w:left="1134" w:header="720" w:footer="720" w:gutter="0"/>
          <w:cols w:space="720" w:num="1"/>
          <w:docGrid w:type="lines" w:linePitch="331" w:charSpace="0"/>
        </w:sectPr>
      </w:pPr>
    </w:p>
    <w:p w14:paraId="02647979">
      <w:pPr>
        <w:pStyle w:val="18"/>
        <w:spacing w:line="600" w:lineRule="exact"/>
        <w:jc w:val="center"/>
        <w:rPr>
          <w:rFonts w:hint="eastAsia" w:ascii="宋体" w:hAnsi="宋体" w:eastAsia="宋体" w:cs="宋体"/>
          <w:b/>
          <w:bCs/>
          <w:color w:val="auto"/>
          <w:sz w:val="30"/>
          <w:szCs w:val="30"/>
          <w:highlight w:val="none"/>
        </w:rPr>
      </w:pPr>
    </w:p>
    <w:p w14:paraId="1C5402A9">
      <w:pPr>
        <w:pStyle w:val="18"/>
        <w:spacing w:line="600" w:lineRule="exact"/>
        <w:jc w:val="center"/>
        <w:rPr>
          <w:rFonts w:hint="eastAsia" w:ascii="宋体" w:hAnsi="宋体" w:eastAsia="宋体" w:cs="宋体"/>
          <w:color w:val="auto"/>
          <w:highlight w:val="none"/>
        </w:rPr>
      </w:pPr>
      <w:r>
        <w:rPr>
          <w:rFonts w:hint="eastAsia" w:ascii="宋体" w:hAnsi="宋体" w:eastAsia="宋体" w:cs="宋体"/>
          <w:b/>
          <w:bCs/>
          <w:color w:val="auto"/>
          <w:sz w:val="30"/>
          <w:szCs w:val="30"/>
          <w:highlight w:val="none"/>
        </w:rPr>
        <w:t>七、联合体协议书</w:t>
      </w:r>
    </w:p>
    <w:p w14:paraId="1A3EBEEE">
      <w:pPr>
        <w:autoSpaceDE w:val="0"/>
        <w:autoSpaceDN w:val="0"/>
        <w:adjustRightInd w:val="0"/>
        <w:spacing w:line="360" w:lineRule="auto"/>
        <w:jc w:val="left"/>
        <w:rPr>
          <w:rFonts w:hint="eastAsia" w:ascii="宋体" w:hAnsi="宋体" w:eastAsia="宋体" w:cs="宋体"/>
          <w:color w:val="auto"/>
          <w:kern w:val="0"/>
          <w:szCs w:val="21"/>
          <w:highlight w:val="none"/>
          <w:u w:val="single"/>
        </w:rPr>
      </w:pPr>
    </w:p>
    <w:p w14:paraId="23B898DB">
      <w:pPr>
        <w:autoSpaceDE w:val="0"/>
        <w:autoSpaceDN w:val="0"/>
        <w:adjustRightInd w:val="0"/>
        <w:spacing w:line="360" w:lineRule="auto"/>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（所有成员单位名称）自愿组成联合体，共同参加</w:t>
      </w:r>
      <w:r>
        <w:rPr>
          <w:rFonts w:hint="eastAsia" w:ascii="宋体" w:hAnsi="宋体" w:eastAsia="宋体" w:cs="宋体"/>
          <w:color w:val="auto"/>
          <w:kern w:val="0"/>
          <w:szCs w:val="21"/>
          <w:highlight w:val="none"/>
          <w:u w:val="single"/>
          <w:lang w:eastAsia="zh-CN"/>
        </w:rPr>
        <w:t>广西哲通项目管理有限公司</w:t>
      </w:r>
      <w:r>
        <w:rPr>
          <w:rFonts w:hint="eastAsia" w:ascii="宋体" w:hAnsi="宋体" w:eastAsia="宋体" w:cs="宋体"/>
          <w:color w:val="auto"/>
          <w:kern w:val="0"/>
          <w:szCs w:val="21"/>
          <w:highlight w:val="none"/>
        </w:rPr>
        <w:t>组织的</w:t>
      </w:r>
      <w:r>
        <w:rPr>
          <w:rFonts w:hint="eastAsia" w:ascii="宋体" w:hAnsi="宋体" w:cs="宋体"/>
          <w:color w:val="auto"/>
          <w:szCs w:val="21"/>
          <w:highlight w:val="none"/>
          <w:u w:val="single"/>
          <w:lang w:eastAsia="zh-CN"/>
        </w:rPr>
        <w:t>（</w:t>
      </w:r>
      <w:r>
        <w:rPr>
          <w:rFonts w:hint="eastAsia" w:ascii="宋体" w:hAnsi="宋体" w:cs="宋体"/>
          <w:color w:val="auto"/>
          <w:szCs w:val="21"/>
          <w:highlight w:val="none"/>
          <w:u w:val="single"/>
          <w:lang w:val="en-US" w:eastAsia="zh-CN"/>
        </w:rPr>
        <w:t>项目名称</w:t>
      </w:r>
      <w:r>
        <w:rPr>
          <w:rFonts w:hint="eastAsia" w:ascii="宋体" w:hAnsi="宋体" w:cs="宋体"/>
          <w:color w:val="auto"/>
          <w:szCs w:val="21"/>
          <w:highlight w:val="none"/>
          <w:u w:val="single"/>
          <w:lang w:eastAsia="zh-CN"/>
        </w:rPr>
        <w:t>）</w:t>
      </w:r>
      <w:r>
        <w:rPr>
          <w:rFonts w:hint="eastAsia" w:ascii="宋体" w:hAnsi="宋体" w:eastAsia="宋体" w:cs="宋体"/>
          <w:color w:val="auto"/>
          <w:kern w:val="0"/>
          <w:szCs w:val="21"/>
          <w:highlight w:val="none"/>
        </w:rPr>
        <w:t>（项目编号：</w:t>
      </w:r>
      <w:r>
        <w:rPr>
          <w:rFonts w:hint="eastAsia" w:ascii="宋体" w:hAnsi="宋体" w:cs="宋体"/>
          <w:color w:val="auto"/>
          <w:kern w:val="0"/>
          <w:szCs w:val="21"/>
          <w:highlight w:val="none"/>
          <w:u w:val="single"/>
          <w:lang w:val="en-US" w:eastAsia="zh-CN"/>
        </w:rPr>
        <w:t xml:space="preserve">    </w:t>
      </w:r>
      <w:r>
        <w:rPr>
          <w:rFonts w:hint="eastAsia" w:ascii="宋体" w:hAnsi="宋体" w:eastAsia="宋体" w:cs="宋体"/>
          <w:color w:val="auto"/>
          <w:kern w:val="0"/>
          <w:szCs w:val="21"/>
          <w:highlight w:val="none"/>
        </w:rPr>
        <w:t>）投标。现就联合体投标事宜订立如下协议：</w:t>
      </w:r>
    </w:p>
    <w:p w14:paraId="28990978">
      <w:pPr>
        <w:autoSpaceDE w:val="0"/>
        <w:autoSpaceDN w:val="0"/>
        <w:adjustRightInd w:val="0"/>
        <w:spacing w:line="360" w:lineRule="auto"/>
        <w:ind w:firstLine="420"/>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1、</w:t>
      </w:r>
      <w:r>
        <w:rPr>
          <w:rFonts w:hint="eastAsia" w:ascii="宋体" w:hAnsi="宋体" w:eastAsia="宋体" w:cs="宋体"/>
          <w:color w:val="auto"/>
          <w:highlight w:val="none"/>
        </w:rPr>
        <w:t>________________________</w:t>
      </w:r>
      <w:r>
        <w:rPr>
          <w:rFonts w:hint="eastAsia" w:ascii="宋体" w:hAnsi="宋体" w:eastAsia="宋体" w:cs="宋体"/>
          <w:color w:val="auto"/>
          <w:kern w:val="0"/>
          <w:szCs w:val="21"/>
          <w:highlight w:val="none"/>
        </w:rPr>
        <w:t>（某成员单位名称）为联合体名称牵头人。</w:t>
      </w:r>
    </w:p>
    <w:p w14:paraId="7DE558A4">
      <w:pPr>
        <w:autoSpaceDE w:val="0"/>
        <w:autoSpaceDN w:val="0"/>
        <w:adjustRightInd w:val="0"/>
        <w:spacing w:line="360" w:lineRule="auto"/>
        <w:ind w:firstLine="420"/>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2、联合体牵头人合法代表联合体各成员负责本招标项目投标文件编制和合同谈判活动，并代表联合体提交和接收相关的资料、信息及指示，并处理与之有关的一切事务，负责合同实施阶段的主办、组织和协调工作。</w:t>
      </w:r>
    </w:p>
    <w:p w14:paraId="41C02C47">
      <w:pPr>
        <w:autoSpaceDE w:val="0"/>
        <w:autoSpaceDN w:val="0"/>
        <w:adjustRightInd w:val="0"/>
        <w:spacing w:line="360" w:lineRule="auto"/>
        <w:ind w:firstLine="420"/>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3、联合体牵头人在本项目中签署和盖章的一切文件和处理的一切事宜，联合体各成员均予以承认。联合体各成员将严格按照招标文件、投标文件和合同的要求全面履行义务，并向</w:t>
      </w:r>
      <w:r>
        <w:rPr>
          <w:rFonts w:hint="eastAsia" w:ascii="宋体" w:hAnsi="宋体" w:cs="宋体"/>
          <w:color w:val="auto"/>
          <w:kern w:val="0"/>
          <w:szCs w:val="21"/>
          <w:highlight w:val="none"/>
          <w:lang w:val="en-US" w:eastAsia="zh-CN"/>
        </w:rPr>
        <w:t>采购人</w:t>
      </w:r>
      <w:r>
        <w:rPr>
          <w:rFonts w:hint="eastAsia" w:ascii="宋体" w:hAnsi="宋体" w:eastAsia="宋体" w:cs="宋体"/>
          <w:color w:val="auto"/>
          <w:kern w:val="0"/>
          <w:szCs w:val="21"/>
          <w:highlight w:val="none"/>
        </w:rPr>
        <w:t>承担连带责任。</w:t>
      </w:r>
    </w:p>
    <w:p w14:paraId="0F1D4DA8">
      <w:pPr>
        <w:autoSpaceDE w:val="0"/>
        <w:autoSpaceDN w:val="0"/>
        <w:adjustRightInd w:val="0"/>
        <w:spacing w:line="360" w:lineRule="auto"/>
        <w:ind w:firstLine="420"/>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4、联合体各成员单位内部的职责分工如下</w:t>
      </w:r>
      <w:r>
        <w:rPr>
          <w:rFonts w:hint="eastAsia" w:ascii="宋体" w:hAnsi="宋体" w:eastAsia="宋体" w:cs="宋体"/>
          <w:color w:val="auto"/>
          <w:kern w:val="0"/>
          <w:szCs w:val="21"/>
          <w:highlight w:val="none"/>
          <w:u w:val="single"/>
        </w:rPr>
        <w:t>：</w:t>
      </w:r>
      <w:r>
        <w:rPr>
          <w:rFonts w:hint="eastAsia" w:ascii="宋体" w:hAnsi="宋体" w:eastAsia="宋体" w:cs="宋体"/>
          <w:color w:val="auto"/>
          <w:szCs w:val="21"/>
          <w:highlight w:val="none"/>
          <w:u w:val="single"/>
        </w:rPr>
        <w:t>________________________________________________</w:t>
      </w:r>
      <w:r>
        <w:rPr>
          <w:rFonts w:hint="eastAsia" w:ascii="宋体" w:hAnsi="宋体" w:eastAsia="宋体" w:cs="宋体"/>
          <w:color w:val="auto"/>
          <w:kern w:val="0"/>
          <w:szCs w:val="21"/>
          <w:highlight w:val="none"/>
        </w:rPr>
        <w:t>。</w:t>
      </w:r>
    </w:p>
    <w:p w14:paraId="2B29834B">
      <w:pPr>
        <w:pStyle w:val="18"/>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kern w:val="0"/>
          <w:highlight w:val="none"/>
        </w:rPr>
        <w:t>5、本联合体中</w:t>
      </w:r>
      <w:r>
        <w:rPr>
          <w:rFonts w:hint="eastAsia" w:ascii="宋体" w:hAnsi="宋体" w:eastAsia="宋体" w:cs="宋体"/>
          <w:color w:val="auto"/>
          <w:kern w:val="0"/>
          <w:highlight w:val="none"/>
          <w:u w:val="single"/>
        </w:rPr>
        <w:t>，</w:t>
      </w:r>
      <w:r>
        <w:rPr>
          <w:rFonts w:hint="eastAsia" w:ascii="宋体" w:hAnsi="宋体" w:eastAsia="宋体" w:cs="宋体"/>
          <w:color w:val="auto"/>
          <w:highlight w:val="none"/>
          <w:u w:val="single"/>
        </w:rPr>
        <w:t>________________________</w:t>
      </w:r>
      <w:r>
        <w:rPr>
          <w:rFonts w:hint="eastAsia" w:ascii="宋体" w:hAnsi="宋体" w:eastAsia="宋体" w:cs="宋体"/>
          <w:color w:val="auto"/>
          <w:kern w:val="0"/>
          <w:highlight w:val="none"/>
          <w:u w:val="single"/>
        </w:rPr>
        <w:t>（某成员单位名称）为</w:t>
      </w:r>
      <w:r>
        <w:rPr>
          <w:rFonts w:hint="eastAsia" w:ascii="宋体" w:hAnsi="宋体" w:eastAsia="宋体" w:cs="宋体"/>
          <w:color w:val="auto"/>
          <w:highlight w:val="none"/>
          <w:u w:val="single"/>
        </w:rPr>
        <w:t>______</w:t>
      </w:r>
      <w:r>
        <w:rPr>
          <w:rFonts w:hint="eastAsia" w:ascii="宋体" w:hAnsi="宋体" w:eastAsia="宋体" w:cs="宋体"/>
          <w:color w:val="auto"/>
          <w:highlight w:val="none"/>
        </w:rPr>
        <w:t>（请填写：中型、小型、微型）企业，其协议合同金额占联合体协议合同总金额的</w:t>
      </w:r>
      <w:r>
        <w:rPr>
          <w:rFonts w:hint="eastAsia" w:ascii="宋体" w:hAnsi="宋体" w:eastAsia="宋体" w:cs="宋体"/>
          <w:color w:val="auto"/>
          <w:highlight w:val="none"/>
          <w:u w:val="single"/>
        </w:rPr>
        <w:t>______</w:t>
      </w:r>
      <w:r>
        <w:rPr>
          <w:rFonts w:hint="eastAsia" w:ascii="宋体" w:hAnsi="宋体" w:eastAsia="宋体" w:cs="宋体"/>
          <w:color w:val="auto"/>
          <w:highlight w:val="none"/>
        </w:rPr>
        <w:t>%。【如联合体成员中有小型、微型企业的，请填写此条，否则无需填写；如联合体成员中有多个小型、微型企业的，请逐一列出。】</w:t>
      </w:r>
    </w:p>
    <w:p w14:paraId="2CA57906">
      <w:pPr>
        <w:autoSpaceDE w:val="0"/>
        <w:autoSpaceDN w:val="0"/>
        <w:adjustRightInd w:val="0"/>
        <w:spacing w:line="360" w:lineRule="auto"/>
        <w:ind w:firstLine="420"/>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6、本协议书自签署之日起生效，合同履行完毕后自动失效。</w:t>
      </w:r>
    </w:p>
    <w:p w14:paraId="03FF1FAA">
      <w:pPr>
        <w:autoSpaceDE w:val="0"/>
        <w:autoSpaceDN w:val="0"/>
        <w:adjustRightInd w:val="0"/>
        <w:spacing w:line="360" w:lineRule="auto"/>
        <w:ind w:firstLine="420"/>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7、本协议书一式份，联合体成员和采购代理机构各执一份。</w:t>
      </w:r>
    </w:p>
    <w:p w14:paraId="16029853">
      <w:pPr>
        <w:autoSpaceDE w:val="0"/>
        <w:autoSpaceDN w:val="0"/>
        <w:adjustRightInd w:val="0"/>
        <w:spacing w:line="360" w:lineRule="auto"/>
        <w:ind w:firstLine="420"/>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注：本协议书由法定代表人签字的，应附法定代表人身份证明；本协议书由委托代理人签字的，应附法定代表人授权委托书。</w:t>
      </w:r>
    </w:p>
    <w:p w14:paraId="657681DB">
      <w:pPr>
        <w:autoSpaceDE w:val="0"/>
        <w:autoSpaceDN w:val="0"/>
        <w:adjustRightInd w:val="0"/>
        <w:spacing w:line="360" w:lineRule="auto"/>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牵头人名称：（公章/电子签章）</w:t>
      </w:r>
    </w:p>
    <w:p w14:paraId="5CA09DE2">
      <w:pPr>
        <w:autoSpaceDE w:val="0"/>
        <w:autoSpaceDN w:val="0"/>
        <w:adjustRightInd w:val="0"/>
        <w:spacing w:line="360" w:lineRule="auto"/>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法定代表人或其委托代理人：（手写签名/电子签名）</w:t>
      </w:r>
    </w:p>
    <w:p w14:paraId="42DA37FB">
      <w:pPr>
        <w:autoSpaceDE w:val="0"/>
        <w:autoSpaceDN w:val="0"/>
        <w:adjustRightInd w:val="0"/>
        <w:spacing w:line="360" w:lineRule="auto"/>
        <w:jc w:val="left"/>
        <w:rPr>
          <w:rFonts w:hint="eastAsia" w:ascii="宋体" w:hAnsi="宋体" w:eastAsia="宋体" w:cs="宋体"/>
          <w:color w:val="auto"/>
          <w:kern w:val="0"/>
          <w:szCs w:val="21"/>
          <w:highlight w:val="none"/>
        </w:rPr>
      </w:pPr>
    </w:p>
    <w:p w14:paraId="5D9F8A05">
      <w:pPr>
        <w:autoSpaceDE w:val="0"/>
        <w:autoSpaceDN w:val="0"/>
        <w:adjustRightInd w:val="0"/>
        <w:spacing w:line="360" w:lineRule="auto"/>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成员一名称：（公章/电子签章）</w:t>
      </w:r>
    </w:p>
    <w:p w14:paraId="44AAEA21">
      <w:pPr>
        <w:autoSpaceDE w:val="0"/>
        <w:autoSpaceDN w:val="0"/>
        <w:adjustRightInd w:val="0"/>
        <w:spacing w:line="360" w:lineRule="auto"/>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法定代表人或其委托代理人：（手写签名/电子签名）</w:t>
      </w:r>
    </w:p>
    <w:p w14:paraId="05EA8D42">
      <w:pPr>
        <w:autoSpaceDE w:val="0"/>
        <w:autoSpaceDN w:val="0"/>
        <w:adjustRightInd w:val="0"/>
        <w:spacing w:line="360" w:lineRule="auto"/>
        <w:jc w:val="left"/>
        <w:rPr>
          <w:rFonts w:hint="eastAsia" w:ascii="宋体" w:hAnsi="宋体" w:eastAsia="宋体" w:cs="宋体"/>
          <w:color w:val="auto"/>
          <w:kern w:val="0"/>
          <w:szCs w:val="21"/>
          <w:highlight w:val="none"/>
        </w:rPr>
      </w:pPr>
    </w:p>
    <w:p w14:paraId="6BBF3F71">
      <w:pPr>
        <w:autoSpaceDE w:val="0"/>
        <w:autoSpaceDN w:val="0"/>
        <w:adjustRightInd w:val="0"/>
        <w:spacing w:line="360" w:lineRule="auto"/>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成员二名称：（公章/电子签章）</w:t>
      </w:r>
    </w:p>
    <w:p w14:paraId="6ACF72F2">
      <w:pPr>
        <w:pStyle w:val="18"/>
        <w:spacing w:line="600" w:lineRule="exac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法定代表人或其委托代理人：（手写签名/电子签名）</w:t>
      </w:r>
    </w:p>
    <w:p w14:paraId="2550E601">
      <w:pPr>
        <w:pStyle w:val="18"/>
        <w:spacing w:line="600" w:lineRule="exact"/>
        <w:jc w:val="center"/>
        <w:rPr>
          <w:rFonts w:hint="eastAsia" w:ascii="宋体" w:hAnsi="宋体" w:eastAsia="宋体" w:cs="宋体"/>
          <w:color w:val="auto"/>
          <w:kern w:val="0"/>
          <w:szCs w:val="21"/>
          <w:highlight w:val="none"/>
        </w:rPr>
      </w:pPr>
    </w:p>
    <w:p w14:paraId="00D14971">
      <w:pPr>
        <w:pStyle w:val="18"/>
        <w:spacing w:line="600" w:lineRule="exact"/>
        <w:jc w:val="center"/>
        <w:rPr>
          <w:rFonts w:hint="eastAsia" w:ascii="宋体" w:hAnsi="宋体" w:eastAsia="宋体" w:cs="宋体"/>
          <w:b/>
          <w:bCs/>
          <w:color w:val="auto"/>
          <w:sz w:val="30"/>
          <w:szCs w:val="30"/>
          <w:highlight w:val="none"/>
        </w:rPr>
      </w:pPr>
      <w:r>
        <w:rPr>
          <w:rFonts w:hint="eastAsia" w:ascii="宋体" w:hAnsi="宋体" w:eastAsia="宋体" w:cs="宋体"/>
          <w:b/>
          <w:bCs/>
          <w:color w:val="auto"/>
          <w:sz w:val="30"/>
          <w:szCs w:val="30"/>
          <w:highlight w:val="none"/>
        </w:rPr>
        <w:t>八、符合特定资格条件（如有）的有关证明材料</w:t>
      </w:r>
    </w:p>
    <w:p w14:paraId="1F48376D">
      <w:pPr>
        <w:pStyle w:val="18"/>
        <w:spacing w:line="600" w:lineRule="exact"/>
        <w:jc w:val="center"/>
        <w:rPr>
          <w:rFonts w:hint="eastAsia" w:ascii="宋体" w:hAnsi="宋体" w:eastAsia="宋体" w:cs="宋体"/>
          <w:b/>
          <w:bCs/>
          <w:color w:val="auto"/>
          <w:sz w:val="30"/>
          <w:szCs w:val="30"/>
          <w:highlight w:val="none"/>
        </w:rPr>
      </w:pPr>
    </w:p>
    <w:p w14:paraId="5821CB41">
      <w:pPr>
        <w:pStyle w:val="18"/>
        <w:spacing w:line="600" w:lineRule="exact"/>
        <w:jc w:val="center"/>
        <w:rPr>
          <w:rFonts w:hint="eastAsia" w:ascii="宋体" w:hAnsi="宋体" w:eastAsia="宋体" w:cs="宋体"/>
          <w:b/>
          <w:bCs/>
          <w:color w:val="auto"/>
          <w:sz w:val="30"/>
          <w:szCs w:val="30"/>
          <w:highlight w:val="none"/>
        </w:rPr>
      </w:pPr>
    </w:p>
    <w:p w14:paraId="661869F0">
      <w:pPr>
        <w:snapToGrid w:val="0"/>
        <w:spacing w:line="360" w:lineRule="auto"/>
        <w:ind w:firstLine="5040" w:firstLineChars="2100"/>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lang w:val="zh-CN"/>
        </w:rPr>
        <w:t>投标人名称(电子签章)：</w:t>
      </w:r>
    </w:p>
    <w:p w14:paraId="6E97414D">
      <w:pPr>
        <w:snapToGrid w:val="0"/>
        <w:spacing w:line="360" w:lineRule="auto"/>
        <w:ind w:firstLine="5160" w:firstLineChars="2150"/>
        <w:rPr>
          <w:rFonts w:hint="eastAsia" w:ascii="宋体" w:hAnsi="宋体" w:eastAsia="宋体" w:cs="宋体"/>
          <w:color w:val="auto"/>
          <w:kern w:val="0"/>
          <w:sz w:val="24"/>
          <w:highlight w:val="none"/>
          <w:lang w:val="zh-CN"/>
        </w:rPr>
      </w:pPr>
      <w:r>
        <w:rPr>
          <w:rFonts w:hint="eastAsia" w:ascii="宋体" w:hAnsi="宋体" w:eastAsia="宋体" w:cs="宋体"/>
          <w:color w:val="auto"/>
          <w:kern w:val="0"/>
          <w:sz w:val="24"/>
          <w:highlight w:val="none"/>
          <w:lang w:val="zh-CN"/>
        </w:rPr>
        <w:t>日期</w:t>
      </w:r>
      <w:r>
        <w:rPr>
          <w:rFonts w:hint="eastAsia" w:ascii="宋体" w:hAnsi="宋体" w:eastAsia="宋体" w:cs="宋体"/>
          <w:color w:val="auto"/>
          <w:kern w:val="0"/>
          <w:sz w:val="24"/>
          <w:highlight w:val="none"/>
        </w:rPr>
        <w:t>：年</w:t>
      </w:r>
      <w:r>
        <w:rPr>
          <w:rFonts w:hint="eastAsia" w:ascii="宋体" w:hAnsi="宋体" w:eastAsia="宋体" w:cs="宋体"/>
          <w:color w:val="auto"/>
          <w:kern w:val="0"/>
          <w:sz w:val="24"/>
          <w:highlight w:val="none"/>
          <w:lang w:val="zh-CN"/>
        </w:rPr>
        <w:t>月日</w:t>
      </w:r>
    </w:p>
    <w:p w14:paraId="383E8719">
      <w:pPr>
        <w:widowControl/>
        <w:spacing w:line="360" w:lineRule="auto"/>
        <w:jc w:val="left"/>
        <w:rPr>
          <w:rFonts w:hint="eastAsia" w:ascii="宋体" w:hAnsi="宋体" w:eastAsia="宋体" w:cs="宋体"/>
          <w:color w:val="auto"/>
          <w:szCs w:val="21"/>
          <w:highlight w:val="none"/>
        </w:rPr>
        <w:sectPr>
          <w:pgSz w:w="11906" w:h="16838"/>
          <w:pgMar w:top="1134" w:right="1134" w:bottom="1134" w:left="1134" w:header="720" w:footer="720" w:gutter="0"/>
          <w:cols w:space="720" w:num="1"/>
          <w:docGrid w:type="lines" w:linePitch="331" w:charSpace="0"/>
        </w:sectPr>
      </w:pPr>
    </w:p>
    <w:p w14:paraId="7E85D884">
      <w:pPr>
        <w:pStyle w:val="18"/>
        <w:rPr>
          <w:rFonts w:hint="eastAsia" w:ascii="宋体" w:hAnsi="宋体" w:eastAsia="宋体" w:cs="宋体"/>
          <w:color w:val="auto"/>
          <w:szCs w:val="21"/>
          <w:highlight w:val="none"/>
        </w:rPr>
      </w:pPr>
    </w:p>
    <w:p w14:paraId="5484096A">
      <w:pPr>
        <w:pStyle w:val="18"/>
        <w:jc w:val="center"/>
        <w:outlineLvl w:val="1"/>
        <w:rPr>
          <w:rFonts w:hint="eastAsia" w:ascii="宋体" w:hAnsi="宋体" w:eastAsia="宋体" w:cs="宋体"/>
          <w:b/>
          <w:bCs/>
          <w:color w:val="auto"/>
          <w:sz w:val="28"/>
          <w:szCs w:val="28"/>
          <w:highlight w:val="none"/>
        </w:rPr>
      </w:pPr>
      <w:bookmarkStart w:id="27" w:name="_Toc18919"/>
      <w:r>
        <w:rPr>
          <w:rFonts w:hint="eastAsia" w:ascii="宋体" w:hAnsi="宋体" w:eastAsia="宋体" w:cs="宋体"/>
          <w:b/>
          <w:bCs/>
          <w:color w:val="auto"/>
          <w:sz w:val="28"/>
          <w:szCs w:val="28"/>
          <w:highlight w:val="none"/>
        </w:rPr>
        <w:t>第三节商务文件格式</w:t>
      </w:r>
      <w:bookmarkEnd w:id="27"/>
    </w:p>
    <w:p w14:paraId="06A02BCC">
      <w:pPr>
        <w:snapToGrid w:val="0"/>
        <w:spacing w:before="165" w:beforeLines="50" w:after="50"/>
        <w:rPr>
          <w:rFonts w:hint="eastAsia" w:ascii="宋体" w:hAnsi="宋体" w:eastAsia="宋体" w:cs="宋体"/>
          <w:color w:val="auto"/>
          <w:sz w:val="30"/>
          <w:szCs w:val="20"/>
          <w:highlight w:val="none"/>
        </w:rPr>
      </w:pPr>
    </w:p>
    <w:p w14:paraId="09B23C4F">
      <w:pPr>
        <w:snapToGrid w:val="0"/>
        <w:spacing w:before="165" w:beforeLines="50" w:after="50"/>
        <w:rPr>
          <w:rFonts w:hint="eastAsia" w:ascii="宋体" w:hAnsi="宋体" w:eastAsia="宋体" w:cs="宋体"/>
          <w:bCs/>
          <w:color w:val="auto"/>
          <w:sz w:val="32"/>
          <w:szCs w:val="20"/>
          <w:highlight w:val="none"/>
        </w:rPr>
      </w:pPr>
      <w:r>
        <w:rPr>
          <w:rFonts w:hint="eastAsia" w:ascii="宋体" w:hAnsi="宋体" w:eastAsia="宋体" w:cs="宋体"/>
          <w:bCs/>
          <w:color w:val="auto"/>
          <w:highlight w:val="none"/>
        </w:rPr>
        <w:t>电子投标文件</w:t>
      </w:r>
    </w:p>
    <w:p w14:paraId="148B37BE">
      <w:pPr>
        <w:snapToGrid w:val="0"/>
        <w:spacing w:before="165" w:beforeLines="50" w:after="50"/>
        <w:rPr>
          <w:rFonts w:hint="eastAsia" w:ascii="宋体" w:hAnsi="宋体" w:eastAsia="宋体" w:cs="宋体"/>
          <w:color w:val="auto"/>
          <w:sz w:val="24"/>
          <w:szCs w:val="20"/>
          <w:highlight w:val="none"/>
        </w:rPr>
      </w:pPr>
    </w:p>
    <w:p w14:paraId="7AAE834E">
      <w:pPr>
        <w:snapToGrid w:val="0"/>
        <w:spacing w:before="165" w:beforeLines="50" w:after="50"/>
        <w:jc w:val="center"/>
        <w:rPr>
          <w:rFonts w:hint="eastAsia" w:ascii="宋体" w:hAnsi="宋体" w:eastAsia="宋体" w:cs="宋体"/>
          <w:b/>
          <w:color w:val="auto"/>
          <w:sz w:val="24"/>
          <w:szCs w:val="20"/>
          <w:highlight w:val="none"/>
        </w:rPr>
      </w:pPr>
      <w:r>
        <w:rPr>
          <w:rFonts w:hint="eastAsia" w:ascii="宋体" w:hAnsi="宋体" w:eastAsia="宋体" w:cs="宋体"/>
          <w:b/>
          <w:color w:val="auto"/>
          <w:sz w:val="32"/>
          <w:szCs w:val="32"/>
          <w:highlight w:val="none"/>
        </w:rPr>
        <w:t>商务文件（封面）</w:t>
      </w:r>
    </w:p>
    <w:p w14:paraId="6B817219">
      <w:pPr>
        <w:snapToGrid w:val="0"/>
        <w:spacing w:before="165" w:beforeLines="50" w:after="50"/>
        <w:rPr>
          <w:rFonts w:hint="eastAsia" w:ascii="宋体" w:hAnsi="宋体" w:eastAsia="宋体" w:cs="宋体"/>
          <w:bCs/>
          <w:color w:val="auto"/>
          <w:sz w:val="24"/>
          <w:szCs w:val="20"/>
          <w:highlight w:val="none"/>
        </w:rPr>
      </w:pPr>
    </w:p>
    <w:p w14:paraId="506F73C6">
      <w:pPr>
        <w:snapToGrid w:val="0"/>
        <w:spacing w:before="165" w:beforeLines="50" w:after="50"/>
        <w:ind w:firstLine="540" w:firstLineChars="225"/>
        <w:rPr>
          <w:rFonts w:hint="eastAsia" w:ascii="宋体" w:hAnsi="宋体" w:eastAsia="宋体" w:cs="宋体"/>
          <w:bCs/>
          <w:color w:val="auto"/>
          <w:sz w:val="24"/>
          <w:szCs w:val="20"/>
          <w:highlight w:val="none"/>
        </w:rPr>
      </w:pPr>
      <w:r>
        <w:rPr>
          <w:rFonts w:hint="eastAsia" w:ascii="宋体" w:hAnsi="宋体" w:eastAsia="宋体" w:cs="宋体"/>
          <w:bCs/>
          <w:color w:val="auto"/>
          <w:sz w:val="24"/>
          <w:highlight w:val="none"/>
        </w:rPr>
        <w:t>项目名称：</w:t>
      </w:r>
    </w:p>
    <w:p w14:paraId="65CC26AC">
      <w:pPr>
        <w:snapToGrid w:val="0"/>
        <w:spacing w:before="165" w:beforeLines="50" w:after="50"/>
        <w:ind w:firstLine="540" w:firstLineChars="225"/>
        <w:rPr>
          <w:rFonts w:hint="eastAsia" w:ascii="宋体" w:hAnsi="宋体" w:eastAsia="宋体" w:cs="宋体"/>
          <w:bCs/>
          <w:color w:val="auto"/>
          <w:sz w:val="24"/>
          <w:highlight w:val="none"/>
          <w:lang w:eastAsia="zh-CN"/>
        </w:rPr>
      </w:pPr>
      <w:r>
        <w:rPr>
          <w:rFonts w:hint="eastAsia" w:ascii="宋体" w:hAnsi="宋体" w:eastAsia="宋体" w:cs="宋体"/>
          <w:bCs/>
          <w:color w:val="auto"/>
          <w:sz w:val="24"/>
          <w:highlight w:val="none"/>
        </w:rPr>
        <w:t>项目编号：</w:t>
      </w:r>
    </w:p>
    <w:p w14:paraId="29FE5A0A">
      <w:pPr>
        <w:snapToGrid w:val="0"/>
        <w:spacing w:before="165" w:beforeLines="50" w:after="50"/>
        <w:ind w:firstLine="540" w:firstLineChars="225"/>
        <w:rPr>
          <w:rFonts w:hint="eastAsia" w:ascii="宋体" w:hAnsi="宋体" w:eastAsia="宋体" w:cs="宋体"/>
          <w:bCs/>
          <w:color w:val="auto"/>
          <w:sz w:val="24"/>
          <w:szCs w:val="20"/>
          <w:highlight w:val="none"/>
          <w:lang w:eastAsia="zh-CN"/>
        </w:rPr>
      </w:pPr>
    </w:p>
    <w:p w14:paraId="5437124C">
      <w:pPr>
        <w:snapToGrid w:val="0"/>
        <w:spacing w:before="165" w:beforeLines="50" w:after="50"/>
        <w:ind w:firstLine="540" w:firstLineChars="225"/>
        <w:rPr>
          <w:rFonts w:hint="eastAsia" w:ascii="宋体" w:hAnsi="宋体" w:eastAsia="宋体" w:cs="宋体"/>
          <w:bCs/>
          <w:color w:val="auto"/>
          <w:sz w:val="24"/>
          <w:highlight w:val="none"/>
        </w:rPr>
      </w:pPr>
      <w:r>
        <w:rPr>
          <w:rFonts w:hint="eastAsia" w:ascii="宋体" w:hAnsi="宋体" w:eastAsia="宋体" w:cs="宋体"/>
          <w:bCs/>
          <w:color w:val="auto"/>
          <w:sz w:val="24"/>
          <w:highlight w:val="none"/>
        </w:rPr>
        <w:t>所投分标：</w:t>
      </w:r>
    </w:p>
    <w:p w14:paraId="36AE511F">
      <w:pPr>
        <w:snapToGrid w:val="0"/>
        <w:spacing w:before="165" w:beforeLines="50" w:after="50"/>
        <w:ind w:firstLine="540" w:firstLineChars="225"/>
        <w:rPr>
          <w:rFonts w:hint="eastAsia" w:ascii="宋体" w:hAnsi="宋体" w:eastAsia="宋体" w:cs="宋体"/>
          <w:bCs/>
          <w:color w:val="auto"/>
          <w:sz w:val="24"/>
          <w:szCs w:val="20"/>
          <w:highlight w:val="none"/>
        </w:rPr>
      </w:pPr>
    </w:p>
    <w:p w14:paraId="17EE00A4">
      <w:pPr>
        <w:pStyle w:val="9"/>
        <w:snapToGrid w:val="0"/>
        <w:spacing w:before="50" w:after="50"/>
        <w:ind w:firstLine="540" w:firstLineChars="225"/>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投标人名称：</w:t>
      </w:r>
    </w:p>
    <w:p w14:paraId="4D8B2D59">
      <w:pPr>
        <w:pStyle w:val="9"/>
        <w:snapToGrid w:val="0"/>
        <w:spacing w:before="50" w:after="50"/>
        <w:ind w:firstLine="540" w:firstLineChars="225"/>
        <w:rPr>
          <w:rFonts w:hint="eastAsia" w:ascii="宋体" w:hAnsi="宋体" w:eastAsia="宋体" w:cs="宋体"/>
          <w:bCs/>
          <w:color w:val="auto"/>
          <w:sz w:val="24"/>
          <w:szCs w:val="24"/>
          <w:highlight w:val="none"/>
        </w:rPr>
      </w:pPr>
    </w:p>
    <w:p w14:paraId="1864C534">
      <w:pPr>
        <w:pStyle w:val="9"/>
        <w:snapToGrid w:val="0"/>
        <w:spacing w:before="50" w:after="50"/>
        <w:ind w:firstLine="540" w:firstLineChars="225"/>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投标人地址：</w:t>
      </w:r>
    </w:p>
    <w:p w14:paraId="1108AF2F">
      <w:pPr>
        <w:pStyle w:val="9"/>
        <w:snapToGrid w:val="0"/>
        <w:spacing w:before="50" w:after="50"/>
        <w:ind w:firstLine="960" w:firstLineChars="400"/>
        <w:rPr>
          <w:rFonts w:hint="eastAsia" w:ascii="宋体" w:hAnsi="宋体" w:eastAsia="宋体" w:cs="宋体"/>
          <w:bCs/>
          <w:color w:val="auto"/>
          <w:sz w:val="24"/>
          <w:szCs w:val="24"/>
          <w:highlight w:val="none"/>
        </w:rPr>
      </w:pPr>
    </w:p>
    <w:p w14:paraId="2B9B469D">
      <w:pPr>
        <w:snapToGrid w:val="0"/>
        <w:spacing w:before="165" w:beforeLines="50" w:after="50"/>
        <w:ind w:firstLine="645"/>
        <w:rPr>
          <w:rFonts w:hint="eastAsia" w:ascii="宋体" w:hAnsi="宋体" w:eastAsia="宋体" w:cs="宋体"/>
          <w:color w:val="auto"/>
          <w:sz w:val="24"/>
          <w:highlight w:val="none"/>
        </w:rPr>
      </w:pPr>
      <w:r>
        <w:rPr>
          <w:rFonts w:hint="eastAsia" w:ascii="宋体" w:hAnsi="宋体" w:eastAsia="宋体" w:cs="宋体"/>
          <w:color w:val="auto"/>
          <w:sz w:val="24"/>
          <w:highlight w:val="none"/>
        </w:rPr>
        <w:t>年月日</w:t>
      </w:r>
    </w:p>
    <w:p w14:paraId="0189F678">
      <w:pPr>
        <w:snapToGrid w:val="0"/>
        <w:spacing w:before="165" w:beforeLines="50" w:after="50"/>
        <w:rPr>
          <w:rFonts w:hint="eastAsia" w:ascii="宋体" w:hAnsi="宋体" w:eastAsia="宋体" w:cs="宋体"/>
          <w:color w:val="auto"/>
          <w:sz w:val="24"/>
          <w:szCs w:val="20"/>
          <w:highlight w:val="none"/>
          <w:lang w:eastAsia="zh-CN"/>
        </w:rPr>
      </w:pPr>
    </w:p>
    <w:p w14:paraId="3BF82454">
      <w:pPr>
        <w:spacing w:line="360" w:lineRule="auto"/>
        <w:ind w:right="420"/>
        <w:rPr>
          <w:rFonts w:hint="eastAsia" w:ascii="宋体" w:hAnsi="宋体" w:eastAsia="宋体" w:cs="宋体"/>
          <w:color w:val="auto"/>
          <w:sz w:val="24"/>
          <w:szCs w:val="20"/>
          <w:highlight w:val="none"/>
        </w:rPr>
      </w:pPr>
    </w:p>
    <w:p w14:paraId="412BF837">
      <w:pPr>
        <w:spacing w:line="360" w:lineRule="auto"/>
        <w:ind w:right="420"/>
        <w:rPr>
          <w:rFonts w:hint="eastAsia" w:ascii="宋体" w:hAnsi="宋体" w:eastAsia="宋体" w:cs="宋体"/>
          <w:color w:val="auto"/>
          <w:sz w:val="24"/>
          <w:szCs w:val="20"/>
          <w:highlight w:val="none"/>
        </w:rPr>
      </w:pPr>
    </w:p>
    <w:p w14:paraId="2E49564C">
      <w:pPr>
        <w:spacing w:line="360" w:lineRule="auto"/>
        <w:ind w:right="420"/>
        <w:rPr>
          <w:rFonts w:hint="eastAsia" w:ascii="宋体" w:hAnsi="宋体" w:eastAsia="宋体" w:cs="宋体"/>
          <w:color w:val="auto"/>
          <w:sz w:val="24"/>
          <w:szCs w:val="20"/>
          <w:highlight w:val="none"/>
        </w:rPr>
      </w:pPr>
    </w:p>
    <w:p w14:paraId="1DAA09F4">
      <w:pPr>
        <w:spacing w:line="360" w:lineRule="auto"/>
        <w:ind w:right="420"/>
        <w:rPr>
          <w:rFonts w:hint="eastAsia" w:ascii="宋体" w:hAnsi="宋体" w:eastAsia="宋体" w:cs="宋体"/>
          <w:color w:val="auto"/>
          <w:sz w:val="24"/>
          <w:szCs w:val="20"/>
          <w:highlight w:val="none"/>
        </w:rPr>
      </w:pPr>
    </w:p>
    <w:p w14:paraId="31937F9B">
      <w:pPr>
        <w:spacing w:line="360" w:lineRule="auto"/>
        <w:ind w:right="420"/>
        <w:rPr>
          <w:rFonts w:hint="eastAsia" w:ascii="宋体" w:hAnsi="宋体" w:eastAsia="宋体" w:cs="宋体"/>
          <w:color w:val="auto"/>
          <w:sz w:val="24"/>
          <w:szCs w:val="20"/>
          <w:highlight w:val="none"/>
        </w:rPr>
      </w:pPr>
    </w:p>
    <w:p w14:paraId="05F93BC5">
      <w:pPr>
        <w:spacing w:line="360" w:lineRule="auto"/>
        <w:ind w:right="420"/>
        <w:rPr>
          <w:rFonts w:hint="eastAsia" w:ascii="宋体" w:hAnsi="宋体" w:eastAsia="宋体" w:cs="宋体"/>
          <w:color w:val="auto"/>
          <w:sz w:val="24"/>
          <w:szCs w:val="20"/>
          <w:highlight w:val="none"/>
        </w:rPr>
      </w:pPr>
    </w:p>
    <w:p w14:paraId="538689ED">
      <w:pPr>
        <w:spacing w:line="360" w:lineRule="auto"/>
        <w:ind w:right="420"/>
        <w:rPr>
          <w:rFonts w:hint="eastAsia" w:ascii="宋体" w:hAnsi="宋体" w:eastAsia="宋体" w:cs="宋体"/>
          <w:color w:val="auto"/>
          <w:sz w:val="24"/>
          <w:szCs w:val="20"/>
          <w:highlight w:val="none"/>
        </w:rPr>
      </w:pPr>
    </w:p>
    <w:p w14:paraId="15CFB45B">
      <w:pPr>
        <w:spacing w:line="360" w:lineRule="auto"/>
        <w:ind w:right="420"/>
        <w:rPr>
          <w:rFonts w:hint="eastAsia" w:ascii="宋体" w:hAnsi="宋体" w:eastAsia="宋体" w:cs="宋体"/>
          <w:color w:val="auto"/>
          <w:sz w:val="24"/>
          <w:szCs w:val="20"/>
          <w:highlight w:val="none"/>
        </w:rPr>
      </w:pPr>
    </w:p>
    <w:p w14:paraId="4B76AE3E">
      <w:pPr>
        <w:spacing w:line="360" w:lineRule="auto"/>
        <w:ind w:right="420"/>
        <w:rPr>
          <w:rFonts w:hint="eastAsia" w:ascii="宋体" w:hAnsi="宋体" w:eastAsia="宋体" w:cs="宋体"/>
          <w:color w:val="auto"/>
          <w:sz w:val="24"/>
          <w:szCs w:val="20"/>
          <w:highlight w:val="none"/>
        </w:rPr>
      </w:pPr>
    </w:p>
    <w:p w14:paraId="3EE56794">
      <w:pPr>
        <w:spacing w:line="360" w:lineRule="auto"/>
        <w:ind w:right="420"/>
        <w:rPr>
          <w:rFonts w:hint="eastAsia" w:ascii="宋体" w:hAnsi="宋体" w:eastAsia="宋体" w:cs="宋体"/>
          <w:color w:val="auto"/>
          <w:sz w:val="24"/>
          <w:szCs w:val="20"/>
          <w:highlight w:val="none"/>
        </w:rPr>
      </w:pPr>
    </w:p>
    <w:p w14:paraId="6FD78918">
      <w:pPr>
        <w:spacing w:line="360" w:lineRule="auto"/>
        <w:ind w:right="420"/>
        <w:rPr>
          <w:rFonts w:hint="eastAsia" w:ascii="宋体" w:hAnsi="宋体" w:eastAsia="宋体" w:cs="宋体"/>
          <w:color w:val="auto"/>
          <w:sz w:val="24"/>
          <w:szCs w:val="20"/>
          <w:highlight w:val="none"/>
        </w:rPr>
      </w:pPr>
    </w:p>
    <w:p w14:paraId="2FF53E46">
      <w:pPr>
        <w:spacing w:line="360" w:lineRule="auto"/>
        <w:ind w:right="420"/>
        <w:rPr>
          <w:rFonts w:hint="eastAsia" w:ascii="宋体" w:hAnsi="宋体" w:eastAsia="宋体" w:cs="宋体"/>
          <w:b/>
          <w:color w:val="auto"/>
          <w:kern w:val="0"/>
          <w:sz w:val="36"/>
          <w:szCs w:val="36"/>
          <w:highlight w:val="none"/>
          <w:lang w:eastAsia="zh-CN"/>
        </w:rPr>
      </w:pPr>
    </w:p>
    <w:p w14:paraId="7C3DA2A2">
      <w:pPr>
        <w:rPr>
          <w:rFonts w:hint="eastAsia" w:ascii="宋体" w:hAnsi="宋体" w:eastAsia="宋体" w:cs="宋体"/>
          <w:b/>
          <w:color w:val="auto"/>
          <w:kern w:val="0"/>
          <w:sz w:val="24"/>
          <w:highlight w:val="none"/>
        </w:rPr>
      </w:pPr>
    </w:p>
    <w:p w14:paraId="50615B03">
      <w:pPr>
        <w:jc w:val="center"/>
        <w:rPr>
          <w:rFonts w:hint="eastAsia" w:ascii="宋体" w:hAnsi="宋体" w:eastAsia="宋体" w:cs="宋体"/>
          <w:b/>
          <w:color w:val="auto"/>
          <w:kern w:val="0"/>
          <w:sz w:val="28"/>
          <w:szCs w:val="28"/>
          <w:highlight w:val="none"/>
        </w:rPr>
      </w:pPr>
      <w:r>
        <w:rPr>
          <w:rFonts w:hint="eastAsia" w:ascii="宋体" w:hAnsi="宋体" w:eastAsia="宋体" w:cs="宋体"/>
          <w:b/>
          <w:color w:val="auto"/>
          <w:kern w:val="0"/>
          <w:sz w:val="28"/>
          <w:szCs w:val="28"/>
          <w:highlight w:val="none"/>
        </w:rPr>
        <w:t>商务文件目录</w:t>
      </w:r>
    </w:p>
    <w:p w14:paraId="12503B4B">
      <w:pPr>
        <w:pStyle w:val="88"/>
        <w:spacing w:line="360" w:lineRule="auto"/>
        <w:rPr>
          <w:rFonts w:hint="eastAsia" w:ascii="宋体" w:hAnsi="宋体" w:eastAsia="宋体" w:cs="宋体"/>
          <w:color w:val="auto"/>
          <w:highlight w:val="none"/>
        </w:rPr>
      </w:pPr>
      <w:r>
        <w:rPr>
          <w:rFonts w:hint="eastAsia" w:ascii="宋体" w:hAnsi="宋体" w:eastAsia="宋体" w:cs="宋体"/>
          <w:color w:val="auto"/>
          <w:highlight w:val="none"/>
        </w:rPr>
        <w:t>一、无串标行为承诺函…………………………………………………………………（页码）</w:t>
      </w:r>
    </w:p>
    <w:p w14:paraId="1B88D9DB">
      <w:pPr>
        <w:pStyle w:val="88"/>
        <w:spacing w:line="360" w:lineRule="auto"/>
        <w:rPr>
          <w:rFonts w:hint="eastAsia" w:ascii="宋体" w:hAnsi="宋体" w:eastAsia="宋体" w:cs="宋体"/>
          <w:color w:val="auto"/>
          <w:highlight w:val="none"/>
        </w:rPr>
      </w:pPr>
      <w:r>
        <w:rPr>
          <w:rFonts w:hint="eastAsia" w:ascii="宋体" w:hAnsi="宋体" w:eastAsia="宋体" w:cs="宋体"/>
          <w:color w:val="auto"/>
          <w:highlight w:val="none"/>
        </w:rPr>
        <w:t>二、法定代表人身份证明及法定代表人有效身份证正反面复印件………（页码）</w:t>
      </w:r>
    </w:p>
    <w:p w14:paraId="6E074EDE">
      <w:pPr>
        <w:pStyle w:val="88"/>
        <w:spacing w:line="360" w:lineRule="auto"/>
        <w:rPr>
          <w:rFonts w:hint="eastAsia" w:ascii="宋体" w:hAnsi="宋体" w:eastAsia="宋体" w:cs="宋体"/>
          <w:color w:val="auto"/>
          <w:highlight w:val="none"/>
        </w:rPr>
      </w:pPr>
      <w:r>
        <w:rPr>
          <w:rFonts w:hint="eastAsia" w:ascii="宋体" w:hAnsi="宋体" w:eastAsia="宋体" w:cs="宋体"/>
          <w:color w:val="auto"/>
          <w:highlight w:val="none"/>
        </w:rPr>
        <w:t>三、法定代表人授权委托书（如有委托时）……………………………………（页码）</w:t>
      </w:r>
    </w:p>
    <w:p w14:paraId="2ACAC522">
      <w:pPr>
        <w:pStyle w:val="88"/>
        <w:spacing w:line="360" w:lineRule="auto"/>
        <w:rPr>
          <w:rFonts w:hint="eastAsia" w:ascii="宋体" w:hAnsi="宋体" w:eastAsia="宋体" w:cs="宋体"/>
          <w:color w:val="auto"/>
          <w:highlight w:val="none"/>
        </w:rPr>
      </w:pPr>
      <w:r>
        <w:rPr>
          <w:rFonts w:hint="eastAsia" w:ascii="宋体" w:hAnsi="宋体" w:eastAsia="宋体" w:cs="宋体"/>
          <w:color w:val="auto"/>
          <w:highlight w:val="none"/>
        </w:rPr>
        <w:t>四、</w:t>
      </w:r>
      <w:r>
        <w:rPr>
          <w:rFonts w:hint="eastAsia" w:ascii="宋体" w:hAnsi="宋体" w:eastAsia="宋体" w:cs="宋体"/>
          <w:color w:val="auto"/>
          <w:highlight w:val="none"/>
          <w:lang w:val="zh-CN"/>
        </w:rPr>
        <w:t>商务条款偏离表………………………………</w:t>
      </w:r>
      <w:r>
        <w:rPr>
          <w:rFonts w:hint="eastAsia" w:ascii="宋体" w:hAnsi="宋体" w:eastAsia="宋体" w:cs="宋体"/>
          <w:color w:val="auto"/>
          <w:highlight w:val="none"/>
        </w:rPr>
        <w:t>……………………………………（页码）</w:t>
      </w:r>
    </w:p>
    <w:p w14:paraId="1CE397A8">
      <w:pPr>
        <w:pStyle w:val="88"/>
        <w:spacing w:line="360" w:lineRule="auto"/>
        <w:rPr>
          <w:rFonts w:hint="eastAsia" w:ascii="宋体" w:hAnsi="宋体" w:eastAsia="宋体" w:cs="宋体"/>
          <w:color w:val="auto"/>
          <w:highlight w:val="none"/>
        </w:rPr>
      </w:pPr>
      <w:r>
        <w:rPr>
          <w:rFonts w:hint="eastAsia" w:ascii="宋体" w:hAnsi="宋体" w:eastAsia="宋体" w:cs="宋体"/>
          <w:color w:val="auto"/>
          <w:highlight w:val="none"/>
        </w:rPr>
        <w:t>五、投标人情况介绍</w:t>
      </w:r>
      <w:r>
        <w:rPr>
          <w:rFonts w:hint="eastAsia" w:ascii="宋体" w:hAnsi="宋体" w:eastAsia="宋体" w:cs="宋体"/>
          <w:color w:val="auto"/>
          <w:highlight w:val="none"/>
          <w:lang w:val="zh-CN"/>
        </w:rPr>
        <w:t>………………………………</w:t>
      </w:r>
      <w:r>
        <w:rPr>
          <w:rFonts w:hint="eastAsia" w:ascii="宋体" w:hAnsi="宋体" w:eastAsia="宋体" w:cs="宋体"/>
          <w:color w:val="auto"/>
          <w:highlight w:val="none"/>
        </w:rPr>
        <w:t>……………………………………（页码）</w:t>
      </w:r>
    </w:p>
    <w:p w14:paraId="54B8DEF8">
      <w:pPr>
        <w:pStyle w:val="88"/>
        <w:spacing w:line="360" w:lineRule="auto"/>
        <w:rPr>
          <w:rFonts w:hint="eastAsia" w:ascii="宋体" w:hAnsi="宋体" w:eastAsia="宋体" w:cs="宋体"/>
          <w:color w:val="auto"/>
          <w:highlight w:val="none"/>
        </w:rPr>
      </w:pPr>
      <w:r>
        <w:rPr>
          <w:rFonts w:hint="eastAsia" w:ascii="宋体" w:hAnsi="宋体" w:eastAsia="宋体" w:cs="宋体"/>
          <w:color w:val="auto"/>
          <w:highlight w:val="none"/>
        </w:rPr>
        <w:t>六、投标人类似业绩的证明文件（如有要求）</w:t>
      </w:r>
      <w:r>
        <w:rPr>
          <w:rFonts w:hint="eastAsia" w:ascii="宋体" w:hAnsi="宋体" w:eastAsia="宋体" w:cs="宋体"/>
          <w:color w:val="auto"/>
          <w:highlight w:val="none"/>
          <w:lang w:val="zh-CN"/>
        </w:rPr>
        <w:t>……………………………</w:t>
      </w:r>
      <w:r>
        <w:rPr>
          <w:rFonts w:hint="eastAsia" w:ascii="宋体" w:hAnsi="宋体" w:eastAsia="宋体" w:cs="宋体"/>
          <w:color w:val="auto"/>
          <w:highlight w:val="none"/>
        </w:rPr>
        <w:t>…（页码）</w:t>
      </w:r>
    </w:p>
    <w:p w14:paraId="38D996EE">
      <w:pPr>
        <w:pStyle w:val="88"/>
        <w:spacing w:line="360" w:lineRule="auto"/>
        <w:rPr>
          <w:rFonts w:hint="eastAsia" w:ascii="宋体" w:hAnsi="宋体" w:eastAsia="宋体" w:cs="宋体"/>
          <w:color w:val="auto"/>
          <w:highlight w:val="none"/>
        </w:rPr>
      </w:pPr>
      <w:r>
        <w:rPr>
          <w:rFonts w:hint="eastAsia" w:ascii="宋体" w:hAnsi="宋体" w:eastAsia="宋体" w:cs="宋体"/>
          <w:color w:val="auto"/>
          <w:highlight w:val="none"/>
        </w:rPr>
        <w:t>七、其他商务文件或说明</w:t>
      </w:r>
      <w:r>
        <w:rPr>
          <w:rFonts w:hint="eastAsia" w:ascii="宋体" w:hAnsi="宋体" w:eastAsia="宋体" w:cs="宋体"/>
          <w:color w:val="auto"/>
          <w:highlight w:val="none"/>
          <w:lang w:val="zh-CN"/>
        </w:rPr>
        <w:t>…………………………………………………………</w:t>
      </w:r>
      <w:r>
        <w:rPr>
          <w:rFonts w:hint="eastAsia" w:ascii="宋体" w:hAnsi="宋体" w:eastAsia="宋体" w:cs="宋体"/>
          <w:color w:val="auto"/>
          <w:highlight w:val="none"/>
        </w:rPr>
        <w:t>…（页码）</w:t>
      </w:r>
    </w:p>
    <w:p w14:paraId="754FD3BB">
      <w:pPr>
        <w:spacing w:line="360" w:lineRule="auto"/>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注：以上目录是基本格式要求，各投标人可根据自身情况进一步向下增加内容或细化。</w:t>
      </w:r>
    </w:p>
    <w:p w14:paraId="60CA315E">
      <w:pPr>
        <w:widowControl/>
        <w:spacing w:line="360" w:lineRule="auto"/>
        <w:jc w:val="left"/>
        <w:rPr>
          <w:rFonts w:hint="eastAsia" w:ascii="宋体" w:hAnsi="宋体" w:eastAsia="宋体" w:cs="宋体"/>
          <w:color w:val="auto"/>
          <w:highlight w:val="none"/>
        </w:rPr>
        <w:sectPr>
          <w:pgSz w:w="11906" w:h="16838"/>
          <w:pgMar w:top="1134" w:right="1134" w:bottom="1134" w:left="1134" w:header="720" w:footer="720" w:gutter="0"/>
          <w:cols w:space="720" w:num="1"/>
          <w:docGrid w:type="lines" w:linePitch="331" w:charSpace="0"/>
        </w:sectPr>
      </w:pPr>
    </w:p>
    <w:p w14:paraId="2355A59F">
      <w:pPr>
        <w:snapToGrid w:val="0"/>
        <w:spacing w:before="120" w:beforeLines="50" w:after="50"/>
        <w:ind w:left="420"/>
        <w:jc w:val="center"/>
        <w:rPr>
          <w:rFonts w:hint="eastAsia" w:ascii="宋体" w:hAnsi="宋体" w:eastAsia="宋体" w:cs="宋体"/>
          <w:b/>
          <w:bCs/>
          <w:color w:val="auto"/>
          <w:sz w:val="30"/>
          <w:szCs w:val="30"/>
          <w:highlight w:val="none"/>
        </w:rPr>
      </w:pPr>
      <w:r>
        <w:rPr>
          <w:rFonts w:hint="eastAsia" w:ascii="宋体" w:hAnsi="宋体" w:eastAsia="宋体" w:cs="宋体"/>
          <w:b/>
          <w:bCs/>
          <w:color w:val="auto"/>
          <w:sz w:val="30"/>
          <w:szCs w:val="30"/>
          <w:highlight w:val="none"/>
        </w:rPr>
        <w:t>一、无串标行为承诺函</w:t>
      </w:r>
    </w:p>
    <w:p w14:paraId="1ACAE295">
      <w:pPr>
        <w:snapToGrid w:val="0"/>
        <w:spacing w:before="120" w:beforeLines="50" w:after="50"/>
        <w:ind w:left="420"/>
        <w:jc w:val="center"/>
        <w:rPr>
          <w:rFonts w:hint="eastAsia" w:ascii="宋体" w:hAnsi="宋体" w:eastAsia="宋体" w:cs="宋体"/>
          <w:b/>
          <w:color w:val="auto"/>
          <w:sz w:val="32"/>
          <w:szCs w:val="32"/>
          <w:highlight w:val="none"/>
        </w:rPr>
      </w:pPr>
      <w:r>
        <w:rPr>
          <w:rFonts w:hint="eastAsia" w:ascii="宋体" w:hAnsi="宋体" w:eastAsia="宋体" w:cs="宋体"/>
          <w:b/>
          <w:color w:val="auto"/>
          <w:sz w:val="32"/>
          <w:szCs w:val="32"/>
          <w:highlight w:val="none"/>
        </w:rPr>
        <w:t>投标人参加本项目无围标串标行为的承诺函</w:t>
      </w:r>
    </w:p>
    <w:p w14:paraId="3BC6F405">
      <w:pPr>
        <w:snapToGrid w:val="0"/>
        <w:spacing w:before="120" w:beforeLines="50" w:after="50"/>
        <w:rPr>
          <w:rFonts w:hint="eastAsia" w:ascii="宋体" w:hAnsi="宋体" w:eastAsia="宋体" w:cs="宋体"/>
          <w:b/>
          <w:color w:val="auto"/>
          <w:szCs w:val="21"/>
          <w:highlight w:val="none"/>
        </w:rPr>
      </w:pPr>
    </w:p>
    <w:p w14:paraId="0D061029">
      <w:pPr>
        <w:snapToGrid w:val="0"/>
        <w:spacing w:before="120" w:beforeLines="50" w:after="50" w:line="360" w:lineRule="auto"/>
        <w:jc w:val="left"/>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一、我方承诺无下列相互串通投标的情形：</w:t>
      </w:r>
    </w:p>
    <w:p w14:paraId="6FDA8EA7">
      <w:pPr>
        <w:snapToGrid w:val="0"/>
        <w:spacing w:before="120" w:beforeLines="50" w:after="50" w:line="360" w:lineRule="auto"/>
        <w:ind w:firstLine="411" w:firstLineChars="196"/>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1.不同投标人的投标文件由同一单位或者个人编制；或者不同投标人报名的IP地址一致的；或者编制标书硬件设备CPU编号、硬盘编号、网卡地址一致的情况。</w:t>
      </w:r>
    </w:p>
    <w:p w14:paraId="2E967147">
      <w:pPr>
        <w:snapToGrid w:val="0"/>
        <w:spacing w:before="120" w:beforeLines="50" w:after="50" w:line="360" w:lineRule="auto"/>
        <w:ind w:firstLine="411" w:firstLineChars="196"/>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2.不同投标人委托同一单位或者个人办理投标事宜；</w:t>
      </w:r>
    </w:p>
    <w:p w14:paraId="7C12B782">
      <w:pPr>
        <w:snapToGrid w:val="0"/>
        <w:spacing w:before="120" w:beforeLines="50" w:after="50" w:line="360" w:lineRule="auto"/>
        <w:ind w:firstLine="411" w:firstLineChars="196"/>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3.不同的投标人的投标文件载明的项目管理员为同一个人；</w:t>
      </w:r>
    </w:p>
    <w:p w14:paraId="15AAAB74">
      <w:pPr>
        <w:snapToGrid w:val="0"/>
        <w:spacing w:before="120" w:beforeLines="50" w:after="50" w:line="360" w:lineRule="auto"/>
        <w:ind w:firstLine="411" w:firstLineChars="196"/>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4.不同投标人的投标文件异常一致或者投标报价呈规律性差异；</w:t>
      </w:r>
    </w:p>
    <w:p w14:paraId="52C2EE50">
      <w:pPr>
        <w:snapToGrid w:val="0"/>
        <w:spacing w:before="120" w:beforeLines="50" w:after="50" w:line="360" w:lineRule="auto"/>
        <w:ind w:firstLine="411" w:firstLineChars="196"/>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5.不同投标人的投标文件相互混装；</w:t>
      </w:r>
    </w:p>
    <w:p w14:paraId="7F9CEBFF">
      <w:pPr>
        <w:snapToGrid w:val="0"/>
        <w:spacing w:before="120" w:beforeLines="50" w:after="50" w:line="360" w:lineRule="auto"/>
        <w:ind w:firstLine="411" w:firstLineChars="196"/>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6.不同投标人的投标保证金从同一单位或者个人账户转出。</w:t>
      </w:r>
    </w:p>
    <w:p w14:paraId="66D9608E">
      <w:pPr>
        <w:snapToGrid w:val="0"/>
        <w:spacing w:before="120" w:beforeLines="50" w:after="50" w:line="360" w:lineRule="auto"/>
        <w:jc w:val="left"/>
        <w:rPr>
          <w:rFonts w:hint="eastAsia" w:ascii="宋体" w:hAnsi="宋体" w:eastAsia="宋体" w:cs="宋体"/>
          <w:color w:val="auto"/>
          <w:szCs w:val="21"/>
          <w:highlight w:val="none"/>
        </w:rPr>
      </w:pPr>
      <w:r>
        <w:rPr>
          <w:rFonts w:hint="eastAsia" w:ascii="宋体" w:hAnsi="宋体" w:eastAsia="宋体" w:cs="宋体"/>
          <w:b/>
          <w:color w:val="auto"/>
          <w:szCs w:val="21"/>
          <w:highlight w:val="none"/>
        </w:rPr>
        <w:t>二、我方承诺无下列恶意串通的情形：</w:t>
      </w:r>
    </w:p>
    <w:p w14:paraId="05E67CA0">
      <w:pPr>
        <w:snapToGrid w:val="0"/>
        <w:spacing w:before="120" w:beforeLines="50" w:after="50" w:line="360" w:lineRule="auto"/>
        <w:ind w:firstLine="411" w:firstLineChars="196"/>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1.投标人直接或者间接从采购人或者采购代理机构处获得其他投标人的相关信息并修改其投标文件或者投标文件；</w:t>
      </w:r>
    </w:p>
    <w:p w14:paraId="4BAE6EDC">
      <w:pPr>
        <w:snapToGrid w:val="0"/>
        <w:spacing w:before="120" w:beforeLines="50" w:after="50" w:line="360" w:lineRule="auto"/>
        <w:ind w:firstLine="411" w:firstLineChars="196"/>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2.投标人按照采购人或者采购代理机构的授意撤换、修改投标文件或者投标文件；</w:t>
      </w:r>
    </w:p>
    <w:p w14:paraId="7E6311CC">
      <w:pPr>
        <w:snapToGrid w:val="0"/>
        <w:spacing w:before="120" w:beforeLines="50" w:after="50" w:line="360" w:lineRule="auto"/>
        <w:ind w:firstLine="411" w:firstLineChars="196"/>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3.投标人之间协商报价、技术方案等投标文件或者投标文件的实质性内容；</w:t>
      </w:r>
    </w:p>
    <w:p w14:paraId="744652E8">
      <w:pPr>
        <w:snapToGrid w:val="0"/>
        <w:spacing w:before="120" w:beforeLines="50" w:after="50" w:line="360" w:lineRule="auto"/>
        <w:ind w:firstLine="411" w:firstLineChars="196"/>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4.属于同一集团、协会、商会等组织成员的投标人按照该组织要求协同参加政府采购活动；</w:t>
      </w:r>
    </w:p>
    <w:p w14:paraId="390D1DBF">
      <w:pPr>
        <w:snapToGrid w:val="0"/>
        <w:spacing w:before="120" w:beforeLines="50" w:after="50" w:line="360" w:lineRule="auto"/>
        <w:ind w:firstLine="411" w:firstLineChars="196"/>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5.投标人之间事先约定一致抬高或者压低投标报价，或者在招标项目中事先约定轮流以高价位或者低价位中标，或者事先约定由某一特定投标人中标，然后再参加投标；</w:t>
      </w:r>
    </w:p>
    <w:p w14:paraId="086EB9DD">
      <w:pPr>
        <w:snapToGrid w:val="0"/>
        <w:spacing w:before="120" w:beforeLines="50" w:after="50" w:line="360" w:lineRule="auto"/>
        <w:ind w:firstLine="411" w:firstLineChars="196"/>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6.投标人之间商定部分投标人放弃参加政府采购活动或者放弃中标；</w:t>
      </w:r>
    </w:p>
    <w:p w14:paraId="636D1201">
      <w:pPr>
        <w:snapToGrid w:val="0"/>
        <w:spacing w:before="120" w:beforeLines="50" w:after="50" w:line="360" w:lineRule="auto"/>
        <w:ind w:firstLine="411" w:firstLineChars="196"/>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7.投标人与采购人或者采购代理机构之间、投标人相互之间，为谋求特定投标人中标或者排斥其他投标人的其他串通行为。</w:t>
      </w:r>
    </w:p>
    <w:p w14:paraId="3CBFC66C">
      <w:pPr>
        <w:snapToGrid w:val="0"/>
        <w:spacing w:before="120" w:beforeLines="50" w:after="50" w:line="360" w:lineRule="auto"/>
        <w:ind w:firstLine="413" w:firstLineChars="196"/>
        <w:jc w:val="left"/>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以上情形一经核查属实，我方愿意承担一切后果，接受政府采购监管部门对我方认定存在围标串标行为，并不再寻求任何旨在减轻或者免除法律责任的辩解。</w:t>
      </w:r>
    </w:p>
    <w:p w14:paraId="1A45E0A5">
      <w:pPr>
        <w:snapToGrid w:val="0"/>
        <w:spacing w:line="360" w:lineRule="auto"/>
        <w:ind w:firstLine="5640" w:firstLineChars="2350"/>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lang w:val="zh-CN"/>
        </w:rPr>
        <w:t>投标人名称(电子签章)：</w:t>
      </w:r>
    </w:p>
    <w:p w14:paraId="50A8F015">
      <w:pPr>
        <w:snapToGrid w:val="0"/>
        <w:spacing w:line="360" w:lineRule="auto"/>
        <w:ind w:firstLine="5160" w:firstLineChars="2150"/>
        <w:rPr>
          <w:rFonts w:hint="eastAsia" w:ascii="宋体" w:hAnsi="宋体" w:eastAsia="宋体" w:cs="宋体"/>
          <w:color w:val="auto"/>
          <w:kern w:val="0"/>
          <w:sz w:val="24"/>
          <w:highlight w:val="none"/>
          <w:lang w:val="zh-CN"/>
        </w:rPr>
      </w:pPr>
      <w:r>
        <w:rPr>
          <w:rFonts w:hint="eastAsia" w:ascii="宋体" w:hAnsi="宋体" w:eastAsia="宋体" w:cs="宋体"/>
          <w:color w:val="auto"/>
          <w:kern w:val="0"/>
          <w:sz w:val="24"/>
          <w:highlight w:val="none"/>
          <w:lang w:val="zh-CN"/>
        </w:rPr>
        <w:t>日期</w:t>
      </w:r>
      <w:r>
        <w:rPr>
          <w:rFonts w:hint="eastAsia" w:ascii="宋体" w:hAnsi="宋体" w:eastAsia="宋体" w:cs="宋体"/>
          <w:color w:val="auto"/>
          <w:kern w:val="0"/>
          <w:sz w:val="24"/>
          <w:highlight w:val="none"/>
        </w:rPr>
        <w:t>：年</w:t>
      </w:r>
      <w:r>
        <w:rPr>
          <w:rFonts w:hint="eastAsia" w:ascii="宋体" w:hAnsi="宋体" w:eastAsia="宋体" w:cs="宋体"/>
          <w:color w:val="auto"/>
          <w:kern w:val="0"/>
          <w:sz w:val="24"/>
          <w:highlight w:val="none"/>
          <w:lang w:val="zh-CN"/>
        </w:rPr>
        <w:t>月日</w:t>
      </w:r>
    </w:p>
    <w:p w14:paraId="297B0E49">
      <w:pPr>
        <w:pStyle w:val="18"/>
        <w:snapToGrid w:val="0"/>
        <w:spacing w:before="295" w:after="295" w:line="360" w:lineRule="auto"/>
        <w:jc w:val="center"/>
        <w:rPr>
          <w:rFonts w:hint="eastAsia" w:ascii="宋体" w:hAnsi="宋体" w:eastAsia="宋体" w:cs="宋体"/>
          <w:b/>
          <w:color w:val="auto"/>
          <w:sz w:val="24"/>
          <w:highlight w:val="none"/>
        </w:rPr>
      </w:pPr>
      <w:r>
        <w:rPr>
          <w:rFonts w:hint="eastAsia" w:ascii="宋体" w:hAnsi="宋体" w:eastAsia="宋体" w:cs="宋体"/>
          <w:b/>
          <w:color w:val="auto"/>
          <w:sz w:val="24"/>
          <w:highlight w:val="none"/>
        </w:rPr>
        <w:br w:type="page"/>
      </w:r>
      <w:r>
        <w:rPr>
          <w:rFonts w:hint="eastAsia" w:ascii="宋体" w:hAnsi="宋体" w:eastAsia="宋体" w:cs="宋体"/>
          <w:b/>
          <w:bCs/>
          <w:color w:val="auto"/>
          <w:sz w:val="30"/>
          <w:szCs w:val="30"/>
          <w:highlight w:val="none"/>
        </w:rPr>
        <w:t>二、法定代表人身份证明</w:t>
      </w:r>
    </w:p>
    <w:p w14:paraId="6F6D8F5F">
      <w:pPr>
        <w:spacing w:before="240" w:beforeLines="100" w:after="120" w:afterLines="50"/>
        <w:ind w:left="540"/>
        <w:jc w:val="center"/>
        <w:rPr>
          <w:rFonts w:hint="eastAsia" w:ascii="宋体" w:hAnsi="宋体" w:eastAsia="宋体" w:cs="宋体"/>
          <w:b/>
          <w:color w:val="auto"/>
          <w:sz w:val="32"/>
          <w:szCs w:val="32"/>
          <w:highlight w:val="none"/>
        </w:rPr>
      </w:pPr>
    </w:p>
    <w:p w14:paraId="19DD6906">
      <w:pPr>
        <w:spacing w:before="240" w:beforeLines="100" w:after="120" w:afterLines="50"/>
        <w:ind w:left="540"/>
        <w:jc w:val="center"/>
        <w:rPr>
          <w:rFonts w:hint="eastAsia" w:ascii="宋体" w:hAnsi="宋体" w:eastAsia="宋体" w:cs="宋体"/>
          <w:color w:val="auto"/>
          <w:sz w:val="32"/>
          <w:szCs w:val="32"/>
          <w:highlight w:val="none"/>
        </w:rPr>
      </w:pPr>
      <w:r>
        <w:rPr>
          <w:rFonts w:hint="eastAsia" w:ascii="宋体" w:hAnsi="宋体" w:eastAsia="宋体" w:cs="宋体"/>
          <w:b/>
          <w:color w:val="auto"/>
          <w:sz w:val="32"/>
          <w:szCs w:val="32"/>
          <w:highlight w:val="none"/>
        </w:rPr>
        <w:t>法定代表人身份证明</w:t>
      </w:r>
    </w:p>
    <w:p w14:paraId="12BD2438">
      <w:pPr>
        <w:spacing w:line="500" w:lineRule="exact"/>
        <w:ind w:left="540"/>
        <w:rPr>
          <w:rFonts w:hint="eastAsia" w:ascii="宋体" w:hAnsi="宋体" w:eastAsia="宋体" w:cs="宋体"/>
          <w:color w:val="auto"/>
          <w:sz w:val="24"/>
          <w:highlight w:val="none"/>
          <w:lang w:eastAsia="zh-CN"/>
        </w:rPr>
      </w:pPr>
      <w:r>
        <w:rPr>
          <w:rFonts w:hint="eastAsia" w:ascii="宋体" w:hAnsi="宋体" w:eastAsia="宋体" w:cs="宋体"/>
          <w:color w:val="auto"/>
          <w:sz w:val="24"/>
          <w:highlight w:val="none"/>
        </w:rPr>
        <w:t>投标人：</w:t>
      </w:r>
    </w:p>
    <w:p w14:paraId="68FF794B">
      <w:pPr>
        <w:spacing w:line="500" w:lineRule="exact"/>
        <w:ind w:left="540"/>
        <w:rPr>
          <w:rFonts w:hint="eastAsia" w:ascii="宋体" w:hAnsi="宋体" w:eastAsia="宋体" w:cs="宋体"/>
          <w:color w:val="auto"/>
          <w:sz w:val="24"/>
          <w:highlight w:val="none"/>
          <w:lang w:eastAsia="zh-CN"/>
        </w:rPr>
      </w:pPr>
      <w:r>
        <w:rPr>
          <w:rFonts w:hint="eastAsia" w:ascii="宋体" w:hAnsi="宋体" w:eastAsia="宋体" w:cs="宋体"/>
          <w:color w:val="auto"/>
          <w:sz w:val="24"/>
          <w:highlight w:val="none"/>
        </w:rPr>
        <w:t>地址：</w:t>
      </w:r>
    </w:p>
    <w:p w14:paraId="55A0C90A">
      <w:pPr>
        <w:spacing w:line="500" w:lineRule="exact"/>
        <w:ind w:left="540"/>
        <w:rPr>
          <w:rFonts w:hint="eastAsia" w:ascii="宋体" w:hAnsi="宋体" w:eastAsia="宋体" w:cs="宋体"/>
          <w:color w:val="auto"/>
          <w:sz w:val="24"/>
          <w:highlight w:val="none"/>
          <w:lang w:eastAsia="zh-CN"/>
        </w:rPr>
      </w:pPr>
      <w:r>
        <w:rPr>
          <w:rFonts w:hint="eastAsia" w:ascii="宋体" w:hAnsi="宋体" w:eastAsia="宋体" w:cs="宋体"/>
          <w:color w:val="auto"/>
          <w:sz w:val="24"/>
          <w:highlight w:val="none"/>
        </w:rPr>
        <w:t>姓名：性别：</w:t>
      </w:r>
    </w:p>
    <w:p w14:paraId="42382FAC">
      <w:pPr>
        <w:spacing w:line="500" w:lineRule="exact"/>
        <w:ind w:left="540"/>
        <w:rPr>
          <w:rFonts w:hint="eastAsia" w:ascii="宋体" w:hAnsi="宋体" w:eastAsia="宋体" w:cs="宋体"/>
          <w:color w:val="auto"/>
          <w:sz w:val="24"/>
          <w:highlight w:val="none"/>
          <w:u w:val="single"/>
          <w:lang w:eastAsia="zh-CN"/>
        </w:rPr>
      </w:pPr>
      <w:r>
        <w:rPr>
          <w:rFonts w:hint="eastAsia" w:ascii="宋体" w:hAnsi="宋体" w:eastAsia="宋体" w:cs="宋体"/>
          <w:color w:val="auto"/>
          <w:sz w:val="24"/>
          <w:highlight w:val="none"/>
        </w:rPr>
        <w:t>年龄：职务：</w:t>
      </w:r>
    </w:p>
    <w:p w14:paraId="3527526E">
      <w:pPr>
        <w:spacing w:line="500" w:lineRule="exact"/>
        <w:ind w:left="540"/>
        <w:rPr>
          <w:rFonts w:hint="eastAsia" w:ascii="宋体" w:hAnsi="宋体" w:eastAsia="宋体" w:cs="宋体"/>
          <w:color w:val="auto"/>
          <w:sz w:val="24"/>
          <w:highlight w:val="none"/>
          <w:lang w:eastAsia="zh-CN"/>
        </w:rPr>
      </w:pPr>
      <w:r>
        <w:rPr>
          <w:rFonts w:hint="eastAsia" w:ascii="宋体" w:hAnsi="宋体" w:eastAsia="宋体" w:cs="宋体"/>
          <w:color w:val="auto"/>
          <w:sz w:val="24"/>
          <w:highlight w:val="none"/>
        </w:rPr>
        <w:t>身份证号码：</w:t>
      </w:r>
    </w:p>
    <w:p w14:paraId="33463FAE">
      <w:pPr>
        <w:spacing w:line="500" w:lineRule="exact"/>
        <w:ind w:left="540"/>
        <w:rPr>
          <w:rFonts w:hint="eastAsia" w:ascii="宋体" w:hAnsi="宋体" w:eastAsia="宋体" w:cs="宋体"/>
          <w:color w:val="auto"/>
          <w:sz w:val="24"/>
          <w:highlight w:val="none"/>
        </w:rPr>
      </w:pPr>
      <w:r>
        <w:rPr>
          <w:rFonts w:hint="eastAsia" w:ascii="宋体" w:hAnsi="宋体" w:eastAsia="宋体" w:cs="宋体"/>
          <w:color w:val="auto"/>
          <w:sz w:val="24"/>
          <w:highlight w:val="none"/>
        </w:rPr>
        <w:t>系</w:t>
      </w:r>
      <w:r>
        <w:rPr>
          <w:rFonts w:hint="eastAsia" w:ascii="宋体" w:hAnsi="宋体" w:eastAsia="宋体" w:cs="宋体"/>
          <w:color w:val="auto"/>
          <w:sz w:val="24"/>
          <w:highlight w:val="none"/>
          <w:u w:val="single"/>
        </w:rPr>
        <w:t>（投标人名称）</w:t>
      </w:r>
      <w:r>
        <w:rPr>
          <w:rFonts w:hint="eastAsia" w:ascii="宋体" w:hAnsi="宋体" w:eastAsia="宋体" w:cs="宋体"/>
          <w:color w:val="auto"/>
          <w:sz w:val="24"/>
          <w:highlight w:val="none"/>
        </w:rPr>
        <w:t>的法定代表人。</w:t>
      </w:r>
    </w:p>
    <w:p w14:paraId="551A2366">
      <w:pPr>
        <w:spacing w:line="500" w:lineRule="exact"/>
        <w:ind w:left="540"/>
        <w:rPr>
          <w:rFonts w:hint="eastAsia" w:ascii="宋体" w:hAnsi="宋体" w:eastAsia="宋体" w:cs="宋体"/>
          <w:color w:val="auto"/>
          <w:sz w:val="24"/>
          <w:highlight w:val="none"/>
        </w:rPr>
      </w:pPr>
      <w:r>
        <w:rPr>
          <w:rFonts w:hint="eastAsia" w:ascii="宋体" w:hAnsi="宋体" w:eastAsia="宋体" w:cs="宋体"/>
          <w:color w:val="auto"/>
          <w:sz w:val="24"/>
          <w:highlight w:val="none"/>
        </w:rPr>
        <w:t>特此证明。</w:t>
      </w:r>
    </w:p>
    <w:p w14:paraId="508CE905">
      <w:pPr>
        <w:spacing w:line="500" w:lineRule="exact"/>
        <w:ind w:left="540"/>
        <w:rPr>
          <w:rFonts w:hint="eastAsia" w:ascii="宋体" w:hAnsi="宋体" w:eastAsia="宋体" w:cs="宋体"/>
          <w:color w:val="auto"/>
          <w:sz w:val="24"/>
          <w:highlight w:val="none"/>
        </w:rPr>
      </w:pPr>
    </w:p>
    <w:p w14:paraId="79BD0625">
      <w:pPr>
        <w:spacing w:line="500" w:lineRule="exact"/>
        <w:ind w:left="540"/>
        <w:rPr>
          <w:rFonts w:hint="eastAsia" w:ascii="宋体" w:hAnsi="宋体" w:eastAsia="宋体" w:cs="宋体"/>
          <w:color w:val="auto"/>
          <w:sz w:val="24"/>
          <w:highlight w:val="none"/>
        </w:rPr>
      </w:pPr>
    </w:p>
    <w:p w14:paraId="7BD3B26E">
      <w:pPr>
        <w:spacing w:line="500" w:lineRule="exact"/>
        <w:ind w:left="540"/>
        <w:rPr>
          <w:rFonts w:hint="eastAsia" w:ascii="宋体" w:hAnsi="宋体" w:eastAsia="宋体" w:cs="宋体"/>
          <w:color w:val="auto"/>
          <w:sz w:val="24"/>
          <w:highlight w:val="none"/>
        </w:rPr>
      </w:pPr>
      <w:r>
        <w:rPr>
          <w:rFonts w:hint="eastAsia" w:ascii="宋体" w:hAnsi="宋体" w:eastAsia="宋体" w:cs="宋体"/>
          <w:color w:val="auto"/>
          <w:sz w:val="24"/>
          <w:highlight w:val="none"/>
        </w:rPr>
        <w:t>附件：法定代表人有效身份证正反面复印件</w:t>
      </w:r>
    </w:p>
    <w:p w14:paraId="5F518E32">
      <w:pPr>
        <w:spacing w:line="500" w:lineRule="exact"/>
        <w:ind w:left="540"/>
        <w:rPr>
          <w:rFonts w:hint="eastAsia" w:ascii="宋体" w:hAnsi="宋体" w:eastAsia="宋体" w:cs="宋体"/>
          <w:color w:val="auto"/>
          <w:sz w:val="24"/>
          <w:highlight w:val="none"/>
        </w:rPr>
      </w:pPr>
    </w:p>
    <w:p w14:paraId="1B27D0D5">
      <w:pPr>
        <w:snapToGrid w:val="0"/>
        <w:spacing w:line="360" w:lineRule="auto"/>
        <w:ind w:firstLine="5640" w:firstLineChars="2350"/>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lang w:val="zh-CN"/>
        </w:rPr>
        <w:t>投标人名称(电子签章)：</w:t>
      </w:r>
    </w:p>
    <w:p w14:paraId="1067D601">
      <w:pPr>
        <w:snapToGrid w:val="0"/>
        <w:spacing w:line="360" w:lineRule="auto"/>
        <w:ind w:firstLine="5160" w:firstLineChars="2150"/>
        <w:rPr>
          <w:rFonts w:hint="eastAsia" w:ascii="宋体" w:hAnsi="宋体" w:eastAsia="宋体" w:cs="宋体"/>
          <w:color w:val="auto"/>
          <w:kern w:val="0"/>
          <w:sz w:val="24"/>
          <w:highlight w:val="none"/>
          <w:lang w:val="zh-CN"/>
        </w:rPr>
      </w:pPr>
      <w:r>
        <w:rPr>
          <w:rFonts w:hint="eastAsia" w:ascii="宋体" w:hAnsi="宋体" w:eastAsia="宋体" w:cs="宋体"/>
          <w:color w:val="auto"/>
          <w:kern w:val="0"/>
          <w:sz w:val="24"/>
          <w:highlight w:val="none"/>
          <w:lang w:val="zh-CN"/>
        </w:rPr>
        <w:t>日期</w:t>
      </w:r>
      <w:r>
        <w:rPr>
          <w:rFonts w:hint="eastAsia" w:ascii="宋体" w:hAnsi="宋体" w:eastAsia="宋体" w:cs="宋体"/>
          <w:color w:val="auto"/>
          <w:kern w:val="0"/>
          <w:sz w:val="24"/>
          <w:highlight w:val="none"/>
        </w:rPr>
        <w:t>：年</w:t>
      </w:r>
      <w:r>
        <w:rPr>
          <w:rFonts w:hint="eastAsia" w:ascii="宋体" w:hAnsi="宋体" w:eastAsia="宋体" w:cs="宋体"/>
          <w:color w:val="auto"/>
          <w:kern w:val="0"/>
          <w:sz w:val="24"/>
          <w:highlight w:val="none"/>
          <w:lang w:val="zh-CN"/>
        </w:rPr>
        <w:t>月日</w:t>
      </w:r>
    </w:p>
    <w:p w14:paraId="06F1B752">
      <w:pPr>
        <w:snapToGrid w:val="0"/>
        <w:spacing w:before="120" w:beforeLines="50" w:after="50"/>
        <w:jc w:val="center"/>
        <w:rPr>
          <w:rFonts w:hint="eastAsia" w:ascii="宋体" w:hAnsi="宋体" w:eastAsia="宋体" w:cs="宋体"/>
          <w:b/>
          <w:color w:val="auto"/>
          <w:sz w:val="24"/>
          <w:highlight w:val="none"/>
        </w:rPr>
      </w:pPr>
    </w:p>
    <w:p w14:paraId="69996A11">
      <w:pPr>
        <w:snapToGrid w:val="0"/>
        <w:spacing w:before="120" w:beforeLines="50" w:after="50"/>
        <w:ind w:firstLine="600" w:firstLineChars="250"/>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注：自然人投标的无需提供</w:t>
      </w:r>
    </w:p>
    <w:p w14:paraId="194A1624">
      <w:pPr>
        <w:snapToGrid w:val="0"/>
        <w:spacing w:before="120" w:beforeLines="50" w:after="50"/>
        <w:ind w:firstLine="600" w:firstLineChars="250"/>
        <w:jc w:val="left"/>
        <w:rPr>
          <w:rFonts w:hint="eastAsia" w:ascii="宋体" w:hAnsi="宋体" w:eastAsia="宋体" w:cs="宋体"/>
          <w:color w:val="auto"/>
          <w:sz w:val="24"/>
          <w:highlight w:val="none"/>
        </w:rPr>
      </w:pPr>
    </w:p>
    <w:p w14:paraId="009A09B9">
      <w:pPr>
        <w:snapToGrid w:val="0"/>
        <w:spacing w:before="120" w:beforeLines="50" w:after="50"/>
        <w:ind w:firstLine="602" w:firstLineChars="250"/>
        <w:jc w:val="left"/>
        <w:rPr>
          <w:rFonts w:hint="eastAsia" w:ascii="宋体" w:hAnsi="宋体" w:eastAsia="宋体" w:cs="宋体"/>
          <w:b/>
          <w:color w:val="auto"/>
          <w:sz w:val="24"/>
          <w:szCs w:val="20"/>
          <w:highlight w:val="none"/>
        </w:rPr>
      </w:pPr>
    </w:p>
    <w:tbl>
      <w:tblPr>
        <w:tblStyle w:val="35"/>
        <w:tblpPr w:leftFromText="180" w:rightFromText="180" w:vertAnchor="text" w:horzAnchor="margin" w:tblpY="1169"/>
        <w:tblW w:w="846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60"/>
      </w:tblGrid>
      <w:tr w14:paraId="3BDDB1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05" w:hRule="atLeast"/>
        </w:trPr>
        <w:tc>
          <w:tcPr>
            <w:tcW w:w="8461" w:type="dxa"/>
            <w:tcBorders>
              <w:top w:val="single" w:color="auto" w:sz="4" w:space="0"/>
              <w:left w:val="single" w:color="auto" w:sz="4" w:space="0"/>
              <w:bottom w:val="single" w:color="auto" w:sz="4" w:space="0"/>
              <w:right w:val="single" w:color="auto" w:sz="4" w:space="0"/>
            </w:tcBorders>
            <w:noWrap w:val="0"/>
            <w:vAlign w:val="top"/>
          </w:tcPr>
          <w:p w14:paraId="75438F49">
            <w:pPr>
              <w:spacing w:line="360" w:lineRule="auto"/>
              <w:rPr>
                <w:rFonts w:hint="eastAsia" w:ascii="宋体" w:hAnsi="宋体" w:eastAsia="宋体" w:cs="宋体"/>
                <w:b/>
                <w:color w:val="auto"/>
                <w:sz w:val="24"/>
                <w:highlight w:val="none"/>
              </w:rPr>
            </w:pPr>
          </w:p>
          <w:p w14:paraId="2CA72C05">
            <w:pPr>
              <w:spacing w:line="360" w:lineRule="auto"/>
              <w:rPr>
                <w:rFonts w:hint="eastAsia" w:ascii="宋体" w:hAnsi="宋体" w:eastAsia="宋体" w:cs="宋体"/>
                <w:b/>
                <w:color w:val="auto"/>
                <w:sz w:val="24"/>
                <w:highlight w:val="none"/>
              </w:rPr>
            </w:pPr>
            <w:r>
              <w:rPr>
                <w:rFonts w:hint="eastAsia" w:ascii="宋体" w:hAnsi="宋体" w:eastAsia="宋体" w:cs="宋体"/>
                <w:b/>
                <w:color w:val="auto"/>
                <w:sz w:val="24"/>
                <w:highlight w:val="none"/>
              </w:rPr>
              <w:t>法定代表</w:t>
            </w:r>
            <w:r>
              <w:rPr>
                <w:rFonts w:hint="eastAsia" w:ascii="宋体" w:hAnsi="宋体" w:cs="宋体"/>
                <w:b/>
                <w:color w:val="auto"/>
                <w:sz w:val="24"/>
                <w:highlight w:val="none"/>
                <w:lang w:val="en-US" w:eastAsia="zh-CN"/>
              </w:rPr>
              <w:t>人</w:t>
            </w:r>
            <w:r>
              <w:rPr>
                <w:rFonts w:hint="eastAsia" w:ascii="宋体" w:hAnsi="宋体" w:eastAsia="宋体" w:cs="宋体"/>
                <w:b/>
                <w:color w:val="auto"/>
                <w:sz w:val="24"/>
                <w:highlight w:val="none"/>
              </w:rPr>
              <w:t>身份证复印件粘贴处（正、反面）</w:t>
            </w:r>
          </w:p>
        </w:tc>
      </w:tr>
    </w:tbl>
    <w:p w14:paraId="4FC18F4E">
      <w:pPr>
        <w:pStyle w:val="18"/>
        <w:snapToGrid w:val="0"/>
        <w:spacing w:before="295" w:after="295" w:line="360" w:lineRule="auto"/>
        <w:jc w:val="center"/>
        <w:rPr>
          <w:rFonts w:hint="eastAsia" w:ascii="宋体" w:hAnsi="宋体" w:eastAsia="宋体" w:cs="宋体"/>
          <w:b/>
          <w:color w:val="auto"/>
          <w:sz w:val="24"/>
          <w:highlight w:val="none"/>
        </w:rPr>
      </w:pPr>
      <w:r>
        <w:rPr>
          <w:rFonts w:hint="eastAsia" w:ascii="宋体" w:hAnsi="宋体" w:eastAsia="宋体" w:cs="宋体"/>
          <w:b/>
          <w:color w:val="auto"/>
          <w:sz w:val="24"/>
          <w:highlight w:val="none"/>
        </w:rPr>
        <w:t>附件：</w:t>
      </w:r>
      <w:r>
        <w:rPr>
          <w:rFonts w:hint="eastAsia" w:ascii="宋体" w:hAnsi="宋体" w:eastAsia="宋体" w:cs="宋体"/>
          <w:b/>
          <w:color w:val="auto"/>
          <w:sz w:val="24"/>
          <w:highlight w:val="none"/>
        </w:rPr>
        <w:br w:type="page"/>
      </w:r>
      <w:r>
        <w:rPr>
          <w:rFonts w:hint="eastAsia" w:ascii="宋体" w:hAnsi="宋体" w:eastAsia="宋体" w:cs="宋体"/>
          <w:b/>
          <w:bCs/>
          <w:color w:val="auto"/>
          <w:sz w:val="30"/>
          <w:szCs w:val="30"/>
          <w:highlight w:val="none"/>
        </w:rPr>
        <w:t>三、法定代表人授权委托书（如有委托时）</w:t>
      </w:r>
    </w:p>
    <w:p w14:paraId="162BCE20">
      <w:pPr>
        <w:snapToGrid w:val="0"/>
        <w:spacing w:before="120" w:beforeLines="50" w:after="50"/>
        <w:jc w:val="center"/>
        <w:rPr>
          <w:rFonts w:hint="eastAsia" w:ascii="宋体" w:hAnsi="宋体" w:eastAsia="宋体" w:cs="宋体"/>
          <w:b/>
          <w:color w:val="auto"/>
          <w:sz w:val="32"/>
          <w:szCs w:val="32"/>
          <w:highlight w:val="none"/>
        </w:rPr>
      </w:pPr>
      <w:r>
        <w:rPr>
          <w:rFonts w:hint="eastAsia" w:ascii="宋体" w:hAnsi="宋体" w:eastAsia="宋体" w:cs="宋体"/>
          <w:b/>
          <w:color w:val="auto"/>
          <w:sz w:val="32"/>
          <w:szCs w:val="32"/>
          <w:highlight w:val="none"/>
        </w:rPr>
        <w:t>法定代表人授权委托书</w:t>
      </w:r>
    </w:p>
    <w:p w14:paraId="7D77F2C7">
      <w:pPr>
        <w:snapToGrid w:val="0"/>
        <w:spacing w:before="120" w:beforeLines="50" w:after="50"/>
        <w:jc w:val="center"/>
        <w:rPr>
          <w:rFonts w:hint="eastAsia" w:ascii="宋体" w:hAnsi="宋体" w:eastAsia="宋体" w:cs="宋体"/>
          <w:b/>
          <w:color w:val="auto"/>
          <w:sz w:val="24"/>
          <w:highlight w:val="none"/>
        </w:rPr>
      </w:pPr>
    </w:p>
    <w:p w14:paraId="232A10EE">
      <w:pPr>
        <w:pStyle w:val="18"/>
        <w:spacing w:line="440" w:lineRule="exact"/>
        <w:ind w:firstLine="420" w:firstLineChars="200"/>
        <w:rPr>
          <w:rFonts w:hint="eastAsia" w:ascii="宋体" w:hAnsi="宋体" w:eastAsia="宋体" w:cs="宋体"/>
          <w:color w:val="auto"/>
          <w:highlight w:val="none"/>
          <w:lang w:eastAsia="zh-CN"/>
        </w:rPr>
      </w:pPr>
      <w:r>
        <w:rPr>
          <w:rFonts w:hint="eastAsia" w:ascii="宋体" w:hAnsi="宋体" w:eastAsia="宋体" w:cs="宋体"/>
          <w:color w:val="auto"/>
          <w:highlight w:val="none"/>
        </w:rPr>
        <w:t>致：</w:t>
      </w:r>
      <w:r>
        <w:rPr>
          <w:rFonts w:hint="eastAsia" w:ascii="宋体" w:hAnsi="宋体" w:eastAsia="宋体" w:cs="宋体"/>
          <w:color w:val="auto"/>
          <w:highlight w:val="none"/>
          <w:u w:val="single"/>
          <w:lang w:eastAsia="zh-CN"/>
        </w:rPr>
        <w:t>广西哲通项目管理有限公司</w:t>
      </w:r>
    </w:p>
    <w:p w14:paraId="0E31581B">
      <w:pPr>
        <w:pStyle w:val="18"/>
        <w:spacing w:line="440" w:lineRule="exact"/>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本人（姓名）系（投标人名称）的法定代表人，现授权我单位在职正式员工（姓名和职务）为我方代理人。代理人根据授权，以我方名义签署、澄清、说明、补正、递交、撤回、修改贵方组织的</w:t>
      </w:r>
      <w:r>
        <w:rPr>
          <w:rFonts w:hint="eastAsia" w:hAnsi="宋体" w:cs="宋体"/>
          <w:color w:val="auto"/>
          <w:highlight w:val="none"/>
          <w:lang w:val="en-US" w:eastAsia="zh-CN"/>
        </w:rPr>
        <w:t xml:space="preserve"> </w:t>
      </w:r>
      <w:r>
        <w:rPr>
          <w:rFonts w:hint="eastAsia" w:ascii="宋体" w:hAnsi="宋体" w:cs="宋体"/>
          <w:color w:val="auto"/>
          <w:szCs w:val="21"/>
          <w:highlight w:val="none"/>
          <w:u w:val="single"/>
          <w:lang w:eastAsia="zh-CN"/>
        </w:rPr>
        <w:t>（</w:t>
      </w:r>
      <w:r>
        <w:rPr>
          <w:rFonts w:hint="eastAsia" w:ascii="宋体" w:hAnsi="宋体" w:cs="宋体"/>
          <w:color w:val="auto"/>
          <w:szCs w:val="21"/>
          <w:highlight w:val="none"/>
          <w:u w:val="single"/>
          <w:lang w:val="en-US" w:eastAsia="zh-CN"/>
        </w:rPr>
        <w:t>项目名称</w:t>
      </w:r>
      <w:r>
        <w:rPr>
          <w:rFonts w:hint="eastAsia" w:ascii="宋体" w:hAnsi="宋体" w:cs="宋体"/>
          <w:color w:val="auto"/>
          <w:szCs w:val="21"/>
          <w:highlight w:val="none"/>
          <w:u w:val="single"/>
          <w:lang w:eastAsia="zh-CN"/>
        </w:rPr>
        <w:t>）</w:t>
      </w:r>
      <w:r>
        <w:rPr>
          <w:rFonts w:hint="eastAsia" w:ascii="宋体" w:hAnsi="宋体" w:cs="宋体"/>
          <w:color w:val="auto"/>
          <w:szCs w:val="21"/>
          <w:highlight w:val="none"/>
          <w:u w:val="single"/>
          <w:lang w:val="en-US" w:eastAsia="zh-CN"/>
        </w:rPr>
        <w:t xml:space="preserve"> </w:t>
      </w:r>
      <w:r>
        <w:rPr>
          <w:rFonts w:hint="eastAsia" w:ascii="宋体" w:hAnsi="宋体" w:eastAsia="宋体" w:cs="宋体"/>
          <w:color w:val="auto"/>
          <w:highlight w:val="none"/>
        </w:rPr>
        <w:t>项目（项目编号：</w:t>
      </w:r>
      <w:r>
        <w:rPr>
          <w:rFonts w:hint="eastAsia" w:hAnsi="宋体" w:cs="宋体"/>
          <w:color w:val="auto"/>
          <w:highlight w:val="none"/>
          <w:u w:val="single"/>
          <w:lang w:eastAsia="zh-CN"/>
        </w:rPr>
        <w:t>NNZC2026-G3-270174-GXZT</w:t>
      </w:r>
      <w:r>
        <w:rPr>
          <w:rFonts w:hint="eastAsia" w:ascii="宋体" w:hAnsi="宋体" w:eastAsia="宋体" w:cs="宋体"/>
          <w:color w:val="auto"/>
          <w:highlight w:val="none"/>
        </w:rPr>
        <w:t>）的投标文件、签订合同和处理一切有关事宜，其法律后果由我方承担。</w:t>
      </w:r>
    </w:p>
    <w:p w14:paraId="21001807">
      <w:pPr>
        <w:pStyle w:val="18"/>
        <w:spacing w:line="440" w:lineRule="exact"/>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本授权书于年月日签字生效，委托期限：。</w:t>
      </w:r>
    </w:p>
    <w:p w14:paraId="0EF6864E">
      <w:pPr>
        <w:pStyle w:val="18"/>
        <w:spacing w:line="360" w:lineRule="auto"/>
        <w:ind w:firstLine="420"/>
        <w:rPr>
          <w:rFonts w:hint="eastAsia" w:ascii="宋体" w:hAnsi="宋体" w:eastAsia="宋体" w:cs="宋体"/>
          <w:color w:val="auto"/>
          <w:highlight w:val="none"/>
        </w:rPr>
      </w:pPr>
      <w:r>
        <w:rPr>
          <w:rFonts w:hint="eastAsia" w:ascii="宋体" w:hAnsi="宋体" w:eastAsia="宋体" w:cs="宋体"/>
          <w:color w:val="auto"/>
          <w:highlight w:val="none"/>
        </w:rPr>
        <w:t>代理人无转委托权。</w:t>
      </w:r>
    </w:p>
    <w:p w14:paraId="4C22F7A4">
      <w:pPr>
        <w:pStyle w:val="18"/>
        <w:spacing w:line="360" w:lineRule="auto"/>
        <w:ind w:firstLine="420"/>
        <w:rPr>
          <w:rFonts w:hint="eastAsia" w:ascii="宋体" w:hAnsi="宋体" w:eastAsia="宋体" w:cs="宋体"/>
          <w:color w:val="auto"/>
          <w:highlight w:val="none"/>
        </w:rPr>
      </w:pPr>
    </w:p>
    <w:p w14:paraId="6A456985">
      <w:pPr>
        <w:pStyle w:val="18"/>
        <w:spacing w:line="360" w:lineRule="auto"/>
        <w:ind w:firstLine="420"/>
        <w:rPr>
          <w:rFonts w:hint="eastAsia" w:ascii="宋体" w:hAnsi="宋体" w:eastAsia="宋体" w:cs="宋体"/>
          <w:color w:val="auto"/>
          <w:highlight w:val="none"/>
          <w:u w:val="single"/>
          <w:lang w:eastAsia="zh-CN"/>
        </w:rPr>
      </w:pPr>
      <w:r>
        <w:rPr>
          <w:rFonts w:hint="eastAsia" w:ascii="宋体" w:hAnsi="宋体" w:eastAsia="宋体" w:cs="宋体"/>
          <w:color w:val="auto"/>
          <w:highlight w:val="none"/>
        </w:rPr>
        <w:t>投标人（或联合体投标</w:t>
      </w:r>
      <w:r>
        <w:rPr>
          <w:rFonts w:hint="eastAsia" w:ascii="宋体" w:hAnsi="宋体" w:eastAsia="宋体" w:cs="宋体"/>
          <w:color w:val="auto"/>
          <w:kern w:val="0"/>
          <w:szCs w:val="21"/>
          <w:highlight w:val="none"/>
        </w:rPr>
        <w:t>牵头人名称</w:t>
      </w:r>
      <w:r>
        <w:rPr>
          <w:rFonts w:hint="eastAsia" w:ascii="宋体" w:hAnsi="宋体" w:eastAsia="宋体" w:cs="宋体"/>
          <w:color w:val="auto"/>
          <w:highlight w:val="none"/>
        </w:rPr>
        <w:t>）（盖单位公章）：</w:t>
      </w:r>
    </w:p>
    <w:p w14:paraId="1CF7C918">
      <w:pPr>
        <w:pStyle w:val="18"/>
        <w:spacing w:line="360" w:lineRule="auto"/>
        <w:ind w:firstLine="420"/>
        <w:rPr>
          <w:rFonts w:hint="eastAsia" w:ascii="宋体" w:hAnsi="宋体" w:eastAsia="宋体" w:cs="宋体"/>
          <w:color w:val="auto"/>
          <w:highlight w:val="none"/>
          <w:u w:val="single"/>
          <w:lang w:eastAsia="zh-CN"/>
        </w:rPr>
      </w:pPr>
      <w:r>
        <w:rPr>
          <w:rFonts w:hint="eastAsia" w:ascii="宋体" w:hAnsi="宋体" w:eastAsia="宋体" w:cs="宋体"/>
          <w:color w:val="auto"/>
          <w:highlight w:val="none"/>
        </w:rPr>
        <w:t>法定代表人（签字）：</w:t>
      </w:r>
    </w:p>
    <w:p w14:paraId="375A8801">
      <w:pPr>
        <w:pStyle w:val="18"/>
        <w:spacing w:line="360" w:lineRule="auto"/>
        <w:ind w:firstLine="420"/>
        <w:rPr>
          <w:rFonts w:hint="eastAsia" w:ascii="宋体" w:hAnsi="宋体" w:eastAsia="宋体" w:cs="宋体"/>
          <w:color w:val="auto"/>
          <w:highlight w:val="none"/>
          <w:u w:val="single"/>
          <w:lang w:eastAsia="zh-CN"/>
        </w:rPr>
      </w:pPr>
      <w:r>
        <w:rPr>
          <w:rFonts w:hint="eastAsia" w:ascii="宋体" w:hAnsi="宋体" w:eastAsia="宋体" w:cs="宋体"/>
          <w:color w:val="auto"/>
          <w:highlight w:val="none"/>
        </w:rPr>
        <w:t>法定代表人身份证号码：</w:t>
      </w:r>
    </w:p>
    <w:p w14:paraId="1468993E">
      <w:pPr>
        <w:pStyle w:val="18"/>
        <w:spacing w:line="360" w:lineRule="auto"/>
        <w:ind w:firstLine="420" w:firstLineChars="200"/>
        <w:rPr>
          <w:rFonts w:hint="eastAsia" w:ascii="宋体" w:hAnsi="宋体" w:eastAsia="宋体" w:cs="宋体"/>
          <w:color w:val="auto"/>
          <w:highlight w:val="none"/>
          <w:lang w:eastAsia="zh-CN"/>
        </w:rPr>
      </w:pPr>
      <w:r>
        <w:rPr>
          <w:rFonts w:hint="eastAsia" w:ascii="宋体" w:hAnsi="宋体" w:eastAsia="宋体" w:cs="宋体"/>
          <w:color w:val="auto"/>
          <w:highlight w:val="none"/>
        </w:rPr>
        <w:t>委托代理人（签字）：</w:t>
      </w:r>
    </w:p>
    <w:p w14:paraId="0DB3590B">
      <w:pPr>
        <w:pStyle w:val="18"/>
        <w:spacing w:line="360" w:lineRule="auto"/>
        <w:ind w:firstLine="420"/>
        <w:rPr>
          <w:rFonts w:hint="eastAsia" w:ascii="宋体" w:hAnsi="宋体" w:eastAsia="宋体" w:cs="宋体"/>
          <w:color w:val="auto"/>
          <w:highlight w:val="none"/>
          <w:u w:val="single"/>
          <w:lang w:eastAsia="zh-CN"/>
        </w:rPr>
      </w:pPr>
      <w:r>
        <w:rPr>
          <w:rFonts w:hint="eastAsia" w:ascii="宋体" w:hAnsi="宋体" w:eastAsia="宋体" w:cs="宋体"/>
          <w:color w:val="auto"/>
          <w:highlight w:val="none"/>
        </w:rPr>
        <w:t>委托代理人身份证号码：</w:t>
      </w:r>
    </w:p>
    <w:p w14:paraId="640AE5D7">
      <w:pPr>
        <w:pStyle w:val="18"/>
        <w:spacing w:line="360" w:lineRule="auto"/>
        <w:ind w:firstLine="420"/>
        <w:rPr>
          <w:rFonts w:hint="eastAsia" w:ascii="宋体" w:hAnsi="宋体" w:eastAsia="宋体" w:cs="宋体"/>
          <w:color w:val="auto"/>
          <w:highlight w:val="none"/>
          <w:u w:val="single"/>
        </w:rPr>
      </w:pPr>
    </w:p>
    <w:p w14:paraId="4620E1DC">
      <w:pPr>
        <w:pStyle w:val="18"/>
        <w:spacing w:line="360" w:lineRule="auto"/>
        <w:ind w:firstLine="420"/>
        <w:rPr>
          <w:rFonts w:hint="eastAsia" w:ascii="宋体" w:hAnsi="宋体" w:eastAsia="宋体" w:cs="宋体"/>
          <w:color w:val="auto"/>
          <w:highlight w:val="none"/>
          <w:u w:val="single"/>
          <w:lang w:eastAsia="zh-CN"/>
        </w:rPr>
      </w:pPr>
      <w:r>
        <w:rPr>
          <w:rFonts w:hint="eastAsia" w:ascii="宋体" w:hAnsi="宋体" w:eastAsia="宋体" w:cs="宋体"/>
          <w:color w:val="auto"/>
          <w:kern w:val="0"/>
          <w:szCs w:val="21"/>
          <w:highlight w:val="none"/>
        </w:rPr>
        <w:t>成员一名称：</w:t>
      </w:r>
      <w:r>
        <w:rPr>
          <w:rFonts w:hint="eastAsia" w:ascii="宋体" w:hAnsi="宋体" w:eastAsia="宋体" w:cs="宋体"/>
          <w:color w:val="auto"/>
          <w:highlight w:val="none"/>
        </w:rPr>
        <w:t>（盖单位公章）：</w:t>
      </w:r>
    </w:p>
    <w:p w14:paraId="1E7BB9B3">
      <w:pPr>
        <w:pStyle w:val="18"/>
        <w:spacing w:line="360" w:lineRule="auto"/>
        <w:ind w:firstLine="420"/>
        <w:rPr>
          <w:rFonts w:hint="eastAsia" w:ascii="宋体" w:hAnsi="宋体" w:eastAsia="宋体" w:cs="宋体"/>
          <w:color w:val="auto"/>
          <w:highlight w:val="none"/>
          <w:u w:val="single"/>
          <w:lang w:eastAsia="zh-CN"/>
        </w:rPr>
      </w:pPr>
      <w:r>
        <w:rPr>
          <w:rFonts w:hint="eastAsia" w:ascii="宋体" w:hAnsi="宋体" w:eastAsia="宋体" w:cs="宋体"/>
          <w:color w:val="auto"/>
          <w:highlight w:val="none"/>
        </w:rPr>
        <w:t>法定代表人（签字）：</w:t>
      </w:r>
    </w:p>
    <w:p w14:paraId="2E0208DC">
      <w:pPr>
        <w:pStyle w:val="18"/>
        <w:spacing w:line="360" w:lineRule="auto"/>
        <w:ind w:firstLine="420"/>
        <w:rPr>
          <w:rFonts w:hint="eastAsia" w:ascii="宋体" w:hAnsi="宋体" w:eastAsia="宋体" w:cs="宋体"/>
          <w:color w:val="auto"/>
          <w:highlight w:val="none"/>
          <w:u w:val="single"/>
        </w:rPr>
      </w:pPr>
    </w:p>
    <w:p w14:paraId="55DE0CCC">
      <w:pPr>
        <w:autoSpaceDE w:val="0"/>
        <w:autoSpaceDN w:val="0"/>
        <w:adjustRightInd w:val="0"/>
        <w:spacing w:line="360" w:lineRule="auto"/>
        <w:ind w:firstLine="420" w:firstLineChars="200"/>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成员二名称：（盖单位公章）</w:t>
      </w:r>
    </w:p>
    <w:p w14:paraId="72F1C510">
      <w:pPr>
        <w:autoSpaceDE w:val="0"/>
        <w:autoSpaceDN w:val="0"/>
        <w:adjustRightInd w:val="0"/>
        <w:spacing w:line="360" w:lineRule="auto"/>
        <w:ind w:firstLine="420" w:firstLineChars="200"/>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法定代表人或其委托代理人：（签字）</w:t>
      </w:r>
    </w:p>
    <w:p w14:paraId="71EEB04D">
      <w:pPr>
        <w:pStyle w:val="18"/>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w:t>
      </w:r>
    </w:p>
    <w:p w14:paraId="05B680EE">
      <w:pPr>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注：</w:t>
      </w:r>
    </w:p>
    <w:p w14:paraId="05FA7B54">
      <w:pPr>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1.法定代表人和委托代理人必须在授权委托书上亲笔签名，不得使用印章、签名章或者其他电子制版签名代替，</w:t>
      </w:r>
      <w:r>
        <w:rPr>
          <w:rFonts w:hint="eastAsia" w:ascii="宋体" w:hAnsi="宋体" w:eastAsia="宋体" w:cs="宋体"/>
          <w:b/>
          <w:bCs/>
          <w:color w:val="auto"/>
          <w:szCs w:val="21"/>
          <w:highlight w:val="none"/>
        </w:rPr>
        <w:t>否则作无效投标处理</w:t>
      </w:r>
      <w:r>
        <w:rPr>
          <w:rFonts w:hint="eastAsia" w:ascii="宋体" w:hAnsi="宋体" w:eastAsia="宋体" w:cs="宋体"/>
          <w:color w:val="auto"/>
          <w:szCs w:val="21"/>
          <w:highlight w:val="none"/>
        </w:rPr>
        <w:t>；</w:t>
      </w:r>
    </w:p>
    <w:p w14:paraId="404EF166">
      <w:pPr>
        <w:spacing w:line="360" w:lineRule="auto"/>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2.以联合体形式投标的，本授权委托书应由联合体牵头人的法定代表人按上述规定签署。</w:t>
      </w:r>
    </w:p>
    <w:p w14:paraId="39F387BB">
      <w:pPr>
        <w:snapToGrid w:val="0"/>
        <w:spacing w:before="50" w:after="120" w:afterLines="50" w:line="360" w:lineRule="auto"/>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3.供应商为其他组织或者自然人时，本招标文件规定的法定代表人指负责人或者自然人。本招标文件所称负责人是指参加投标的其他组织营业执照上的负责人，本招标文件所称自然人指参与投标的自然人本人。</w:t>
      </w:r>
    </w:p>
    <w:p w14:paraId="7D7AAF8B">
      <w:pPr>
        <w:snapToGrid w:val="0"/>
        <w:spacing w:before="50" w:after="120" w:afterLines="50" w:line="360" w:lineRule="auto"/>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4.若为联合体投标须各方签字或盖章。</w:t>
      </w:r>
    </w:p>
    <w:p w14:paraId="719A87FC">
      <w:pPr>
        <w:spacing w:line="360" w:lineRule="auto"/>
        <w:rPr>
          <w:rFonts w:hint="eastAsia" w:ascii="宋体" w:hAnsi="宋体" w:eastAsia="宋体" w:cs="宋体"/>
          <w:b/>
          <w:color w:val="auto"/>
          <w:sz w:val="24"/>
          <w:highlight w:val="none"/>
        </w:rPr>
      </w:pPr>
    </w:p>
    <w:p w14:paraId="4F14F7E1">
      <w:pPr>
        <w:spacing w:line="360" w:lineRule="auto"/>
        <w:rPr>
          <w:rFonts w:hint="eastAsia" w:ascii="宋体" w:hAnsi="宋体" w:eastAsia="宋体" w:cs="宋体"/>
          <w:b/>
          <w:color w:val="auto"/>
          <w:sz w:val="24"/>
          <w:highlight w:val="none"/>
        </w:rPr>
      </w:pPr>
      <w:r>
        <w:rPr>
          <w:rFonts w:hint="eastAsia" w:ascii="宋体" w:hAnsi="宋体" w:eastAsia="宋体" w:cs="宋体"/>
          <w:b/>
          <w:color w:val="auto"/>
          <w:sz w:val="24"/>
          <w:highlight w:val="none"/>
        </w:rPr>
        <w:t>附件：</w:t>
      </w:r>
    </w:p>
    <w:tbl>
      <w:tblPr>
        <w:tblStyle w:val="35"/>
        <w:tblpPr w:leftFromText="180" w:rightFromText="180" w:vertAnchor="text" w:horzAnchor="margin" w:tblpY="263"/>
        <w:tblW w:w="799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990"/>
      </w:tblGrid>
      <w:tr w14:paraId="632B95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40" w:hRule="atLeast"/>
        </w:trPr>
        <w:tc>
          <w:tcPr>
            <w:tcW w:w="7985" w:type="dxa"/>
            <w:tcBorders>
              <w:top w:val="single" w:color="auto" w:sz="4" w:space="0"/>
              <w:left w:val="single" w:color="auto" w:sz="4" w:space="0"/>
              <w:bottom w:val="single" w:color="auto" w:sz="4" w:space="0"/>
              <w:right w:val="single" w:color="auto" w:sz="4" w:space="0"/>
            </w:tcBorders>
            <w:noWrap w:val="0"/>
            <w:vAlign w:val="top"/>
          </w:tcPr>
          <w:p w14:paraId="3901E7A0">
            <w:pPr>
              <w:spacing w:line="360" w:lineRule="auto"/>
              <w:rPr>
                <w:rFonts w:hint="eastAsia" w:ascii="宋体" w:hAnsi="宋体" w:eastAsia="宋体" w:cs="宋体"/>
                <w:b/>
                <w:color w:val="auto"/>
                <w:sz w:val="24"/>
                <w:highlight w:val="none"/>
              </w:rPr>
            </w:pPr>
          </w:p>
          <w:p w14:paraId="03129B61">
            <w:pPr>
              <w:spacing w:line="360" w:lineRule="auto"/>
              <w:rPr>
                <w:rFonts w:hint="eastAsia" w:ascii="宋体" w:hAnsi="宋体" w:eastAsia="宋体" w:cs="宋体"/>
                <w:b/>
                <w:color w:val="auto"/>
                <w:sz w:val="24"/>
                <w:highlight w:val="none"/>
              </w:rPr>
            </w:pPr>
            <w:r>
              <w:rPr>
                <w:rFonts w:hint="eastAsia" w:ascii="宋体" w:hAnsi="宋体" w:eastAsia="宋体" w:cs="宋体"/>
                <w:b/>
                <w:color w:val="auto"/>
                <w:sz w:val="24"/>
                <w:highlight w:val="none"/>
              </w:rPr>
              <w:t>全权代表身份证复印件</w:t>
            </w:r>
            <w:r>
              <w:rPr>
                <w:rFonts w:hint="eastAsia" w:ascii="宋体" w:hAnsi="宋体" w:cs="宋体"/>
                <w:b/>
                <w:color w:val="auto"/>
                <w:sz w:val="24"/>
                <w:highlight w:val="none"/>
                <w:lang w:val="en-US" w:eastAsia="zh-CN"/>
              </w:rPr>
              <w:t>粘贴</w:t>
            </w:r>
            <w:r>
              <w:rPr>
                <w:rFonts w:hint="eastAsia" w:ascii="宋体" w:hAnsi="宋体" w:eastAsia="宋体" w:cs="宋体"/>
                <w:b/>
                <w:color w:val="auto"/>
                <w:sz w:val="24"/>
                <w:highlight w:val="none"/>
              </w:rPr>
              <w:t>处（正、反面）</w:t>
            </w:r>
          </w:p>
        </w:tc>
      </w:tr>
    </w:tbl>
    <w:p w14:paraId="3BAE4630">
      <w:pPr>
        <w:snapToGrid w:val="0"/>
        <w:spacing w:before="50" w:after="120" w:afterLines="50" w:line="360" w:lineRule="auto"/>
        <w:jc w:val="left"/>
        <w:rPr>
          <w:rFonts w:hint="eastAsia" w:ascii="宋体" w:hAnsi="宋体" w:eastAsia="宋体" w:cs="宋体"/>
          <w:color w:val="auto"/>
          <w:szCs w:val="21"/>
          <w:highlight w:val="none"/>
        </w:rPr>
      </w:pPr>
    </w:p>
    <w:p w14:paraId="4E5FEA71">
      <w:pPr>
        <w:snapToGrid w:val="0"/>
        <w:spacing w:before="120" w:beforeLines="50" w:after="50"/>
        <w:ind w:firstLine="566" w:firstLineChars="236"/>
        <w:jc w:val="center"/>
        <w:rPr>
          <w:rFonts w:hint="eastAsia" w:ascii="宋体" w:hAnsi="宋体" w:eastAsia="宋体" w:cs="宋体"/>
          <w:color w:val="auto"/>
          <w:highlight w:val="none"/>
        </w:rPr>
      </w:pPr>
      <w:r>
        <w:rPr>
          <w:rFonts w:hint="eastAsia" w:ascii="宋体" w:hAnsi="宋体" w:eastAsia="宋体" w:cs="宋体"/>
          <w:color w:val="auto"/>
          <w:sz w:val="24"/>
          <w:highlight w:val="none"/>
        </w:rPr>
        <w:br w:type="page"/>
      </w:r>
    </w:p>
    <w:p w14:paraId="03682B39">
      <w:pPr>
        <w:jc w:val="center"/>
        <w:rPr>
          <w:rFonts w:hint="eastAsia" w:ascii="宋体" w:hAnsi="宋体" w:eastAsia="宋体" w:cs="宋体"/>
          <w:b/>
          <w:bCs/>
          <w:color w:val="auto"/>
          <w:sz w:val="30"/>
          <w:szCs w:val="30"/>
          <w:highlight w:val="none"/>
        </w:rPr>
      </w:pPr>
      <w:r>
        <w:rPr>
          <w:rFonts w:hint="eastAsia" w:ascii="宋体" w:hAnsi="宋体" w:eastAsia="宋体" w:cs="宋体"/>
          <w:b/>
          <w:bCs/>
          <w:color w:val="auto"/>
          <w:sz w:val="30"/>
          <w:szCs w:val="30"/>
          <w:highlight w:val="none"/>
        </w:rPr>
        <w:t>四、商务条款偏离表</w:t>
      </w:r>
    </w:p>
    <w:p w14:paraId="7EB8F816">
      <w:pPr>
        <w:jc w:val="center"/>
        <w:rPr>
          <w:rFonts w:hint="eastAsia" w:ascii="宋体" w:hAnsi="宋体" w:eastAsia="宋体" w:cs="宋体"/>
          <w:b/>
          <w:color w:val="auto"/>
          <w:sz w:val="24"/>
          <w:szCs w:val="20"/>
          <w:highlight w:val="none"/>
        </w:rPr>
      </w:pPr>
      <w:r>
        <w:rPr>
          <w:rFonts w:hint="eastAsia" w:ascii="宋体" w:hAnsi="宋体" w:eastAsia="宋体" w:cs="宋体"/>
          <w:color w:val="auto"/>
          <w:sz w:val="30"/>
          <w:szCs w:val="20"/>
          <w:highlight w:val="none"/>
        </w:rPr>
        <w:t>(注：按项目需求表具体项目修改)</w:t>
      </w:r>
    </w:p>
    <w:p w14:paraId="772F6E63">
      <w:pPr>
        <w:snapToGrid w:val="0"/>
        <w:spacing w:before="50"/>
        <w:jc w:val="left"/>
        <w:rPr>
          <w:rFonts w:hint="eastAsia" w:ascii="宋体" w:hAnsi="宋体" w:eastAsia="宋体" w:cs="宋体"/>
          <w:color w:val="auto"/>
          <w:sz w:val="24"/>
          <w:highlight w:val="none"/>
        </w:rPr>
      </w:pPr>
    </w:p>
    <w:p w14:paraId="07AA66A5">
      <w:pPr>
        <w:pStyle w:val="18"/>
        <w:spacing w:line="360" w:lineRule="auto"/>
        <w:ind w:left="-424" w:leftChars="-202" w:firstLine="846"/>
        <w:rPr>
          <w:rFonts w:hint="eastAsia" w:ascii="宋体" w:hAnsi="宋体" w:eastAsia="宋体" w:cs="宋体"/>
          <w:color w:val="auto"/>
          <w:sz w:val="24"/>
          <w:szCs w:val="24"/>
          <w:highlight w:val="none"/>
        </w:rPr>
      </w:pPr>
      <w:r>
        <w:rPr>
          <w:rFonts w:hint="eastAsia" w:ascii="宋体" w:hAnsi="宋体" w:eastAsia="宋体" w:cs="宋体"/>
          <w:color w:val="auto"/>
          <w:highlight w:val="none"/>
        </w:rPr>
        <w:t>请逐条对应本项目招标文件第二章“服务需求一览表”中“商务条款”的要求，详细填写相应的具体内容。“偏离说明”一栏应当选择“正偏离”、“负偏离”或“无偏离”进行填写。</w:t>
      </w:r>
    </w:p>
    <w:tbl>
      <w:tblPr>
        <w:tblStyle w:val="35"/>
        <w:tblpPr w:leftFromText="180" w:rightFromText="180" w:vertAnchor="text" w:horzAnchor="margin" w:tblpXSpec="center" w:tblpY="94"/>
        <w:tblW w:w="948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1"/>
        <w:gridCol w:w="3757"/>
        <w:gridCol w:w="2516"/>
        <w:gridCol w:w="2516"/>
      </w:tblGrid>
      <w:tr w14:paraId="5B595C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0" w:hRule="atLeast"/>
        </w:trPr>
        <w:tc>
          <w:tcPr>
            <w:tcW w:w="691" w:type="dxa"/>
            <w:tcBorders>
              <w:top w:val="single" w:color="auto" w:sz="4" w:space="0"/>
              <w:left w:val="single" w:color="auto" w:sz="4" w:space="0"/>
              <w:right w:val="single" w:color="auto" w:sz="4" w:space="0"/>
            </w:tcBorders>
            <w:noWrap/>
            <w:vAlign w:val="top"/>
          </w:tcPr>
          <w:p w14:paraId="34E96417">
            <w:pPr>
              <w:spacing w:line="340" w:lineRule="exact"/>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项号</w:t>
            </w:r>
          </w:p>
        </w:tc>
        <w:tc>
          <w:tcPr>
            <w:tcW w:w="3757" w:type="dxa"/>
            <w:tcBorders>
              <w:top w:val="single" w:color="auto" w:sz="4" w:space="0"/>
              <w:left w:val="single" w:color="auto" w:sz="4" w:space="0"/>
              <w:bottom w:val="single" w:color="auto" w:sz="4" w:space="0"/>
              <w:right w:val="single" w:color="auto" w:sz="4" w:space="0"/>
            </w:tcBorders>
            <w:noWrap/>
            <w:vAlign w:val="top"/>
          </w:tcPr>
          <w:p w14:paraId="4C80B113">
            <w:pPr>
              <w:spacing w:line="340" w:lineRule="exact"/>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招标文件的商务需求</w:t>
            </w:r>
          </w:p>
        </w:tc>
        <w:tc>
          <w:tcPr>
            <w:tcW w:w="2516" w:type="dxa"/>
            <w:tcBorders>
              <w:top w:val="single" w:color="auto" w:sz="4" w:space="0"/>
              <w:left w:val="single" w:color="auto" w:sz="4" w:space="0"/>
              <w:right w:val="single" w:color="auto" w:sz="4" w:space="0"/>
            </w:tcBorders>
            <w:noWrap w:val="0"/>
            <w:vAlign w:val="top"/>
          </w:tcPr>
          <w:p w14:paraId="0973EAEA">
            <w:pPr>
              <w:spacing w:line="340" w:lineRule="exact"/>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投标文件承诺的商务条款</w:t>
            </w:r>
          </w:p>
        </w:tc>
        <w:tc>
          <w:tcPr>
            <w:tcW w:w="2516" w:type="dxa"/>
            <w:tcBorders>
              <w:top w:val="single" w:color="auto" w:sz="4" w:space="0"/>
              <w:left w:val="single" w:color="auto" w:sz="4" w:space="0"/>
              <w:right w:val="single" w:color="auto" w:sz="4" w:space="0"/>
            </w:tcBorders>
            <w:noWrap w:val="0"/>
            <w:vAlign w:val="top"/>
          </w:tcPr>
          <w:p w14:paraId="20A340C5">
            <w:pPr>
              <w:spacing w:line="300" w:lineRule="exact"/>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偏离说明</w:t>
            </w:r>
          </w:p>
        </w:tc>
      </w:tr>
      <w:tr w14:paraId="4782D6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0" w:hRule="atLeast"/>
        </w:trPr>
        <w:tc>
          <w:tcPr>
            <w:tcW w:w="691" w:type="dxa"/>
            <w:vMerge w:val="restart"/>
            <w:tcBorders>
              <w:top w:val="single" w:color="auto" w:sz="4" w:space="0"/>
              <w:left w:val="single" w:color="auto" w:sz="4" w:space="0"/>
              <w:right w:val="single" w:color="auto" w:sz="4" w:space="0"/>
            </w:tcBorders>
            <w:noWrap/>
            <w:vAlign w:val="top"/>
          </w:tcPr>
          <w:p w14:paraId="403F86E4">
            <w:pPr>
              <w:spacing w:line="340" w:lineRule="exact"/>
              <w:rPr>
                <w:rFonts w:hint="eastAsia" w:ascii="宋体" w:hAnsi="宋体" w:eastAsia="宋体" w:cs="宋体"/>
                <w:color w:val="auto"/>
                <w:szCs w:val="21"/>
                <w:highlight w:val="none"/>
              </w:rPr>
            </w:pPr>
            <w:r>
              <w:rPr>
                <w:rFonts w:hint="eastAsia" w:ascii="宋体" w:hAnsi="宋体" w:eastAsia="宋体" w:cs="宋体"/>
                <w:color w:val="auto"/>
                <w:szCs w:val="21"/>
                <w:highlight w:val="none"/>
              </w:rPr>
              <w:t>一</w:t>
            </w:r>
          </w:p>
        </w:tc>
        <w:tc>
          <w:tcPr>
            <w:tcW w:w="3757" w:type="dxa"/>
            <w:tcBorders>
              <w:top w:val="single" w:color="auto" w:sz="4" w:space="0"/>
              <w:left w:val="single" w:color="auto" w:sz="4" w:space="0"/>
              <w:bottom w:val="single" w:color="auto" w:sz="4" w:space="0"/>
              <w:right w:val="single" w:color="auto" w:sz="4" w:space="0"/>
            </w:tcBorders>
            <w:noWrap/>
            <w:vAlign w:val="top"/>
          </w:tcPr>
          <w:p w14:paraId="6AB952D2">
            <w:pPr>
              <w:rPr>
                <w:rFonts w:hint="eastAsia" w:ascii="宋体" w:hAnsi="宋体" w:eastAsia="宋体" w:cs="宋体"/>
                <w:color w:val="auto"/>
                <w:szCs w:val="21"/>
                <w:highlight w:val="none"/>
              </w:rPr>
            </w:pPr>
            <w:r>
              <w:rPr>
                <w:rFonts w:hint="eastAsia" w:ascii="宋体" w:hAnsi="宋体" w:eastAsia="宋体" w:cs="宋体"/>
                <w:color w:val="auto"/>
                <w:szCs w:val="21"/>
                <w:highlight w:val="none"/>
              </w:rPr>
              <w:t>1……</w:t>
            </w:r>
          </w:p>
        </w:tc>
        <w:tc>
          <w:tcPr>
            <w:tcW w:w="2516" w:type="dxa"/>
            <w:tcBorders>
              <w:top w:val="single" w:color="auto" w:sz="4" w:space="0"/>
              <w:left w:val="single" w:color="auto" w:sz="4" w:space="0"/>
              <w:right w:val="single" w:color="auto" w:sz="4" w:space="0"/>
            </w:tcBorders>
            <w:noWrap w:val="0"/>
            <w:vAlign w:val="top"/>
          </w:tcPr>
          <w:p w14:paraId="2DF8FA96">
            <w:pPr>
              <w:rPr>
                <w:rFonts w:hint="eastAsia" w:ascii="宋体" w:hAnsi="宋体" w:eastAsia="宋体" w:cs="宋体"/>
                <w:color w:val="auto"/>
                <w:szCs w:val="21"/>
                <w:highlight w:val="none"/>
              </w:rPr>
            </w:pPr>
            <w:r>
              <w:rPr>
                <w:rFonts w:hint="eastAsia" w:ascii="宋体" w:hAnsi="宋体" w:eastAsia="宋体" w:cs="宋体"/>
                <w:color w:val="auto"/>
                <w:szCs w:val="21"/>
                <w:highlight w:val="none"/>
              </w:rPr>
              <w:t>1……</w:t>
            </w:r>
          </w:p>
        </w:tc>
        <w:tc>
          <w:tcPr>
            <w:tcW w:w="2516" w:type="dxa"/>
            <w:tcBorders>
              <w:top w:val="single" w:color="auto" w:sz="4" w:space="0"/>
              <w:left w:val="single" w:color="auto" w:sz="4" w:space="0"/>
              <w:right w:val="single" w:color="auto" w:sz="4" w:space="0"/>
            </w:tcBorders>
            <w:noWrap w:val="0"/>
            <w:vAlign w:val="top"/>
          </w:tcPr>
          <w:p w14:paraId="095C2143">
            <w:pPr>
              <w:spacing w:line="300" w:lineRule="exact"/>
              <w:rPr>
                <w:rFonts w:hint="eastAsia" w:ascii="宋体" w:hAnsi="宋体" w:eastAsia="宋体" w:cs="宋体"/>
                <w:color w:val="auto"/>
                <w:szCs w:val="21"/>
                <w:highlight w:val="none"/>
              </w:rPr>
            </w:pPr>
            <w:r>
              <w:rPr>
                <w:rFonts w:hint="eastAsia" w:ascii="宋体" w:hAnsi="宋体" w:eastAsia="宋体" w:cs="宋体"/>
                <w:color w:val="auto"/>
                <w:szCs w:val="21"/>
                <w:highlight w:val="none"/>
              </w:rPr>
              <w:t>正偏离（负偏离或无偏离）</w:t>
            </w:r>
          </w:p>
          <w:p w14:paraId="27BFD37D">
            <w:pPr>
              <w:spacing w:line="300" w:lineRule="exact"/>
              <w:rPr>
                <w:rFonts w:hint="eastAsia" w:ascii="宋体" w:hAnsi="宋体" w:eastAsia="宋体" w:cs="宋体"/>
                <w:color w:val="auto"/>
                <w:szCs w:val="21"/>
                <w:highlight w:val="none"/>
              </w:rPr>
            </w:pPr>
          </w:p>
        </w:tc>
      </w:tr>
      <w:tr w14:paraId="16F63F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7" w:hRule="atLeast"/>
        </w:trPr>
        <w:tc>
          <w:tcPr>
            <w:tcW w:w="691" w:type="dxa"/>
            <w:vMerge w:val="continue"/>
            <w:tcBorders>
              <w:left w:val="single" w:color="auto" w:sz="4" w:space="0"/>
              <w:right w:val="single" w:color="auto" w:sz="4" w:space="0"/>
            </w:tcBorders>
            <w:noWrap/>
            <w:vAlign w:val="top"/>
          </w:tcPr>
          <w:p w14:paraId="4F38D565">
            <w:pPr>
              <w:spacing w:line="340" w:lineRule="exact"/>
              <w:rPr>
                <w:rFonts w:hint="eastAsia" w:ascii="宋体" w:hAnsi="宋体" w:eastAsia="宋体" w:cs="宋体"/>
                <w:color w:val="auto"/>
                <w:szCs w:val="21"/>
                <w:highlight w:val="none"/>
              </w:rPr>
            </w:pPr>
          </w:p>
        </w:tc>
        <w:tc>
          <w:tcPr>
            <w:tcW w:w="3757" w:type="dxa"/>
            <w:tcBorders>
              <w:top w:val="single" w:color="auto" w:sz="4" w:space="0"/>
              <w:left w:val="single" w:color="auto" w:sz="4" w:space="0"/>
              <w:bottom w:val="single" w:color="auto" w:sz="4" w:space="0"/>
              <w:right w:val="single" w:color="auto" w:sz="4" w:space="0"/>
            </w:tcBorders>
            <w:noWrap/>
            <w:vAlign w:val="top"/>
          </w:tcPr>
          <w:p w14:paraId="1544F310">
            <w:pPr>
              <w:spacing w:line="340" w:lineRule="exact"/>
              <w:rPr>
                <w:rFonts w:hint="eastAsia" w:ascii="宋体" w:hAnsi="宋体" w:eastAsia="宋体" w:cs="宋体"/>
                <w:color w:val="auto"/>
                <w:szCs w:val="21"/>
                <w:highlight w:val="none"/>
              </w:rPr>
            </w:pPr>
            <w:r>
              <w:rPr>
                <w:rFonts w:hint="eastAsia" w:ascii="宋体" w:hAnsi="宋体" w:eastAsia="宋体" w:cs="宋体"/>
                <w:color w:val="auto"/>
                <w:szCs w:val="21"/>
                <w:highlight w:val="none"/>
              </w:rPr>
              <w:t>2……</w:t>
            </w:r>
          </w:p>
          <w:p w14:paraId="78DD63F7">
            <w:pPr>
              <w:spacing w:line="340" w:lineRule="exact"/>
              <w:rPr>
                <w:rFonts w:hint="eastAsia" w:ascii="宋体" w:hAnsi="宋体" w:eastAsia="宋体" w:cs="宋体"/>
                <w:color w:val="auto"/>
                <w:szCs w:val="21"/>
                <w:highlight w:val="none"/>
              </w:rPr>
            </w:pPr>
          </w:p>
        </w:tc>
        <w:tc>
          <w:tcPr>
            <w:tcW w:w="2516" w:type="dxa"/>
            <w:tcBorders>
              <w:left w:val="single" w:color="auto" w:sz="4" w:space="0"/>
              <w:right w:val="single" w:color="auto" w:sz="4" w:space="0"/>
            </w:tcBorders>
            <w:noWrap w:val="0"/>
            <w:vAlign w:val="top"/>
          </w:tcPr>
          <w:p w14:paraId="09B14EAE">
            <w:pPr>
              <w:spacing w:line="340" w:lineRule="exact"/>
              <w:rPr>
                <w:rFonts w:hint="eastAsia" w:ascii="宋体" w:hAnsi="宋体" w:eastAsia="宋体" w:cs="宋体"/>
                <w:color w:val="auto"/>
                <w:szCs w:val="21"/>
                <w:highlight w:val="none"/>
              </w:rPr>
            </w:pPr>
            <w:r>
              <w:rPr>
                <w:rFonts w:hint="eastAsia" w:ascii="宋体" w:hAnsi="宋体" w:eastAsia="宋体" w:cs="宋体"/>
                <w:color w:val="auto"/>
                <w:szCs w:val="21"/>
                <w:highlight w:val="none"/>
              </w:rPr>
              <w:t>2……</w:t>
            </w:r>
          </w:p>
          <w:p w14:paraId="7DBC840A">
            <w:pPr>
              <w:spacing w:line="300" w:lineRule="exact"/>
              <w:rPr>
                <w:rFonts w:hint="eastAsia" w:ascii="宋体" w:hAnsi="宋体" w:eastAsia="宋体" w:cs="宋体"/>
                <w:color w:val="auto"/>
                <w:szCs w:val="21"/>
                <w:highlight w:val="none"/>
              </w:rPr>
            </w:pPr>
          </w:p>
        </w:tc>
        <w:tc>
          <w:tcPr>
            <w:tcW w:w="2516" w:type="dxa"/>
            <w:tcBorders>
              <w:left w:val="single" w:color="auto" w:sz="4" w:space="0"/>
              <w:right w:val="single" w:color="auto" w:sz="4" w:space="0"/>
            </w:tcBorders>
            <w:noWrap w:val="0"/>
            <w:vAlign w:val="top"/>
          </w:tcPr>
          <w:p w14:paraId="241F0E6E">
            <w:pPr>
              <w:spacing w:line="300" w:lineRule="exact"/>
              <w:rPr>
                <w:rFonts w:hint="eastAsia" w:ascii="宋体" w:hAnsi="宋体" w:eastAsia="宋体" w:cs="宋体"/>
                <w:color w:val="auto"/>
                <w:szCs w:val="21"/>
                <w:highlight w:val="none"/>
              </w:rPr>
            </w:pPr>
            <w:r>
              <w:rPr>
                <w:rFonts w:hint="eastAsia" w:ascii="宋体" w:hAnsi="宋体" w:eastAsia="宋体" w:cs="宋体"/>
                <w:color w:val="auto"/>
                <w:szCs w:val="21"/>
                <w:highlight w:val="none"/>
              </w:rPr>
              <w:t>正偏离（负偏离或无偏离）</w:t>
            </w:r>
          </w:p>
          <w:p w14:paraId="594F9BD4">
            <w:pPr>
              <w:spacing w:line="300" w:lineRule="exact"/>
              <w:rPr>
                <w:rFonts w:hint="eastAsia" w:ascii="宋体" w:hAnsi="宋体" w:eastAsia="宋体" w:cs="宋体"/>
                <w:color w:val="auto"/>
                <w:szCs w:val="21"/>
                <w:highlight w:val="none"/>
              </w:rPr>
            </w:pPr>
          </w:p>
        </w:tc>
      </w:tr>
      <w:tr w14:paraId="43B3D9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7" w:hRule="atLeast"/>
        </w:trPr>
        <w:tc>
          <w:tcPr>
            <w:tcW w:w="691" w:type="dxa"/>
            <w:vMerge w:val="continue"/>
            <w:tcBorders>
              <w:left w:val="single" w:color="auto" w:sz="4" w:space="0"/>
              <w:right w:val="single" w:color="auto" w:sz="4" w:space="0"/>
            </w:tcBorders>
            <w:noWrap/>
            <w:vAlign w:val="top"/>
          </w:tcPr>
          <w:p w14:paraId="5DCBB57B">
            <w:pPr>
              <w:spacing w:line="340" w:lineRule="exact"/>
              <w:rPr>
                <w:rFonts w:hint="eastAsia" w:ascii="宋体" w:hAnsi="宋体" w:eastAsia="宋体" w:cs="宋体"/>
                <w:color w:val="auto"/>
                <w:szCs w:val="21"/>
                <w:highlight w:val="none"/>
              </w:rPr>
            </w:pPr>
          </w:p>
        </w:tc>
        <w:tc>
          <w:tcPr>
            <w:tcW w:w="3757" w:type="dxa"/>
            <w:tcBorders>
              <w:top w:val="single" w:color="auto" w:sz="4" w:space="0"/>
              <w:left w:val="single" w:color="auto" w:sz="4" w:space="0"/>
              <w:bottom w:val="single" w:color="auto" w:sz="4" w:space="0"/>
              <w:right w:val="single" w:color="auto" w:sz="4" w:space="0"/>
            </w:tcBorders>
            <w:noWrap/>
            <w:vAlign w:val="top"/>
          </w:tcPr>
          <w:p w14:paraId="496F70CC">
            <w:pPr>
              <w:spacing w:line="340" w:lineRule="exact"/>
              <w:rPr>
                <w:rFonts w:hint="eastAsia" w:ascii="宋体" w:hAnsi="宋体" w:eastAsia="宋体" w:cs="宋体"/>
                <w:color w:val="auto"/>
                <w:szCs w:val="21"/>
                <w:highlight w:val="none"/>
              </w:rPr>
            </w:pPr>
            <w:r>
              <w:rPr>
                <w:rFonts w:hint="eastAsia" w:ascii="宋体" w:hAnsi="宋体" w:eastAsia="宋体" w:cs="宋体"/>
                <w:color w:val="auto"/>
                <w:szCs w:val="21"/>
                <w:highlight w:val="none"/>
              </w:rPr>
              <w:t>3……</w:t>
            </w:r>
          </w:p>
          <w:p w14:paraId="00455636">
            <w:pPr>
              <w:spacing w:line="340" w:lineRule="exact"/>
              <w:rPr>
                <w:rFonts w:hint="eastAsia" w:ascii="宋体" w:hAnsi="宋体" w:eastAsia="宋体" w:cs="宋体"/>
                <w:color w:val="auto"/>
                <w:szCs w:val="21"/>
                <w:highlight w:val="none"/>
              </w:rPr>
            </w:pPr>
          </w:p>
        </w:tc>
        <w:tc>
          <w:tcPr>
            <w:tcW w:w="2516" w:type="dxa"/>
            <w:tcBorders>
              <w:left w:val="single" w:color="auto" w:sz="4" w:space="0"/>
              <w:right w:val="single" w:color="auto" w:sz="4" w:space="0"/>
            </w:tcBorders>
            <w:noWrap w:val="0"/>
            <w:vAlign w:val="top"/>
          </w:tcPr>
          <w:p w14:paraId="3038E548">
            <w:pPr>
              <w:spacing w:line="340" w:lineRule="exact"/>
              <w:rPr>
                <w:rFonts w:hint="eastAsia" w:ascii="宋体" w:hAnsi="宋体" w:eastAsia="宋体" w:cs="宋体"/>
                <w:color w:val="auto"/>
                <w:szCs w:val="21"/>
                <w:highlight w:val="none"/>
              </w:rPr>
            </w:pPr>
            <w:r>
              <w:rPr>
                <w:rFonts w:hint="eastAsia" w:ascii="宋体" w:hAnsi="宋体" w:eastAsia="宋体" w:cs="宋体"/>
                <w:color w:val="auto"/>
                <w:szCs w:val="21"/>
                <w:highlight w:val="none"/>
              </w:rPr>
              <w:t>3……</w:t>
            </w:r>
          </w:p>
          <w:p w14:paraId="21C36169">
            <w:pPr>
              <w:spacing w:line="300" w:lineRule="exact"/>
              <w:rPr>
                <w:rFonts w:hint="eastAsia" w:ascii="宋体" w:hAnsi="宋体" w:eastAsia="宋体" w:cs="宋体"/>
                <w:color w:val="auto"/>
                <w:szCs w:val="21"/>
                <w:highlight w:val="none"/>
              </w:rPr>
            </w:pPr>
          </w:p>
        </w:tc>
        <w:tc>
          <w:tcPr>
            <w:tcW w:w="2516" w:type="dxa"/>
            <w:tcBorders>
              <w:left w:val="single" w:color="auto" w:sz="4" w:space="0"/>
              <w:right w:val="single" w:color="auto" w:sz="4" w:space="0"/>
            </w:tcBorders>
            <w:noWrap w:val="0"/>
            <w:vAlign w:val="top"/>
          </w:tcPr>
          <w:p w14:paraId="73D4D89D">
            <w:pPr>
              <w:spacing w:line="300" w:lineRule="exact"/>
              <w:rPr>
                <w:rFonts w:hint="eastAsia" w:ascii="宋体" w:hAnsi="宋体" w:eastAsia="宋体" w:cs="宋体"/>
                <w:color w:val="auto"/>
                <w:szCs w:val="21"/>
                <w:highlight w:val="none"/>
              </w:rPr>
            </w:pPr>
            <w:r>
              <w:rPr>
                <w:rFonts w:hint="eastAsia" w:ascii="宋体" w:hAnsi="宋体" w:eastAsia="宋体" w:cs="宋体"/>
                <w:color w:val="auto"/>
                <w:szCs w:val="21"/>
                <w:highlight w:val="none"/>
              </w:rPr>
              <w:t>正偏离（负偏离或无偏离）</w:t>
            </w:r>
          </w:p>
          <w:p w14:paraId="24310548">
            <w:pPr>
              <w:spacing w:line="300" w:lineRule="exact"/>
              <w:rPr>
                <w:rFonts w:hint="eastAsia" w:ascii="宋体" w:hAnsi="宋体" w:eastAsia="宋体" w:cs="宋体"/>
                <w:color w:val="auto"/>
                <w:szCs w:val="21"/>
                <w:highlight w:val="none"/>
              </w:rPr>
            </w:pPr>
          </w:p>
        </w:tc>
      </w:tr>
      <w:tr w14:paraId="56B748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7" w:hRule="atLeast"/>
        </w:trPr>
        <w:tc>
          <w:tcPr>
            <w:tcW w:w="691" w:type="dxa"/>
            <w:vMerge w:val="continue"/>
            <w:tcBorders>
              <w:left w:val="single" w:color="auto" w:sz="4" w:space="0"/>
              <w:bottom w:val="single" w:color="auto" w:sz="4" w:space="0"/>
              <w:right w:val="single" w:color="auto" w:sz="4" w:space="0"/>
            </w:tcBorders>
            <w:noWrap/>
            <w:vAlign w:val="top"/>
          </w:tcPr>
          <w:p w14:paraId="3C541A97">
            <w:pPr>
              <w:spacing w:line="340" w:lineRule="exact"/>
              <w:rPr>
                <w:rFonts w:hint="eastAsia" w:ascii="宋体" w:hAnsi="宋体" w:eastAsia="宋体" w:cs="宋体"/>
                <w:color w:val="auto"/>
                <w:szCs w:val="21"/>
                <w:highlight w:val="none"/>
              </w:rPr>
            </w:pPr>
          </w:p>
        </w:tc>
        <w:tc>
          <w:tcPr>
            <w:tcW w:w="3757" w:type="dxa"/>
            <w:tcBorders>
              <w:top w:val="single" w:color="auto" w:sz="4" w:space="0"/>
              <w:left w:val="single" w:color="auto" w:sz="4" w:space="0"/>
              <w:bottom w:val="single" w:color="auto" w:sz="4" w:space="0"/>
              <w:right w:val="single" w:color="auto" w:sz="4" w:space="0"/>
            </w:tcBorders>
            <w:noWrap/>
            <w:vAlign w:val="top"/>
          </w:tcPr>
          <w:p w14:paraId="0DA346EE">
            <w:pPr>
              <w:spacing w:line="340" w:lineRule="exact"/>
              <w:rPr>
                <w:rFonts w:hint="eastAsia" w:ascii="宋体" w:hAnsi="宋体" w:eastAsia="宋体" w:cs="宋体"/>
                <w:color w:val="auto"/>
                <w:szCs w:val="21"/>
                <w:highlight w:val="none"/>
              </w:rPr>
            </w:pPr>
            <w:r>
              <w:rPr>
                <w:rFonts w:hint="eastAsia" w:ascii="宋体" w:hAnsi="宋体" w:eastAsia="宋体" w:cs="宋体"/>
                <w:color w:val="auto"/>
                <w:szCs w:val="21"/>
                <w:highlight w:val="none"/>
              </w:rPr>
              <w:t>……</w:t>
            </w:r>
          </w:p>
        </w:tc>
        <w:tc>
          <w:tcPr>
            <w:tcW w:w="2516" w:type="dxa"/>
            <w:tcBorders>
              <w:left w:val="single" w:color="auto" w:sz="4" w:space="0"/>
              <w:bottom w:val="single" w:color="auto" w:sz="4" w:space="0"/>
              <w:right w:val="single" w:color="auto" w:sz="4" w:space="0"/>
            </w:tcBorders>
            <w:noWrap w:val="0"/>
            <w:vAlign w:val="top"/>
          </w:tcPr>
          <w:p w14:paraId="5E67B059">
            <w:pPr>
              <w:spacing w:line="300" w:lineRule="exact"/>
              <w:rPr>
                <w:rFonts w:hint="eastAsia" w:ascii="宋体" w:hAnsi="宋体" w:eastAsia="宋体" w:cs="宋体"/>
                <w:color w:val="auto"/>
                <w:szCs w:val="21"/>
                <w:highlight w:val="none"/>
              </w:rPr>
            </w:pPr>
            <w:r>
              <w:rPr>
                <w:rFonts w:hint="eastAsia" w:ascii="宋体" w:hAnsi="宋体" w:eastAsia="宋体" w:cs="宋体"/>
                <w:color w:val="auto"/>
                <w:szCs w:val="21"/>
                <w:highlight w:val="none"/>
              </w:rPr>
              <w:t>……</w:t>
            </w:r>
          </w:p>
        </w:tc>
        <w:tc>
          <w:tcPr>
            <w:tcW w:w="2516" w:type="dxa"/>
            <w:tcBorders>
              <w:left w:val="single" w:color="auto" w:sz="4" w:space="0"/>
              <w:bottom w:val="single" w:color="auto" w:sz="4" w:space="0"/>
              <w:right w:val="single" w:color="auto" w:sz="4" w:space="0"/>
            </w:tcBorders>
            <w:noWrap w:val="0"/>
            <w:vAlign w:val="top"/>
          </w:tcPr>
          <w:p w14:paraId="369886F1">
            <w:pPr>
              <w:spacing w:line="300" w:lineRule="exact"/>
              <w:rPr>
                <w:rFonts w:hint="eastAsia" w:ascii="宋体" w:hAnsi="宋体" w:eastAsia="宋体" w:cs="宋体"/>
                <w:color w:val="auto"/>
                <w:szCs w:val="21"/>
                <w:highlight w:val="none"/>
              </w:rPr>
            </w:pPr>
            <w:r>
              <w:rPr>
                <w:rFonts w:hint="eastAsia" w:ascii="宋体" w:hAnsi="宋体" w:eastAsia="宋体" w:cs="宋体"/>
                <w:color w:val="auto"/>
                <w:szCs w:val="21"/>
                <w:highlight w:val="none"/>
              </w:rPr>
              <w:t>正偏离（负偏离或无偏离）</w:t>
            </w:r>
          </w:p>
          <w:p w14:paraId="607209E1">
            <w:pPr>
              <w:spacing w:line="300" w:lineRule="exact"/>
              <w:rPr>
                <w:rFonts w:hint="eastAsia" w:ascii="宋体" w:hAnsi="宋体" w:eastAsia="宋体" w:cs="宋体"/>
                <w:color w:val="auto"/>
                <w:szCs w:val="21"/>
                <w:highlight w:val="none"/>
              </w:rPr>
            </w:pPr>
          </w:p>
        </w:tc>
      </w:tr>
      <w:tr w14:paraId="5F9ABA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0" w:hRule="atLeast"/>
        </w:trPr>
        <w:tc>
          <w:tcPr>
            <w:tcW w:w="691" w:type="dxa"/>
            <w:vMerge w:val="restart"/>
            <w:tcBorders>
              <w:top w:val="single" w:color="auto" w:sz="4" w:space="0"/>
              <w:left w:val="single" w:color="auto" w:sz="4" w:space="0"/>
              <w:right w:val="single" w:color="auto" w:sz="4" w:space="0"/>
            </w:tcBorders>
            <w:noWrap/>
            <w:vAlign w:val="top"/>
          </w:tcPr>
          <w:p w14:paraId="7BFD63AD">
            <w:pPr>
              <w:spacing w:line="340" w:lineRule="exact"/>
              <w:rPr>
                <w:rFonts w:hint="eastAsia" w:ascii="宋体" w:hAnsi="宋体" w:eastAsia="宋体" w:cs="宋体"/>
                <w:color w:val="auto"/>
                <w:szCs w:val="21"/>
                <w:highlight w:val="none"/>
              </w:rPr>
            </w:pPr>
            <w:r>
              <w:rPr>
                <w:rFonts w:hint="eastAsia" w:ascii="宋体" w:hAnsi="宋体" w:eastAsia="宋体" w:cs="宋体"/>
                <w:color w:val="auto"/>
                <w:szCs w:val="21"/>
                <w:highlight w:val="none"/>
              </w:rPr>
              <w:t>二</w:t>
            </w:r>
          </w:p>
        </w:tc>
        <w:tc>
          <w:tcPr>
            <w:tcW w:w="3757" w:type="dxa"/>
            <w:tcBorders>
              <w:top w:val="single" w:color="auto" w:sz="4" w:space="0"/>
              <w:left w:val="single" w:color="auto" w:sz="4" w:space="0"/>
              <w:bottom w:val="single" w:color="auto" w:sz="4" w:space="0"/>
              <w:right w:val="single" w:color="auto" w:sz="4" w:space="0"/>
            </w:tcBorders>
            <w:noWrap/>
            <w:vAlign w:val="top"/>
          </w:tcPr>
          <w:p w14:paraId="0BDE7047">
            <w:pPr>
              <w:rPr>
                <w:rFonts w:hint="eastAsia" w:ascii="宋体" w:hAnsi="宋体" w:eastAsia="宋体" w:cs="宋体"/>
                <w:color w:val="auto"/>
                <w:szCs w:val="21"/>
                <w:highlight w:val="none"/>
              </w:rPr>
            </w:pPr>
            <w:r>
              <w:rPr>
                <w:rFonts w:hint="eastAsia" w:ascii="宋体" w:hAnsi="宋体" w:eastAsia="宋体" w:cs="宋体"/>
                <w:color w:val="auto"/>
                <w:szCs w:val="21"/>
                <w:highlight w:val="none"/>
              </w:rPr>
              <w:t>1……</w:t>
            </w:r>
          </w:p>
        </w:tc>
        <w:tc>
          <w:tcPr>
            <w:tcW w:w="2516" w:type="dxa"/>
            <w:tcBorders>
              <w:top w:val="single" w:color="auto" w:sz="4" w:space="0"/>
              <w:left w:val="single" w:color="auto" w:sz="4" w:space="0"/>
              <w:right w:val="single" w:color="auto" w:sz="4" w:space="0"/>
            </w:tcBorders>
            <w:noWrap w:val="0"/>
            <w:vAlign w:val="top"/>
          </w:tcPr>
          <w:p w14:paraId="6D451076">
            <w:pPr>
              <w:rPr>
                <w:rFonts w:hint="eastAsia" w:ascii="宋体" w:hAnsi="宋体" w:eastAsia="宋体" w:cs="宋体"/>
                <w:color w:val="auto"/>
                <w:szCs w:val="21"/>
                <w:highlight w:val="none"/>
              </w:rPr>
            </w:pPr>
            <w:r>
              <w:rPr>
                <w:rFonts w:hint="eastAsia" w:ascii="宋体" w:hAnsi="宋体" w:eastAsia="宋体" w:cs="宋体"/>
                <w:color w:val="auto"/>
                <w:szCs w:val="21"/>
                <w:highlight w:val="none"/>
              </w:rPr>
              <w:t>1……</w:t>
            </w:r>
          </w:p>
        </w:tc>
        <w:tc>
          <w:tcPr>
            <w:tcW w:w="2516" w:type="dxa"/>
            <w:tcBorders>
              <w:top w:val="single" w:color="auto" w:sz="4" w:space="0"/>
              <w:left w:val="single" w:color="auto" w:sz="4" w:space="0"/>
              <w:right w:val="single" w:color="auto" w:sz="4" w:space="0"/>
            </w:tcBorders>
            <w:noWrap w:val="0"/>
            <w:vAlign w:val="top"/>
          </w:tcPr>
          <w:p w14:paraId="1D568282">
            <w:pPr>
              <w:spacing w:line="300" w:lineRule="exact"/>
              <w:rPr>
                <w:rFonts w:hint="eastAsia" w:ascii="宋体" w:hAnsi="宋体" w:eastAsia="宋体" w:cs="宋体"/>
                <w:color w:val="auto"/>
                <w:szCs w:val="21"/>
                <w:highlight w:val="none"/>
              </w:rPr>
            </w:pPr>
            <w:r>
              <w:rPr>
                <w:rFonts w:hint="eastAsia" w:ascii="宋体" w:hAnsi="宋体" w:eastAsia="宋体" w:cs="宋体"/>
                <w:color w:val="auto"/>
                <w:szCs w:val="21"/>
                <w:highlight w:val="none"/>
              </w:rPr>
              <w:t>正偏离（负偏离或无偏离）</w:t>
            </w:r>
          </w:p>
          <w:p w14:paraId="7D8EA3A0">
            <w:pPr>
              <w:spacing w:line="300" w:lineRule="exact"/>
              <w:rPr>
                <w:rFonts w:hint="eastAsia" w:ascii="宋体" w:hAnsi="宋体" w:eastAsia="宋体" w:cs="宋体"/>
                <w:color w:val="auto"/>
                <w:szCs w:val="21"/>
                <w:highlight w:val="none"/>
              </w:rPr>
            </w:pPr>
          </w:p>
        </w:tc>
      </w:tr>
      <w:tr w14:paraId="5F2131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7" w:hRule="atLeast"/>
        </w:trPr>
        <w:tc>
          <w:tcPr>
            <w:tcW w:w="691" w:type="dxa"/>
            <w:vMerge w:val="continue"/>
            <w:tcBorders>
              <w:left w:val="single" w:color="auto" w:sz="4" w:space="0"/>
              <w:right w:val="single" w:color="auto" w:sz="4" w:space="0"/>
            </w:tcBorders>
            <w:noWrap/>
            <w:vAlign w:val="top"/>
          </w:tcPr>
          <w:p w14:paraId="2C4CA106">
            <w:pPr>
              <w:spacing w:line="340" w:lineRule="exact"/>
              <w:rPr>
                <w:rFonts w:hint="eastAsia" w:ascii="宋体" w:hAnsi="宋体" w:eastAsia="宋体" w:cs="宋体"/>
                <w:color w:val="auto"/>
                <w:szCs w:val="21"/>
                <w:highlight w:val="none"/>
              </w:rPr>
            </w:pPr>
          </w:p>
        </w:tc>
        <w:tc>
          <w:tcPr>
            <w:tcW w:w="3757" w:type="dxa"/>
            <w:tcBorders>
              <w:top w:val="single" w:color="auto" w:sz="4" w:space="0"/>
              <w:left w:val="single" w:color="auto" w:sz="4" w:space="0"/>
              <w:bottom w:val="single" w:color="auto" w:sz="4" w:space="0"/>
              <w:right w:val="single" w:color="auto" w:sz="4" w:space="0"/>
            </w:tcBorders>
            <w:noWrap/>
            <w:vAlign w:val="top"/>
          </w:tcPr>
          <w:p w14:paraId="54F0BD5C">
            <w:pPr>
              <w:spacing w:line="340" w:lineRule="exact"/>
              <w:rPr>
                <w:rFonts w:hint="eastAsia" w:ascii="宋体" w:hAnsi="宋体" w:eastAsia="宋体" w:cs="宋体"/>
                <w:color w:val="auto"/>
                <w:szCs w:val="21"/>
                <w:highlight w:val="none"/>
              </w:rPr>
            </w:pPr>
            <w:r>
              <w:rPr>
                <w:rFonts w:hint="eastAsia" w:ascii="宋体" w:hAnsi="宋体" w:eastAsia="宋体" w:cs="宋体"/>
                <w:color w:val="auto"/>
                <w:szCs w:val="21"/>
                <w:highlight w:val="none"/>
              </w:rPr>
              <w:t>2……</w:t>
            </w:r>
          </w:p>
          <w:p w14:paraId="04292038">
            <w:pPr>
              <w:spacing w:line="340" w:lineRule="exact"/>
              <w:rPr>
                <w:rFonts w:hint="eastAsia" w:ascii="宋体" w:hAnsi="宋体" w:eastAsia="宋体" w:cs="宋体"/>
                <w:color w:val="auto"/>
                <w:szCs w:val="21"/>
                <w:highlight w:val="none"/>
              </w:rPr>
            </w:pPr>
          </w:p>
        </w:tc>
        <w:tc>
          <w:tcPr>
            <w:tcW w:w="2516" w:type="dxa"/>
            <w:tcBorders>
              <w:left w:val="single" w:color="auto" w:sz="4" w:space="0"/>
              <w:right w:val="single" w:color="auto" w:sz="4" w:space="0"/>
            </w:tcBorders>
            <w:noWrap w:val="0"/>
            <w:vAlign w:val="top"/>
          </w:tcPr>
          <w:p w14:paraId="44269A67">
            <w:pPr>
              <w:spacing w:line="340" w:lineRule="exact"/>
              <w:rPr>
                <w:rFonts w:hint="eastAsia" w:ascii="宋体" w:hAnsi="宋体" w:eastAsia="宋体" w:cs="宋体"/>
                <w:color w:val="auto"/>
                <w:szCs w:val="21"/>
                <w:highlight w:val="none"/>
              </w:rPr>
            </w:pPr>
            <w:r>
              <w:rPr>
                <w:rFonts w:hint="eastAsia" w:ascii="宋体" w:hAnsi="宋体" w:eastAsia="宋体" w:cs="宋体"/>
                <w:color w:val="auto"/>
                <w:szCs w:val="21"/>
                <w:highlight w:val="none"/>
              </w:rPr>
              <w:t>2……</w:t>
            </w:r>
          </w:p>
          <w:p w14:paraId="270953B6">
            <w:pPr>
              <w:spacing w:line="300" w:lineRule="exact"/>
              <w:rPr>
                <w:rFonts w:hint="eastAsia" w:ascii="宋体" w:hAnsi="宋体" w:eastAsia="宋体" w:cs="宋体"/>
                <w:color w:val="auto"/>
                <w:szCs w:val="21"/>
                <w:highlight w:val="none"/>
              </w:rPr>
            </w:pPr>
          </w:p>
        </w:tc>
        <w:tc>
          <w:tcPr>
            <w:tcW w:w="2516" w:type="dxa"/>
            <w:tcBorders>
              <w:left w:val="single" w:color="auto" w:sz="4" w:space="0"/>
              <w:right w:val="single" w:color="auto" w:sz="4" w:space="0"/>
            </w:tcBorders>
            <w:noWrap w:val="0"/>
            <w:vAlign w:val="top"/>
          </w:tcPr>
          <w:p w14:paraId="76784E1E">
            <w:pPr>
              <w:spacing w:line="300" w:lineRule="exact"/>
              <w:rPr>
                <w:rFonts w:hint="eastAsia" w:ascii="宋体" w:hAnsi="宋体" w:eastAsia="宋体" w:cs="宋体"/>
                <w:color w:val="auto"/>
                <w:szCs w:val="21"/>
                <w:highlight w:val="none"/>
              </w:rPr>
            </w:pPr>
            <w:r>
              <w:rPr>
                <w:rFonts w:hint="eastAsia" w:ascii="宋体" w:hAnsi="宋体" w:eastAsia="宋体" w:cs="宋体"/>
                <w:color w:val="auto"/>
                <w:szCs w:val="21"/>
                <w:highlight w:val="none"/>
              </w:rPr>
              <w:t>正偏离（负偏离或无偏离）</w:t>
            </w:r>
          </w:p>
          <w:p w14:paraId="51B6A289">
            <w:pPr>
              <w:spacing w:line="300" w:lineRule="exact"/>
              <w:rPr>
                <w:rFonts w:hint="eastAsia" w:ascii="宋体" w:hAnsi="宋体" w:eastAsia="宋体" w:cs="宋体"/>
                <w:color w:val="auto"/>
                <w:szCs w:val="21"/>
                <w:highlight w:val="none"/>
              </w:rPr>
            </w:pPr>
          </w:p>
        </w:tc>
      </w:tr>
      <w:tr w14:paraId="2FD932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7" w:hRule="atLeast"/>
        </w:trPr>
        <w:tc>
          <w:tcPr>
            <w:tcW w:w="691" w:type="dxa"/>
            <w:vMerge w:val="continue"/>
            <w:tcBorders>
              <w:left w:val="single" w:color="auto" w:sz="4" w:space="0"/>
              <w:right w:val="single" w:color="auto" w:sz="4" w:space="0"/>
            </w:tcBorders>
            <w:noWrap/>
            <w:vAlign w:val="top"/>
          </w:tcPr>
          <w:p w14:paraId="3B3AB9AD">
            <w:pPr>
              <w:spacing w:line="340" w:lineRule="exact"/>
              <w:rPr>
                <w:rFonts w:hint="eastAsia" w:ascii="宋体" w:hAnsi="宋体" w:eastAsia="宋体" w:cs="宋体"/>
                <w:color w:val="auto"/>
                <w:szCs w:val="21"/>
                <w:highlight w:val="none"/>
              </w:rPr>
            </w:pPr>
          </w:p>
        </w:tc>
        <w:tc>
          <w:tcPr>
            <w:tcW w:w="3757" w:type="dxa"/>
            <w:tcBorders>
              <w:top w:val="single" w:color="auto" w:sz="4" w:space="0"/>
              <w:left w:val="single" w:color="auto" w:sz="4" w:space="0"/>
              <w:bottom w:val="single" w:color="auto" w:sz="4" w:space="0"/>
              <w:right w:val="single" w:color="auto" w:sz="4" w:space="0"/>
            </w:tcBorders>
            <w:noWrap/>
            <w:vAlign w:val="top"/>
          </w:tcPr>
          <w:p w14:paraId="2C1EE199">
            <w:pPr>
              <w:spacing w:line="340" w:lineRule="exact"/>
              <w:rPr>
                <w:rFonts w:hint="eastAsia" w:ascii="宋体" w:hAnsi="宋体" w:eastAsia="宋体" w:cs="宋体"/>
                <w:color w:val="auto"/>
                <w:szCs w:val="21"/>
                <w:highlight w:val="none"/>
              </w:rPr>
            </w:pPr>
            <w:r>
              <w:rPr>
                <w:rFonts w:hint="eastAsia" w:ascii="宋体" w:hAnsi="宋体" w:eastAsia="宋体" w:cs="宋体"/>
                <w:color w:val="auto"/>
                <w:szCs w:val="21"/>
                <w:highlight w:val="none"/>
              </w:rPr>
              <w:t>3……</w:t>
            </w:r>
          </w:p>
          <w:p w14:paraId="65C7FDFC">
            <w:pPr>
              <w:spacing w:line="340" w:lineRule="exact"/>
              <w:rPr>
                <w:rFonts w:hint="eastAsia" w:ascii="宋体" w:hAnsi="宋体" w:eastAsia="宋体" w:cs="宋体"/>
                <w:color w:val="auto"/>
                <w:szCs w:val="21"/>
                <w:highlight w:val="none"/>
              </w:rPr>
            </w:pPr>
          </w:p>
        </w:tc>
        <w:tc>
          <w:tcPr>
            <w:tcW w:w="2516" w:type="dxa"/>
            <w:tcBorders>
              <w:left w:val="single" w:color="auto" w:sz="4" w:space="0"/>
              <w:right w:val="single" w:color="auto" w:sz="4" w:space="0"/>
            </w:tcBorders>
            <w:noWrap w:val="0"/>
            <w:vAlign w:val="top"/>
          </w:tcPr>
          <w:p w14:paraId="7CD9AA81">
            <w:pPr>
              <w:spacing w:line="340" w:lineRule="exact"/>
              <w:rPr>
                <w:rFonts w:hint="eastAsia" w:ascii="宋体" w:hAnsi="宋体" w:eastAsia="宋体" w:cs="宋体"/>
                <w:color w:val="auto"/>
                <w:szCs w:val="21"/>
                <w:highlight w:val="none"/>
              </w:rPr>
            </w:pPr>
            <w:r>
              <w:rPr>
                <w:rFonts w:hint="eastAsia" w:ascii="宋体" w:hAnsi="宋体" w:eastAsia="宋体" w:cs="宋体"/>
                <w:color w:val="auto"/>
                <w:szCs w:val="21"/>
                <w:highlight w:val="none"/>
              </w:rPr>
              <w:t>3……</w:t>
            </w:r>
          </w:p>
          <w:p w14:paraId="2152C5CB">
            <w:pPr>
              <w:spacing w:line="300" w:lineRule="exact"/>
              <w:rPr>
                <w:rFonts w:hint="eastAsia" w:ascii="宋体" w:hAnsi="宋体" w:eastAsia="宋体" w:cs="宋体"/>
                <w:color w:val="auto"/>
                <w:szCs w:val="21"/>
                <w:highlight w:val="none"/>
              </w:rPr>
            </w:pPr>
          </w:p>
        </w:tc>
        <w:tc>
          <w:tcPr>
            <w:tcW w:w="2516" w:type="dxa"/>
            <w:tcBorders>
              <w:left w:val="single" w:color="auto" w:sz="4" w:space="0"/>
              <w:right w:val="single" w:color="auto" w:sz="4" w:space="0"/>
            </w:tcBorders>
            <w:noWrap w:val="0"/>
            <w:vAlign w:val="top"/>
          </w:tcPr>
          <w:p w14:paraId="169D377F">
            <w:pPr>
              <w:spacing w:line="300" w:lineRule="exact"/>
              <w:rPr>
                <w:rFonts w:hint="eastAsia" w:ascii="宋体" w:hAnsi="宋体" w:eastAsia="宋体" w:cs="宋体"/>
                <w:color w:val="auto"/>
                <w:szCs w:val="21"/>
                <w:highlight w:val="none"/>
              </w:rPr>
            </w:pPr>
            <w:r>
              <w:rPr>
                <w:rFonts w:hint="eastAsia" w:ascii="宋体" w:hAnsi="宋体" w:eastAsia="宋体" w:cs="宋体"/>
                <w:color w:val="auto"/>
                <w:szCs w:val="21"/>
                <w:highlight w:val="none"/>
              </w:rPr>
              <w:t>正偏离（负偏离或无偏离）</w:t>
            </w:r>
          </w:p>
          <w:p w14:paraId="5E4011F5">
            <w:pPr>
              <w:spacing w:line="300" w:lineRule="exact"/>
              <w:rPr>
                <w:rFonts w:hint="eastAsia" w:ascii="宋体" w:hAnsi="宋体" w:eastAsia="宋体" w:cs="宋体"/>
                <w:color w:val="auto"/>
                <w:szCs w:val="21"/>
                <w:highlight w:val="none"/>
              </w:rPr>
            </w:pPr>
          </w:p>
        </w:tc>
      </w:tr>
      <w:tr w14:paraId="7E80C3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7" w:hRule="atLeast"/>
        </w:trPr>
        <w:tc>
          <w:tcPr>
            <w:tcW w:w="691" w:type="dxa"/>
            <w:vMerge w:val="continue"/>
            <w:tcBorders>
              <w:left w:val="single" w:color="auto" w:sz="4" w:space="0"/>
              <w:bottom w:val="single" w:color="auto" w:sz="4" w:space="0"/>
              <w:right w:val="single" w:color="auto" w:sz="4" w:space="0"/>
            </w:tcBorders>
            <w:noWrap/>
            <w:vAlign w:val="top"/>
          </w:tcPr>
          <w:p w14:paraId="755F37B7">
            <w:pPr>
              <w:spacing w:line="340" w:lineRule="exact"/>
              <w:rPr>
                <w:rFonts w:hint="eastAsia" w:ascii="宋体" w:hAnsi="宋体" w:eastAsia="宋体" w:cs="宋体"/>
                <w:color w:val="auto"/>
                <w:szCs w:val="21"/>
                <w:highlight w:val="none"/>
              </w:rPr>
            </w:pPr>
          </w:p>
        </w:tc>
        <w:tc>
          <w:tcPr>
            <w:tcW w:w="3757" w:type="dxa"/>
            <w:tcBorders>
              <w:top w:val="single" w:color="auto" w:sz="4" w:space="0"/>
              <w:left w:val="single" w:color="auto" w:sz="4" w:space="0"/>
              <w:bottom w:val="single" w:color="auto" w:sz="4" w:space="0"/>
              <w:right w:val="single" w:color="auto" w:sz="4" w:space="0"/>
            </w:tcBorders>
            <w:noWrap/>
            <w:vAlign w:val="top"/>
          </w:tcPr>
          <w:p w14:paraId="58DB01E2">
            <w:pPr>
              <w:spacing w:line="340" w:lineRule="exact"/>
              <w:rPr>
                <w:rFonts w:hint="eastAsia" w:ascii="宋体" w:hAnsi="宋体" w:eastAsia="宋体" w:cs="宋体"/>
                <w:color w:val="auto"/>
                <w:szCs w:val="21"/>
                <w:highlight w:val="none"/>
              </w:rPr>
            </w:pPr>
            <w:r>
              <w:rPr>
                <w:rFonts w:hint="eastAsia" w:ascii="宋体" w:hAnsi="宋体" w:eastAsia="宋体" w:cs="宋体"/>
                <w:color w:val="auto"/>
                <w:szCs w:val="21"/>
                <w:highlight w:val="none"/>
              </w:rPr>
              <w:t>……</w:t>
            </w:r>
          </w:p>
        </w:tc>
        <w:tc>
          <w:tcPr>
            <w:tcW w:w="2516" w:type="dxa"/>
            <w:tcBorders>
              <w:left w:val="single" w:color="auto" w:sz="4" w:space="0"/>
              <w:bottom w:val="single" w:color="auto" w:sz="4" w:space="0"/>
              <w:right w:val="single" w:color="auto" w:sz="4" w:space="0"/>
            </w:tcBorders>
            <w:noWrap w:val="0"/>
            <w:vAlign w:val="top"/>
          </w:tcPr>
          <w:p w14:paraId="67F53618">
            <w:pPr>
              <w:spacing w:line="300" w:lineRule="exact"/>
              <w:rPr>
                <w:rFonts w:hint="eastAsia" w:ascii="宋体" w:hAnsi="宋体" w:eastAsia="宋体" w:cs="宋体"/>
                <w:color w:val="auto"/>
                <w:szCs w:val="21"/>
                <w:highlight w:val="none"/>
              </w:rPr>
            </w:pPr>
            <w:r>
              <w:rPr>
                <w:rFonts w:hint="eastAsia" w:ascii="宋体" w:hAnsi="宋体" w:eastAsia="宋体" w:cs="宋体"/>
                <w:color w:val="auto"/>
                <w:szCs w:val="21"/>
                <w:highlight w:val="none"/>
              </w:rPr>
              <w:t>……</w:t>
            </w:r>
          </w:p>
        </w:tc>
        <w:tc>
          <w:tcPr>
            <w:tcW w:w="2516" w:type="dxa"/>
            <w:tcBorders>
              <w:left w:val="single" w:color="auto" w:sz="4" w:space="0"/>
              <w:bottom w:val="single" w:color="auto" w:sz="4" w:space="0"/>
              <w:right w:val="single" w:color="auto" w:sz="4" w:space="0"/>
            </w:tcBorders>
            <w:noWrap w:val="0"/>
            <w:vAlign w:val="top"/>
          </w:tcPr>
          <w:p w14:paraId="326F9E11">
            <w:pPr>
              <w:spacing w:line="300" w:lineRule="exact"/>
              <w:rPr>
                <w:rFonts w:hint="eastAsia" w:ascii="宋体" w:hAnsi="宋体" w:eastAsia="宋体" w:cs="宋体"/>
                <w:color w:val="auto"/>
                <w:szCs w:val="21"/>
                <w:highlight w:val="none"/>
              </w:rPr>
            </w:pPr>
            <w:r>
              <w:rPr>
                <w:rFonts w:hint="eastAsia" w:ascii="宋体" w:hAnsi="宋体" w:eastAsia="宋体" w:cs="宋体"/>
                <w:color w:val="auto"/>
                <w:szCs w:val="21"/>
                <w:highlight w:val="none"/>
              </w:rPr>
              <w:t>正偏离（负偏离或无偏离）</w:t>
            </w:r>
          </w:p>
          <w:p w14:paraId="72C1CECB">
            <w:pPr>
              <w:spacing w:line="300" w:lineRule="exact"/>
              <w:rPr>
                <w:rFonts w:hint="eastAsia" w:ascii="宋体" w:hAnsi="宋体" w:eastAsia="宋体" w:cs="宋体"/>
                <w:color w:val="auto"/>
                <w:szCs w:val="21"/>
                <w:highlight w:val="none"/>
              </w:rPr>
            </w:pPr>
          </w:p>
        </w:tc>
      </w:tr>
      <w:tr w14:paraId="3E79BF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0" w:hRule="atLeast"/>
        </w:trPr>
        <w:tc>
          <w:tcPr>
            <w:tcW w:w="691" w:type="dxa"/>
            <w:vMerge w:val="restart"/>
            <w:tcBorders>
              <w:top w:val="single" w:color="auto" w:sz="4" w:space="0"/>
              <w:left w:val="single" w:color="auto" w:sz="4" w:space="0"/>
              <w:right w:val="single" w:color="auto" w:sz="4" w:space="0"/>
            </w:tcBorders>
            <w:noWrap/>
            <w:vAlign w:val="top"/>
          </w:tcPr>
          <w:p w14:paraId="649BB386">
            <w:pPr>
              <w:spacing w:line="340" w:lineRule="exact"/>
              <w:rPr>
                <w:rFonts w:hint="eastAsia" w:ascii="宋体" w:hAnsi="宋体" w:eastAsia="宋体" w:cs="宋体"/>
                <w:color w:val="auto"/>
                <w:szCs w:val="21"/>
                <w:highlight w:val="none"/>
              </w:rPr>
            </w:pPr>
            <w:r>
              <w:rPr>
                <w:rFonts w:hint="eastAsia" w:ascii="宋体" w:hAnsi="宋体" w:eastAsia="宋体" w:cs="宋体"/>
                <w:color w:val="auto"/>
                <w:szCs w:val="21"/>
                <w:highlight w:val="none"/>
              </w:rPr>
              <w:t>……</w:t>
            </w:r>
          </w:p>
        </w:tc>
        <w:tc>
          <w:tcPr>
            <w:tcW w:w="3757" w:type="dxa"/>
            <w:tcBorders>
              <w:top w:val="single" w:color="auto" w:sz="4" w:space="0"/>
              <w:left w:val="single" w:color="auto" w:sz="4" w:space="0"/>
              <w:bottom w:val="single" w:color="auto" w:sz="4" w:space="0"/>
              <w:right w:val="single" w:color="auto" w:sz="4" w:space="0"/>
            </w:tcBorders>
            <w:noWrap/>
            <w:vAlign w:val="top"/>
          </w:tcPr>
          <w:p w14:paraId="17386618">
            <w:pPr>
              <w:rPr>
                <w:rFonts w:hint="eastAsia" w:ascii="宋体" w:hAnsi="宋体" w:eastAsia="宋体" w:cs="宋体"/>
                <w:color w:val="auto"/>
                <w:szCs w:val="21"/>
                <w:highlight w:val="none"/>
              </w:rPr>
            </w:pPr>
            <w:r>
              <w:rPr>
                <w:rFonts w:hint="eastAsia" w:ascii="宋体" w:hAnsi="宋体" w:eastAsia="宋体" w:cs="宋体"/>
                <w:color w:val="auto"/>
                <w:szCs w:val="21"/>
                <w:highlight w:val="none"/>
              </w:rPr>
              <w:t>1……</w:t>
            </w:r>
          </w:p>
        </w:tc>
        <w:tc>
          <w:tcPr>
            <w:tcW w:w="2516" w:type="dxa"/>
            <w:tcBorders>
              <w:top w:val="single" w:color="auto" w:sz="4" w:space="0"/>
              <w:left w:val="single" w:color="auto" w:sz="4" w:space="0"/>
              <w:right w:val="single" w:color="auto" w:sz="4" w:space="0"/>
            </w:tcBorders>
            <w:noWrap w:val="0"/>
            <w:vAlign w:val="top"/>
          </w:tcPr>
          <w:p w14:paraId="1E2655F9">
            <w:pPr>
              <w:rPr>
                <w:rFonts w:hint="eastAsia" w:ascii="宋体" w:hAnsi="宋体" w:eastAsia="宋体" w:cs="宋体"/>
                <w:color w:val="auto"/>
                <w:szCs w:val="21"/>
                <w:highlight w:val="none"/>
              </w:rPr>
            </w:pPr>
            <w:r>
              <w:rPr>
                <w:rFonts w:hint="eastAsia" w:ascii="宋体" w:hAnsi="宋体" w:eastAsia="宋体" w:cs="宋体"/>
                <w:color w:val="auto"/>
                <w:szCs w:val="21"/>
                <w:highlight w:val="none"/>
              </w:rPr>
              <w:t>1……</w:t>
            </w:r>
          </w:p>
        </w:tc>
        <w:tc>
          <w:tcPr>
            <w:tcW w:w="2516" w:type="dxa"/>
            <w:tcBorders>
              <w:top w:val="single" w:color="auto" w:sz="4" w:space="0"/>
              <w:left w:val="single" w:color="auto" w:sz="4" w:space="0"/>
              <w:right w:val="single" w:color="auto" w:sz="4" w:space="0"/>
            </w:tcBorders>
            <w:noWrap w:val="0"/>
            <w:vAlign w:val="top"/>
          </w:tcPr>
          <w:p w14:paraId="7166304E">
            <w:pPr>
              <w:spacing w:line="300" w:lineRule="exact"/>
              <w:rPr>
                <w:rFonts w:hint="eastAsia" w:ascii="宋体" w:hAnsi="宋体" w:eastAsia="宋体" w:cs="宋体"/>
                <w:color w:val="auto"/>
                <w:szCs w:val="21"/>
                <w:highlight w:val="none"/>
              </w:rPr>
            </w:pPr>
            <w:r>
              <w:rPr>
                <w:rFonts w:hint="eastAsia" w:ascii="宋体" w:hAnsi="宋体" w:eastAsia="宋体" w:cs="宋体"/>
                <w:color w:val="auto"/>
                <w:szCs w:val="21"/>
                <w:highlight w:val="none"/>
              </w:rPr>
              <w:t>正偏离（负偏离或无偏离）</w:t>
            </w:r>
          </w:p>
          <w:p w14:paraId="4FF544CD">
            <w:pPr>
              <w:spacing w:line="300" w:lineRule="exact"/>
              <w:rPr>
                <w:rFonts w:hint="eastAsia" w:ascii="宋体" w:hAnsi="宋体" w:eastAsia="宋体" w:cs="宋体"/>
                <w:color w:val="auto"/>
                <w:szCs w:val="21"/>
                <w:highlight w:val="none"/>
              </w:rPr>
            </w:pPr>
          </w:p>
        </w:tc>
      </w:tr>
      <w:tr w14:paraId="19391E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7" w:hRule="atLeast"/>
        </w:trPr>
        <w:tc>
          <w:tcPr>
            <w:tcW w:w="691" w:type="dxa"/>
            <w:vMerge w:val="continue"/>
            <w:tcBorders>
              <w:left w:val="single" w:color="auto" w:sz="4" w:space="0"/>
              <w:right w:val="single" w:color="auto" w:sz="4" w:space="0"/>
            </w:tcBorders>
            <w:noWrap/>
            <w:vAlign w:val="top"/>
          </w:tcPr>
          <w:p w14:paraId="5810DA1D">
            <w:pPr>
              <w:spacing w:line="340" w:lineRule="exact"/>
              <w:rPr>
                <w:rFonts w:hint="eastAsia" w:ascii="宋体" w:hAnsi="宋体" w:eastAsia="宋体" w:cs="宋体"/>
                <w:color w:val="auto"/>
                <w:szCs w:val="21"/>
                <w:highlight w:val="none"/>
              </w:rPr>
            </w:pPr>
          </w:p>
        </w:tc>
        <w:tc>
          <w:tcPr>
            <w:tcW w:w="3757" w:type="dxa"/>
            <w:tcBorders>
              <w:top w:val="single" w:color="auto" w:sz="4" w:space="0"/>
              <w:left w:val="single" w:color="auto" w:sz="4" w:space="0"/>
              <w:bottom w:val="single" w:color="auto" w:sz="4" w:space="0"/>
              <w:right w:val="single" w:color="auto" w:sz="4" w:space="0"/>
            </w:tcBorders>
            <w:noWrap/>
            <w:vAlign w:val="top"/>
          </w:tcPr>
          <w:p w14:paraId="23B4C5C6">
            <w:pPr>
              <w:spacing w:line="340" w:lineRule="exact"/>
              <w:rPr>
                <w:rFonts w:hint="eastAsia" w:ascii="宋体" w:hAnsi="宋体" w:eastAsia="宋体" w:cs="宋体"/>
                <w:color w:val="auto"/>
                <w:szCs w:val="21"/>
                <w:highlight w:val="none"/>
              </w:rPr>
            </w:pPr>
            <w:r>
              <w:rPr>
                <w:rFonts w:hint="eastAsia" w:ascii="宋体" w:hAnsi="宋体" w:eastAsia="宋体" w:cs="宋体"/>
                <w:color w:val="auto"/>
                <w:szCs w:val="21"/>
                <w:highlight w:val="none"/>
              </w:rPr>
              <w:t>2……</w:t>
            </w:r>
          </w:p>
          <w:p w14:paraId="131122BC">
            <w:pPr>
              <w:spacing w:line="340" w:lineRule="exact"/>
              <w:rPr>
                <w:rFonts w:hint="eastAsia" w:ascii="宋体" w:hAnsi="宋体" w:eastAsia="宋体" w:cs="宋体"/>
                <w:color w:val="auto"/>
                <w:szCs w:val="21"/>
                <w:highlight w:val="none"/>
              </w:rPr>
            </w:pPr>
          </w:p>
        </w:tc>
        <w:tc>
          <w:tcPr>
            <w:tcW w:w="2516" w:type="dxa"/>
            <w:tcBorders>
              <w:left w:val="single" w:color="auto" w:sz="4" w:space="0"/>
              <w:right w:val="single" w:color="auto" w:sz="4" w:space="0"/>
            </w:tcBorders>
            <w:noWrap w:val="0"/>
            <w:vAlign w:val="top"/>
          </w:tcPr>
          <w:p w14:paraId="41524034">
            <w:pPr>
              <w:spacing w:line="340" w:lineRule="exact"/>
              <w:rPr>
                <w:rFonts w:hint="eastAsia" w:ascii="宋体" w:hAnsi="宋体" w:eastAsia="宋体" w:cs="宋体"/>
                <w:color w:val="auto"/>
                <w:szCs w:val="21"/>
                <w:highlight w:val="none"/>
              </w:rPr>
            </w:pPr>
            <w:r>
              <w:rPr>
                <w:rFonts w:hint="eastAsia" w:ascii="宋体" w:hAnsi="宋体" w:eastAsia="宋体" w:cs="宋体"/>
                <w:color w:val="auto"/>
                <w:szCs w:val="21"/>
                <w:highlight w:val="none"/>
              </w:rPr>
              <w:t>2……</w:t>
            </w:r>
          </w:p>
          <w:p w14:paraId="6B43B281">
            <w:pPr>
              <w:spacing w:line="300" w:lineRule="exact"/>
              <w:rPr>
                <w:rFonts w:hint="eastAsia" w:ascii="宋体" w:hAnsi="宋体" w:eastAsia="宋体" w:cs="宋体"/>
                <w:color w:val="auto"/>
                <w:szCs w:val="21"/>
                <w:highlight w:val="none"/>
              </w:rPr>
            </w:pPr>
          </w:p>
        </w:tc>
        <w:tc>
          <w:tcPr>
            <w:tcW w:w="2516" w:type="dxa"/>
            <w:tcBorders>
              <w:left w:val="single" w:color="auto" w:sz="4" w:space="0"/>
              <w:right w:val="single" w:color="auto" w:sz="4" w:space="0"/>
            </w:tcBorders>
            <w:noWrap w:val="0"/>
            <w:vAlign w:val="top"/>
          </w:tcPr>
          <w:p w14:paraId="1F6431E1">
            <w:pPr>
              <w:spacing w:line="300" w:lineRule="exact"/>
              <w:rPr>
                <w:rFonts w:hint="eastAsia" w:ascii="宋体" w:hAnsi="宋体" w:eastAsia="宋体" w:cs="宋体"/>
                <w:color w:val="auto"/>
                <w:szCs w:val="21"/>
                <w:highlight w:val="none"/>
              </w:rPr>
            </w:pPr>
            <w:r>
              <w:rPr>
                <w:rFonts w:hint="eastAsia" w:ascii="宋体" w:hAnsi="宋体" w:eastAsia="宋体" w:cs="宋体"/>
                <w:color w:val="auto"/>
                <w:szCs w:val="21"/>
                <w:highlight w:val="none"/>
              </w:rPr>
              <w:t>正偏离（负偏离或无偏离）</w:t>
            </w:r>
          </w:p>
          <w:p w14:paraId="51D1B553">
            <w:pPr>
              <w:spacing w:line="300" w:lineRule="exact"/>
              <w:rPr>
                <w:rFonts w:hint="eastAsia" w:ascii="宋体" w:hAnsi="宋体" w:eastAsia="宋体" w:cs="宋体"/>
                <w:color w:val="auto"/>
                <w:szCs w:val="21"/>
                <w:highlight w:val="none"/>
              </w:rPr>
            </w:pPr>
          </w:p>
        </w:tc>
      </w:tr>
      <w:tr w14:paraId="26C002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7" w:hRule="atLeast"/>
        </w:trPr>
        <w:tc>
          <w:tcPr>
            <w:tcW w:w="691" w:type="dxa"/>
            <w:vMerge w:val="continue"/>
            <w:tcBorders>
              <w:left w:val="single" w:color="auto" w:sz="4" w:space="0"/>
              <w:right w:val="single" w:color="auto" w:sz="4" w:space="0"/>
            </w:tcBorders>
            <w:noWrap/>
            <w:vAlign w:val="top"/>
          </w:tcPr>
          <w:p w14:paraId="259B1A6A">
            <w:pPr>
              <w:spacing w:line="340" w:lineRule="exact"/>
              <w:rPr>
                <w:rFonts w:hint="eastAsia" w:ascii="宋体" w:hAnsi="宋体" w:eastAsia="宋体" w:cs="宋体"/>
                <w:color w:val="auto"/>
                <w:szCs w:val="21"/>
                <w:highlight w:val="none"/>
              </w:rPr>
            </w:pPr>
          </w:p>
        </w:tc>
        <w:tc>
          <w:tcPr>
            <w:tcW w:w="3757" w:type="dxa"/>
            <w:tcBorders>
              <w:top w:val="single" w:color="auto" w:sz="4" w:space="0"/>
              <w:left w:val="single" w:color="auto" w:sz="4" w:space="0"/>
              <w:bottom w:val="single" w:color="auto" w:sz="4" w:space="0"/>
              <w:right w:val="single" w:color="auto" w:sz="4" w:space="0"/>
            </w:tcBorders>
            <w:noWrap/>
            <w:vAlign w:val="top"/>
          </w:tcPr>
          <w:p w14:paraId="6AC846BD">
            <w:pPr>
              <w:spacing w:line="340" w:lineRule="exact"/>
              <w:rPr>
                <w:rFonts w:hint="eastAsia" w:ascii="宋体" w:hAnsi="宋体" w:eastAsia="宋体" w:cs="宋体"/>
                <w:color w:val="auto"/>
                <w:szCs w:val="21"/>
                <w:highlight w:val="none"/>
              </w:rPr>
            </w:pPr>
            <w:r>
              <w:rPr>
                <w:rFonts w:hint="eastAsia" w:ascii="宋体" w:hAnsi="宋体" w:eastAsia="宋体" w:cs="宋体"/>
                <w:color w:val="auto"/>
                <w:szCs w:val="21"/>
                <w:highlight w:val="none"/>
              </w:rPr>
              <w:t>3……</w:t>
            </w:r>
          </w:p>
          <w:p w14:paraId="34E5E0C2">
            <w:pPr>
              <w:spacing w:line="340" w:lineRule="exact"/>
              <w:rPr>
                <w:rFonts w:hint="eastAsia" w:ascii="宋体" w:hAnsi="宋体" w:eastAsia="宋体" w:cs="宋体"/>
                <w:color w:val="auto"/>
                <w:szCs w:val="21"/>
                <w:highlight w:val="none"/>
              </w:rPr>
            </w:pPr>
          </w:p>
        </w:tc>
        <w:tc>
          <w:tcPr>
            <w:tcW w:w="2516" w:type="dxa"/>
            <w:tcBorders>
              <w:left w:val="single" w:color="auto" w:sz="4" w:space="0"/>
              <w:right w:val="single" w:color="auto" w:sz="4" w:space="0"/>
            </w:tcBorders>
            <w:noWrap w:val="0"/>
            <w:vAlign w:val="top"/>
          </w:tcPr>
          <w:p w14:paraId="465AA3F3">
            <w:pPr>
              <w:spacing w:line="340" w:lineRule="exact"/>
              <w:rPr>
                <w:rFonts w:hint="eastAsia" w:ascii="宋体" w:hAnsi="宋体" w:eastAsia="宋体" w:cs="宋体"/>
                <w:color w:val="auto"/>
                <w:szCs w:val="21"/>
                <w:highlight w:val="none"/>
              </w:rPr>
            </w:pPr>
            <w:r>
              <w:rPr>
                <w:rFonts w:hint="eastAsia" w:ascii="宋体" w:hAnsi="宋体" w:eastAsia="宋体" w:cs="宋体"/>
                <w:color w:val="auto"/>
                <w:szCs w:val="21"/>
                <w:highlight w:val="none"/>
              </w:rPr>
              <w:t>3……</w:t>
            </w:r>
          </w:p>
          <w:p w14:paraId="79AD43D4">
            <w:pPr>
              <w:spacing w:line="300" w:lineRule="exact"/>
              <w:rPr>
                <w:rFonts w:hint="eastAsia" w:ascii="宋体" w:hAnsi="宋体" w:eastAsia="宋体" w:cs="宋体"/>
                <w:color w:val="auto"/>
                <w:szCs w:val="21"/>
                <w:highlight w:val="none"/>
              </w:rPr>
            </w:pPr>
          </w:p>
        </w:tc>
        <w:tc>
          <w:tcPr>
            <w:tcW w:w="2516" w:type="dxa"/>
            <w:tcBorders>
              <w:left w:val="single" w:color="auto" w:sz="4" w:space="0"/>
              <w:right w:val="single" w:color="auto" w:sz="4" w:space="0"/>
            </w:tcBorders>
            <w:noWrap w:val="0"/>
            <w:vAlign w:val="top"/>
          </w:tcPr>
          <w:p w14:paraId="716DC2CC">
            <w:pPr>
              <w:spacing w:line="300" w:lineRule="exact"/>
              <w:rPr>
                <w:rFonts w:hint="eastAsia" w:ascii="宋体" w:hAnsi="宋体" w:eastAsia="宋体" w:cs="宋体"/>
                <w:color w:val="auto"/>
                <w:szCs w:val="21"/>
                <w:highlight w:val="none"/>
              </w:rPr>
            </w:pPr>
            <w:r>
              <w:rPr>
                <w:rFonts w:hint="eastAsia" w:ascii="宋体" w:hAnsi="宋体" w:eastAsia="宋体" w:cs="宋体"/>
                <w:color w:val="auto"/>
                <w:szCs w:val="21"/>
                <w:highlight w:val="none"/>
              </w:rPr>
              <w:t>正偏离（负偏离或无偏离）</w:t>
            </w:r>
          </w:p>
          <w:p w14:paraId="554481C1">
            <w:pPr>
              <w:spacing w:line="300" w:lineRule="exact"/>
              <w:rPr>
                <w:rFonts w:hint="eastAsia" w:ascii="宋体" w:hAnsi="宋体" w:eastAsia="宋体" w:cs="宋体"/>
                <w:color w:val="auto"/>
                <w:szCs w:val="21"/>
                <w:highlight w:val="none"/>
              </w:rPr>
            </w:pPr>
          </w:p>
        </w:tc>
      </w:tr>
      <w:tr w14:paraId="0BA125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7" w:hRule="atLeast"/>
        </w:trPr>
        <w:tc>
          <w:tcPr>
            <w:tcW w:w="691" w:type="dxa"/>
            <w:vMerge w:val="continue"/>
            <w:tcBorders>
              <w:left w:val="single" w:color="auto" w:sz="4" w:space="0"/>
              <w:bottom w:val="single" w:color="auto" w:sz="4" w:space="0"/>
              <w:right w:val="single" w:color="auto" w:sz="4" w:space="0"/>
            </w:tcBorders>
            <w:noWrap/>
            <w:vAlign w:val="top"/>
          </w:tcPr>
          <w:p w14:paraId="770B2007">
            <w:pPr>
              <w:spacing w:line="340" w:lineRule="exact"/>
              <w:rPr>
                <w:rFonts w:hint="eastAsia" w:ascii="宋体" w:hAnsi="宋体" w:eastAsia="宋体" w:cs="宋体"/>
                <w:color w:val="auto"/>
                <w:szCs w:val="21"/>
                <w:highlight w:val="none"/>
              </w:rPr>
            </w:pPr>
          </w:p>
        </w:tc>
        <w:tc>
          <w:tcPr>
            <w:tcW w:w="3757" w:type="dxa"/>
            <w:tcBorders>
              <w:top w:val="single" w:color="auto" w:sz="4" w:space="0"/>
              <w:left w:val="single" w:color="auto" w:sz="4" w:space="0"/>
              <w:bottom w:val="single" w:color="auto" w:sz="4" w:space="0"/>
              <w:right w:val="single" w:color="auto" w:sz="4" w:space="0"/>
            </w:tcBorders>
            <w:noWrap/>
            <w:vAlign w:val="top"/>
          </w:tcPr>
          <w:p w14:paraId="3C82621D">
            <w:pPr>
              <w:spacing w:line="340" w:lineRule="exact"/>
              <w:rPr>
                <w:rFonts w:hint="eastAsia" w:ascii="宋体" w:hAnsi="宋体" w:eastAsia="宋体" w:cs="宋体"/>
                <w:color w:val="auto"/>
                <w:szCs w:val="21"/>
                <w:highlight w:val="none"/>
              </w:rPr>
            </w:pPr>
            <w:r>
              <w:rPr>
                <w:rFonts w:hint="eastAsia" w:ascii="宋体" w:hAnsi="宋体" w:eastAsia="宋体" w:cs="宋体"/>
                <w:color w:val="auto"/>
                <w:szCs w:val="21"/>
                <w:highlight w:val="none"/>
              </w:rPr>
              <w:t>……</w:t>
            </w:r>
          </w:p>
        </w:tc>
        <w:tc>
          <w:tcPr>
            <w:tcW w:w="2516" w:type="dxa"/>
            <w:tcBorders>
              <w:left w:val="single" w:color="auto" w:sz="4" w:space="0"/>
              <w:bottom w:val="single" w:color="auto" w:sz="4" w:space="0"/>
              <w:right w:val="single" w:color="auto" w:sz="4" w:space="0"/>
            </w:tcBorders>
            <w:noWrap w:val="0"/>
            <w:vAlign w:val="top"/>
          </w:tcPr>
          <w:p w14:paraId="37677D96">
            <w:pPr>
              <w:spacing w:line="300" w:lineRule="exact"/>
              <w:rPr>
                <w:rFonts w:hint="eastAsia" w:ascii="宋体" w:hAnsi="宋体" w:eastAsia="宋体" w:cs="宋体"/>
                <w:color w:val="auto"/>
                <w:szCs w:val="21"/>
                <w:highlight w:val="none"/>
              </w:rPr>
            </w:pPr>
            <w:r>
              <w:rPr>
                <w:rFonts w:hint="eastAsia" w:ascii="宋体" w:hAnsi="宋体" w:eastAsia="宋体" w:cs="宋体"/>
                <w:color w:val="auto"/>
                <w:szCs w:val="21"/>
                <w:highlight w:val="none"/>
              </w:rPr>
              <w:t>……</w:t>
            </w:r>
          </w:p>
        </w:tc>
        <w:tc>
          <w:tcPr>
            <w:tcW w:w="2516" w:type="dxa"/>
            <w:tcBorders>
              <w:left w:val="single" w:color="auto" w:sz="4" w:space="0"/>
              <w:bottom w:val="single" w:color="auto" w:sz="4" w:space="0"/>
              <w:right w:val="single" w:color="auto" w:sz="4" w:space="0"/>
            </w:tcBorders>
            <w:noWrap w:val="0"/>
            <w:vAlign w:val="top"/>
          </w:tcPr>
          <w:p w14:paraId="72087EBE">
            <w:pPr>
              <w:spacing w:line="300" w:lineRule="exact"/>
              <w:rPr>
                <w:rFonts w:hint="eastAsia" w:ascii="宋体" w:hAnsi="宋体" w:eastAsia="宋体" w:cs="宋体"/>
                <w:color w:val="auto"/>
                <w:szCs w:val="21"/>
                <w:highlight w:val="none"/>
              </w:rPr>
            </w:pPr>
            <w:r>
              <w:rPr>
                <w:rFonts w:hint="eastAsia" w:ascii="宋体" w:hAnsi="宋体" w:eastAsia="宋体" w:cs="宋体"/>
                <w:color w:val="auto"/>
                <w:szCs w:val="21"/>
                <w:highlight w:val="none"/>
              </w:rPr>
              <w:t>正偏离（负偏离或无偏离）</w:t>
            </w:r>
          </w:p>
          <w:p w14:paraId="2F2B6F2A">
            <w:pPr>
              <w:spacing w:line="300" w:lineRule="exact"/>
              <w:rPr>
                <w:rFonts w:hint="eastAsia" w:ascii="宋体" w:hAnsi="宋体" w:eastAsia="宋体" w:cs="宋体"/>
                <w:color w:val="auto"/>
                <w:szCs w:val="21"/>
                <w:highlight w:val="none"/>
              </w:rPr>
            </w:pPr>
          </w:p>
        </w:tc>
      </w:tr>
      <w:tr w14:paraId="015BD0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7" w:hRule="atLeast"/>
        </w:trPr>
        <w:tc>
          <w:tcPr>
            <w:tcW w:w="9480" w:type="dxa"/>
            <w:gridSpan w:val="4"/>
            <w:tcBorders>
              <w:top w:val="single" w:color="auto" w:sz="4" w:space="0"/>
              <w:left w:val="single" w:color="auto" w:sz="4" w:space="0"/>
              <w:bottom w:val="single" w:color="auto" w:sz="4" w:space="0"/>
              <w:right w:val="single" w:color="auto" w:sz="4" w:space="0"/>
            </w:tcBorders>
            <w:noWrap/>
            <w:vAlign w:val="top"/>
          </w:tcPr>
          <w:p w14:paraId="1210EC38">
            <w:pPr>
              <w:spacing w:line="340" w:lineRule="exact"/>
              <w:rPr>
                <w:rFonts w:hint="eastAsia" w:ascii="宋体" w:hAnsi="宋体" w:eastAsia="宋体" w:cs="宋体"/>
                <w:color w:val="auto"/>
                <w:szCs w:val="21"/>
                <w:highlight w:val="none"/>
              </w:rPr>
            </w:pPr>
            <w:r>
              <w:rPr>
                <w:rFonts w:hint="eastAsia" w:ascii="宋体" w:hAnsi="宋体" w:eastAsia="宋体" w:cs="宋体"/>
                <w:color w:val="auto"/>
                <w:szCs w:val="21"/>
                <w:highlight w:val="none"/>
                <w:u w:val="single"/>
              </w:rPr>
              <w:t>　　</w:t>
            </w:r>
            <w:r>
              <w:rPr>
                <w:rFonts w:hint="eastAsia" w:ascii="宋体" w:hAnsi="宋体" w:eastAsia="宋体" w:cs="宋体"/>
                <w:color w:val="auto"/>
                <w:szCs w:val="21"/>
                <w:highlight w:val="none"/>
              </w:rPr>
              <w:t>分标（此处有分标时填写具体分标号，无分标时填写“无”）</w:t>
            </w:r>
          </w:p>
        </w:tc>
      </w:tr>
    </w:tbl>
    <w:p w14:paraId="1C1C73C0">
      <w:pPr>
        <w:pStyle w:val="18"/>
        <w:spacing w:line="360" w:lineRule="auto"/>
        <w:ind w:left="-708" w:leftChars="-337"/>
        <w:rPr>
          <w:rFonts w:hint="eastAsia" w:ascii="宋体" w:hAnsi="宋体" w:eastAsia="宋体" w:cs="宋体"/>
          <w:color w:val="auto"/>
          <w:highlight w:val="none"/>
        </w:rPr>
      </w:pPr>
    </w:p>
    <w:p w14:paraId="28E1668F">
      <w:pPr>
        <w:pStyle w:val="18"/>
        <w:spacing w:line="360" w:lineRule="auto"/>
        <w:ind w:left="-708" w:leftChars="-337"/>
        <w:rPr>
          <w:rFonts w:hint="eastAsia" w:ascii="宋体" w:hAnsi="宋体" w:eastAsia="宋体" w:cs="宋体"/>
          <w:color w:val="auto"/>
          <w:highlight w:val="none"/>
        </w:rPr>
      </w:pPr>
      <w:r>
        <w:rPr>
          <w:rFonts w:hint="eastAsia" w:ascii="宋体" w:hAnsi="宋体" w:eastAsia="宋体" w:cs="宋体"/>
          <w:color w:val="auto"/>
          <w:highlight w:val="none"/>
        </w:rPr>
        <w:t>注：</w:t>
      </w:r>
    </w:p>
    <w:p w14:paraId="1BBAA28B">
      <w:pPr>
        <w:pStyle w:val="18"/>
        <w:spacing w:line="360" w:lineRule="auto"/>
        <w:ind w:left="-708" w:leftChars="-337"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1.表格内容均需按要求填写并盖章，不得留空</w:t>
      </w:r>
      <w:r>
        <w:rPr>
          <w:rFonts w:hint="eastAsia" w:ascii="宋体" w:hAnsi="宋体" w:eastAsia="宋体" w:cs="宋体"/>
          <w:b/>
          <w:bCs/>
          <w:color w:val="auto"/>
          <w:highlight w:val="none"/>
        </w:rPr>
        <w:t>，否则按投标无效处理</w:t>
      </w:r>
      <w:r>
        <w:rPr>
          <w:rFonts w:hint="eastAsia" w:ascii="宋体" w:hAnsi="宋体" w:eastAsia="宋体" w:cs="宋体"/>
          <w:color w:val="auto"/>
          <w:highlight w:val="none"/>
        </w:rPr>
        <w:t>。</w:t>
      </w:r>
    </w:p>
    <w:p w14:paraId="0A9151C2">
      <w:pPr>
        <w:pStyle w:val="18"/>
        <w:spacing w:line="360" w:lineRule="auto"/>
        <w:ind w:left="-603" w:leftChars="-287" w:firstLine="315" w:firstLineChars="150"/>
        <w:rPr>
          <w:rFonts w:hint="eastAsia" w:ascii="宋体" w:hAnsi="宋体" w:eastAsia="宋体" w:cs="宋体"/>
          <w:color w:val="auto"/>
          <w:highlight w:val="none"/>
        </w:rPr>
      </w:pPr>
      <w:r>
        <w:rPr>
          <w:rFonts w:hint="eastAsia" w:ascii="宋体" w:hAnsi="宋体" w:eastAsia="宋体" w:cs="宋体"/>
          <w:color w:val="auto"/>
          <w:highlight w:val="none"/>
        </w:rPr>
        <w:t>2.当投标文件的商务内容低于招标文件要求时，投标人应当如实写明“负偏离”，否则视为虚假应标。</w:t>
      </w:r>
    </w:p>
    <w:p w14:paraId="6B635389">
      <w:pPr>
        <w:pStyle w:val="18"/>
        <w:spacing w:line="360" w:lineRule="auto"/>
        <w:ind w:left="-708" w:leftChars="-337" w:firstLine="420" w:firstLineChars="200"/>
        <w:rPr>
          <w:rFonts w:hint="eastAsia" w:ascii="宋体" w:hAnsi="宋体" w:eastAsia="宋体" w:cs="宋体"/>
          <w:color w:val="auto"/>
          <w:highlight w:val="none"/>
        </w:rPr>
      </w:pPr>
      <w:r>
        <w:rPr>
          <w:rFonts w:hint="eastAsia" w:ascii="宋体" w:hAnsi="宋体" w:eastAsia="宋体" w:cs="宋体"/>
          <w:color w:val="auto"/>
          <w:szCs w:val="21"/>
          <w:highlight w:val="none"/>
        </w:rPr>
        <w:t>3.采购需求中带“▲”及“★”的条款，也要分别在本表“投标文件的商务需求”、“投标文件承诺的商务条款”中标记。</w:t>
      </w:r>
    </w:p>
    <w:p w14:paraId="2B46F67D">
      <w:pPr>
        <w:snapToGrid w:val="0"/>
        <w:spacing w:before="50" w:after="50"/>
        <w:rPr>
          <w:rFonts w:hint="eastAsia" w:ascii="宋体" w:hAnsi="宋体" w:eastAsia="宋体" w:cs="宋体"/>
          <w:color w:val="auto"/>
          <w:sz w:val="24"/>
          <w:highlight w:val="none"/>
        </w:rPr>
      </w:pPr>
    </w:p>
    <w:p w14:paraId="6236DABB">
      <w:pPr>
        <w:snapToGrid w:val="0"/>
        <w:spacing w:line="360" w:lineRule="auto"/>
        <w:ind w:firstLine="5640" w:firstLineChars="2350"/>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lang w:val="zh-CN"/>
        </w:rPr>
        <w:t>投标人名称(电子签章)：</w:t>
      </w:r>
    </w:p>
    <w:p w14:paraId="2879987F">
      <w:pPr>
        <w:snapToGrid w:val="0"/>
        <w:spacing w:line="360" w:lineRule="auto"/>
        <w:ind w:firstLine="5160" w:firstLineChars="2150"/>
        <w:rPr>
          <w:rFonts w:hint="eastAsia" w:ascii="宋体" w:hAnsi="宋体" w:eastAsia="宋体" w:cs="宋体"/>
          <w:color w:val="auto"/>
          <w:kern w:val="0"/>
          <w:sz w:val="24"/>
          <w:highlight w:val="none"/>
          <w:lang w:val="zh-CN"/>
        </w:rPr>
      </w:pPr>
      <w:r>
        <w:rPr>
          <w:rFonts w:hint="eastAsia" w:ascii="宋体" w:hAnsi="宋体" w:eastAsia="宋体" w:cs="宋体"/>
          <w:color w:val="auto"/>
          <w:kern w:val="0"/>
          <w:sz w:val="24"/>
          <w:highlight w:val="none"/>
          <w:lang w:val="zh-CN"/>
        </w:rPr>
        <w:t>日期</w:t>
      </w:r>
      <w:r>
        <w:rPr>
          <w:rFonts w:hint="eastAsia" w:ascii="宋体" w:hAnsi="宋体" w:eastAsia="宋体" w:cs="宋体"/>
          <w:color w:val="auto"/>
          <w:kern w:val="0"/>
          <w:sz w:val="24"/>
          <w:highlight w:val="none"/>
        </w:rPr>
        <w:t>：年</w:t>
      </w:r>
      <w:r>
        <w:rPr>
          <w:rFonts w:hint="eastAsia" w:ascii="宋体" w:hAnsi="宋体" w:eastAsia="宋体" w:cs="宋体"/>
          <w:color w:val="auto"/>
          <w:kern w:val="0"/>
          <w:sz w:val="24"/>
          <w:highlight w:val="none"/>
          <w:lang w:val="zh-CN"/>
        </w:rPr>
        <w:t>月日</w:t>
      </w:r>
    </w:p>
    <w:p w14:paraId="6A05530D">
      <w:pPr>
        <w:widowControl/>
        <w:jc w:val="left"/>
        <w:rPr>
          <w:rFonts w:hint="eastAsia" w:ascii="宋体" w:hAnsi="宋体" w:eastAsia="宋体" w:cs="宋体"/>
          <w:color w:val="auto"/>
          <w:szCs w:val="21"/>
          <w:highlight w:val="none"/>
        </w:rPr>
        <w:sectPr>
          <w:pgSz w:w="11906" w:h="16838"/>
          <w:pgMar w:top="1440" w:right="1797" w:bottom="1440" w:left="1797" w:header="851" w:footer="992" w:gutter="0"/>
          <w:cols w:space="720" w:num="1"/>
        </w:sectPr>
      </w:pPr>
    </w:p>
    <w:p w14:paraId="54A002E5">
      <w:pPr>
        <w:snapToGrid w:val="0"/>
        <w:spacing w:before="165" w:beforeLines="50" w:after="50"/>
        <w:ind w:firstLine="602" w:firstLineChars="200"/>
        <w:jc w:val="center"/>
        <w:rPr>
          <w:rFonts w:hint="eastAsia" w:ascii="宋体" w:hAnsi="宋体" w:eastAsia="宋体" w:cs="宋体"/>
          <w:b/>
          <w:bCs/>
          <w:color w:val="auto"/>
          <w:sz w:val="30"/>
          <w:szCs w:val="30"/>
          <w:highlight w:val="none"/>
        </w:rPr>
      </w:pPr>
      <w:r>
        <w:rPr>
          <w:rFonts w:hint="eastAsia" w:ascii="宋体" w:hAnsi="宋体" w:eastAsia="宋体" w:cs="宋体"/>
          <w:b/>
          <w:bCs/>
          <w:color w:val="auto"/>
          <w:sz w:val="30"/>
          <w:szCs w:val="30"/>
          <w:highlight w:val="none"/>
        </w:rPr>
        <w:t>五、投标人情况介绍</w:t>
      </w:r>
    </w:p>
    <w:p w14:paraId="1F4062C0">
      <w:pPr>
        <w:spacing w:line="360" w:lineRule="auto"/>
        <w:ind w:firstLine="4048" w:firstLineChars="1687"/>
        <w:rPr>
          <w:rFonts w:hint="eastAsia" w:ascii="宋体" w:hAnsi="宋体" w:eastAsia="宋体" w:cs="宋体"/>
          <w:color w:val="auto"/>
          <w:kern w:val="0"/>
          <w:sz w:val="24"/>
          <w:highlight w:val="none"/>
        </w:rPr>
      </w:pPr>
      <w:r>
        <w:rPr>
          <w:rFonts w:hint="eastAsia" w:ascii="宋体" w:hAnsi="宋体" w:eastAsia="宋体" w:cs="宋体"/>
          <w:color w:val="auto"/>
          <w:sz w:val="24"/>
          <w:highlight w:val="none"/>
        </w:rPr>
        <w:t>（格式自拟）</w:t>
      </w:r>
    </w:p>
    <w:p w14:paraId="636BE233">
      <w:pPr>
        <w:snapToGrid w:val="0"/>
        <w:spacing w:line="360" w:lineRule="auto"/>
        <w:ind w:firstLine="4935" w:firstLineChars="2350"/>
        <w:rPr>
          <w:rFonts w:hint="eastAsia" w:ascii="宋体" w:hAnsi="宋体" w:eastAsia="宋体" w:cs="宋体"/>
          <w:color w:val="auto"/>
          <w:szCs w:val="21"/>
          <w:highlight w:val="none"/>
          <w:lang w:eastAsia="zh-CN"/>
        </w:rPr>
      </w:pPr>
    </w:p>
    <w:p w14:paraId="782575AC">
      <w:pPr>
        <w:snapToGrid w:val="0"/>
        <w:spacing w:line="360" w:lineRule="auto"/>
        <w:ind w:firstLine="4935" w:firstLineChars="2350"/>
        <w:rPr>
          <w:rFonts w:hint="eastAsia" w:ascii="宋体" w:hAnsi="宋体" w:eastAsia="宋体" w:cs="宋体"/>
          <w:color w:val="auto"/>
          <w:szCs w:val="21"/>
          <w:highlight w:val="none"/>
        </w:rPr>
      </w:pPr>
    </w:p>
    <w:p w14:paraId="7F776109">
      <w:pPr>
        <w:snapToGrid w:val="0"/>
        <w:spacing w:line="360" w:lineRule="auto"/>
        <w:ind w:firstLine="4935" w:firstLineChars="2350"/>
        <w:rPr>
          <w:rFonts w:hint="eastAsia" w:ascii="宋体" w:hAnsi="宋体" w:eastAsia="宋体" w:cs="宋体"/>
          <w:color w:val="auto"/>
          <w:szCs w:val="21"/>
          <w:highlight w:val="none"/>
        </w:rPr>
      </w:pPr>
    </w:p>
    <w:p w14:paraId="2C944193">
      <w:pPr>
        <w:snapToGrid w:val="0"/>
        <w:spacing w:line="360" w:lineRule="auto"/>
        <w:ind w:firstLine="4935" w:firstLineChars="2350"/>
        <w:rPr>
          <w:rFonts w:hint="eastAsia" w:ascii="宋体" w:hAnsi="宋体" w:eastAsia="宋体" w:cs="宋体"/>
          <w:color w:val="auto"/>
          <w:szCs w:val="21"/>
          <w:highlight w:val="none"/>
        </w:rPr>
      </w:pPr>
    </w:p>
    <w:p w14:paraId="0025C892">
      <w:pPr>
        <w:snapToGrid w:val="0"/>
        <w:spacing w:line="360" w:lineRule="auto"/>
        <w:ind w:firstLine="5640" w:firstLineChars="2350"/>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lang w:val="zh-CN"/>
        </w:rPr>
        <w:t>投标人名称(电子签章)：</w:t>
      </w:r>
    </w:p>
    <w:p w14:paraId="799DE79D">
      <w:pPr>
        <w:snapToGrid w:val="0"/>
        <w:spacing w:line="360" w:lineRule="auto"/>
        <w:ind w:firstLine="5160" w:firstLineChars="2150"/>
        <w:rPr>
          <w:rFonts w:hint="eastAsia" w:ascii="宋体" w:hAnsi="宋体" w:eastAsia="宋体" w:cs="宋体"/>
          <w:color w:val="auto"/>
          <w:kern w:val="0"/>
          <w:sz w:val="24"/>
          <w:highlight w:val="none"/>
          <w:lang w:val="zh-CN"/>
        </w:rPr>
      </w:pPr>
      <w:r>
        <w:rPr>
          <w:rFonts w:hint="eastAsia" w:ascii="宋体" w:hAnsi="宋体" w:eastAsia="宋体" w:cs="宋体"/>
          <w:color w:val="auto"/>
          <w:kern w:val="0"/>
          <w:sz w:val="24"/>
          <w:highlight w:val="none"/>
          <w:lang w:val="zh-CN"/>
        </w:rPr>
        <w:t>日期</w:t>
      </w:r>
      <w:r>
        <w:rPr>
          <w:rFonts w:hint="eastAsia" w:ascii="宋体" w:hAnsi="宋体" w:eastAsia="宋体" w:cs="宋体"/>
          <w:color w:val="auto"/>
          <w:kern w:val="0"/>
          <w:sz w:val="24"/>
          <w:highlight w:val="none"/>
        </w:rPr>
        <w:t>：年</w:t>
      </w:r>
      <w:r>
        <w:rPr>
          <w:rFonts w:hint="eastAsia" w:ascii="宋体" w:hAnsi="宋体" w:eastAsia="宋体" w:cs="宋体"/>
          <w:color w:val="auto"/>
          <w:kern w:val="0"/>
          <w:sz w:val="24"/>
          <w:highlight w:val="none"/>
          <w:lang w:val="zh-CN"/>
        </w:rPr>
        <w:t>月日</w:t>
      </w:r>
    </w:p>
    <w:p w14:paraId="3741A19B">
      <w:pPr>
        <w:snapToGrid w:val="0"/>
        <w:spacing w:before="165" w:beforeLines="50" w:after="50"/>
        <w:ind w:firstLine="602" w:firstLineChars="200"/>
        <w:jc w:val="center"/>
        <w:rPr>
          <w:rFonts w:hint="eastAsia" w:ascii="宋体" w:hAnsi="宋体" w:eastAsia="宋体" w:cs="宋体"/>
          <w:b/>
          <w:bCs/>
          <w:color w:val="auto"/>
          <w:sz w:val="30"/>
          <w:szCs w:val="30"/>
          <w:highlight w:val="none"/>
        </w:rPr>
      </w:pPr>
    </w:p>
    <w:p w14:paraId="56454041">
      <w:pPr>
        <w:widowControl/>
        <w:jc w:val="left"/>
        <w:rPr>
          <w:rFonts w:hint="eastAsia" w:ascii="宋体" w:hAnsi="宋体" w:eastAsia="宋体" w:cs="宋体"/>
          <w:b/>
          <w:bCs/>
          <w:color w:val="auto"/>
          <w:sz w:val="30"/>
          <w:szCs w:val="30"/>
          <w:highlight w:val="none"/>
        </w:rPr>
        <w:sectPr>
          <w:pgSz w:w="11906" w:h="16838"/>
          <w:pgMar w:top="1134" w:right="1134" w:bottom="1134" w:left="1134" w:header="720" w:footer="720" w:gutter="0"/>
          <w:cols w:space="720" w:num="1"/>
          <w:docGrid w:type="lines" w:linePitch="331" w:charSpace="0"/>
        </w:sectPr>
      </w:pPr>
    </w:p>
    <w:p w14:paraId="15B7E813">
      <w:pPr>
        <w:snapToGrid w:val="0"/>
        <w:spacing w:before="165" w:beforeLines="50" w:after="50"/>
        <w:ind w:firstLine="602" w:firstLineChars="200"/>
        <w:jc w:val="center"/>
        <w:rPr>
          <w:rFonts w:hint="eastAsia" w:ascii="宋体" w:hAnsi="宋体" w:eastAsia="宋体" w:cs="宋体"/>
          <w:b/>
          <w:bCs/>
          <w:color w:val="auto"/>
          <w:sz w:val="30"/>
          <w:szCs w:val="30"/>
          <w:highlight w:val="none"/>
        </w:rPr>
      </w:pPr>
      <w:r>
        <w:rPr>
          <w:rFonts w:hint="eastAsia" w:ascii="宋体" w:hAnsi="宋体" w:eastAsia="宋体" w:cs="宋体"/>
          <w:b/>
          <w:bCs/>
          <w:color w:val="auto"/>
          <w:sz w:val="30"/>
          <w:szCs w:val="30"/>
          <w:highlight w:val="none"/>
        </w:rPr>
        <w:t>六、投标人类似的业绩证明文件（如有要求）</w:t>
      </w:r>
    </w:p>
    <w:p w14:paraId="48C7D18B">
      <w:pPr>
        <w:pStyle w:val="27"/>
        <w:snapToGrid w:val="0"/>
        <w:ind w:left="480" w:hanging="480"/>
        <w:rPr>
          <w:rFonts w:hint="eastAsia" w:ascii="宋体" w:hAnsi="宋体" w:eastAsia="宋体" w:cs="宋体"/>
          <w:color w:val="auto"/>
          <w:sz w:val="24"/>
          <w:highlight w:val="none"/>
        </w:rPr>
      </w:pPr>
    </w:p>
    <w:p w14:paraId="5E0BBCD6">
      <w:pPr>
        <w:pStyle w:val="27"/>
        <w:snapToGrid w:val="0"/>
        <w:ind w:left="480" w:hanging="480"/>
        <w:rPr>
          <w:rFonts w:hint="eastAsia" w:ascii="宋体" w:hAnsi="宋体" w:eastAsia="宋体" w:cs="宋体"/>
          <w:color w:val="auto"/>
          <w:sz w:val="24"/>
          <w:highlight w:val="none"/>
        </w:rPr>
      </w:pPr>
    </w:p>
    <w:p w14:paraId="1D20C6C2">
      <w:pPr>
        <w:pStyle w:val="27"/>
        <w:snapToGrid w:val="0"/>
        <w:ind w:left="480" w:hanging="480"/>
        <w:rPr>
          <w:rFonts w:hint="eastAsia" w:ascii="宋体" w:hAnsi="宋体" w:eastAsia="宋体" w:cs="宋体"/>
          <w:color w:val="auto"/>
          <w:sz w:val="24"/>
          <w:highlight w:val="none"/>
        </w:rPr>
      </w:pPr>
    </w:p>
    <w:p w14:paraId="699F0C46">
      <w:pPr>
        <w:autoSpaceDE w:val="0"/>
        <w:autoSpaceDN w:val="0"/>
        <w:spacing w:line="360" w:lineRule="auto"/>
        <w:ind w:firstLine="120"/>
        <w:rPr>
          <w:rFonts w:hint="eastAsia" w:ascii="宋体" w:hAnsi="宋体" w:eastAsia="宋体" w:cs="宋体"/>
          <w:color w:val="auto"/>
          <w:sz w:val="24"/>
          <w:highlight w:val="none"/>
        </w:rPr>
      </w:pPr>
      <w:r>
        <w:rPr>
          <w:rFonts w:hint="eastAsia" w:ascii="宋体" w:hAnsi="宋体" w:eastAsia="宋体" w:cs="宋体"/>
          <w:b/>
          <w:color w:val="auto"/>
          <w:sz w:val="24"/>
          <w:highlight w:val="none"/>
        </w:rPr>
        <w:t>附表:相关项目业绩一览表（投标人同类项目合同复印件、用户验收报告、用户评价意见格式自拟）</w:t>
      </w:r>
    </w:p>
    <w:tbl>
      <w:tblPr>
        <w:tblStyle w:val="35"/>
        <w:tblW w:w="0" w:type="auto"/>
        <w:tblInd w:w="113"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2628"/>
        <w:gridCol w:w="3420"/>
        <w:gridCol w:w="1715"/>
        <w:gridCol w:w="1559"/>
        <w:gridCol w:w="1559"/>
        <w:gridCol w:w="1418"/>
        <w:gridCol w:w="2268"/>
      </w:tblGrid>
      <w:tr w14:paraId="1BB9485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487" w:hRule="atLeast"/>
        </w:trPr>
        <w:tc>
          <w:tcPr>
            <w:tcW w:w="2628" w:type="dxa"/>
            <w:vMerge w:val="restart"/>
            <w:tcBorders>
              <w:top w:val="single" w:color="auto" w:sz="4" w:space="0"/>
              <w:left w:val="single" w:color="auto" w:sz="4" w:space="0"/>
              <w:bottom w:val="single" w:color="auto" w:sz="4" w:space="0"/>
              <w:right w:val="single" w:color="auto" w:sz="4" w:space="0"/>
            </w:tcBorders>
            <w:noWrap w:val="0"/>
            <w:vAlign w:val="center"/>
          </w:tcPr>
          <w:p w14:paraId="29B03BE5">
            <w:pPr>
              <w:snapToGrid w:val="0"/>
              <w:spacing w:line="240" w:lineRule="exact"/>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采购人名称</w:t>
            </w:r>
          </w:p>
        </w:tc>
        <w:tc>
          <w:tcPr>
            <w:tcW w:w="3420" w:type="dxa"/>
            <w:vMerge w:val="restart"/>
            <w:tcBorders>
              <w:top w:val="single" w:color="auto" w:sz="4" w:space="0"/>
              <w:left w:val="single" w:color="auto" w:sz="4" w:space="0"/>
              <w:bottom w:val="single" w:color="auto" w:sz="4" w:space="0"/>
              <w:right w:val="single" w:color="auto" w:sz="4" w:space="0"/>
            </w:tcBorders>
            <w:noWrap w:val="0"/>
            <w:vAlign w:val="center"/>
          </w:tcPr>
          <w:p w14:paraId="79CC2FC2">
            <w:pPr>
              <w:snapToGrid w:val="0"/>
              <w:spacing w:line="240" w:lineRule="exact"/>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项目名称</w:t>
            </w:r>
          </w:p>
        </w:tc>
        <w:tc>
          <w:tcPr>
            <w:tcW w:w="1715" w:type="dxa"/>
            <w:vMerge w:val="restart"/>
            <w:tcBorders>
              <w:top w:val="single" w:color="auto" w:sz="4" w:space="0"/>
              <w:left w:val="single" w:color="auto" w:sz="4" w:space="0"/>
              <w:bottom w:val="single" w:color="auto" w:sz="4" w:space="0"/>
              <w:right w:val="single" w:color="auto" w:sz="4" w:space="0"/>
            </w:tcBorders>
            <w:noWrap w:val="0"/>
            <w:vAlign w:val="center"/>
          </w:tcPr>
          <w:p w14:paraId="2B65BE0C">
            <w:pPr>
              <w:snapToGrid w:val="0"/>
              <w:spacing w:line="240" w:lineRule="exact"/>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合同</w:t>
            </w:r>
          </w:p>
          <w:p w14:paraId="182A271D">
            <w:pPr>
              <w:snapToGrid w:val="0"/>
              <w:spacing w:line="240" w:lineRule="exact"/>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金额</w:t>
            </w:r>
          </w:p>
          <w:p w14:paraId="5298E801">
            <w:pPr>
              <w:snapToGrid w:val="0"/>
              <w:spacing w:line="240" w:lineRule="exact"/>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（万元）</w:t>
            </w:r>
          </w:p>
        </w:tc>
        <w:tc>
          <w:tcPr>
            <w:tcW w:w="4536" w:type="dxa"/>
            <w:gridSpan w:val="3"/>
            <w:tcBorders>
              <w:top w:val="single" w:color="auto" w:sz="4" w:space="0"/>
              <w:left w:val="single" w:color="auto" w:sz="4" w:space="0"/>
              <w:bottom w:val="single" w:color="auto" w:sz="4" w:space="0"/>
              <w:right w:val="single" w:color="auto" w:sz="4" w:space="0"/>
            </w:tcBorders>
            <w:noWrap w:val="0"/>
            <w:vAlign w:val="center"/>
          </w:tcPr>
          <w:p w14:paraId="3898B99C">
            <w:pPr>
              <w:snapToGrid w:val="0"/>
              <w:spacing w:line="240" w:lineRule="exact"/>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附件在投标文件中页码</w:t>
            </w:r>
          </w:p>
        </w:tc>
        <w:tc>
          <w:tcPr>
            <w:tcW w:w="2268" w:type="dxa"/>
            <w:vMerge w:val="restart"/>
            <w:tcBorders>
              <w:top w:val="single" w:color="auto" w:sz="4" w:space="0"/>
              <w:left w:val="single" w:color="auto" w:sz="4" w:space="0"/>
              <w:bottom w:val="single" w:color="auto" w:sz="4" w:space="0"/>
              <w:right w:val="single" w:color="auto" w:sz="4" w:space="0"/>
            </w:tcBorders>
            <w:noWrap w:val="0"/>
            <w:vAlign w:val="center"/>
          </w:tcPr>
          <w:p w14:paraId="4BE7388B">
            <w:pPr>
              <w:snapToGrid w:val="0"/>
              <w:spacing w:line="240" w:lineRule="exact"/>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采购人联系人及</w:t>
            </w:r>
          </w:p>
          <w:p w14:paraId="74A12BF7">
            <w:pPr>
              <w:snapToGrid w:val="0"/>
              <w:spacing w:line="240" w:lineRule="exact"/>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联系电话</w:t>
            </w:r>
          </w:p>
        </w:tc>
      </w:tr>
      <w:tr w14:paraId="3F68CB4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836" w:hRule="atLeast"/>
        </w:trPr>
        <w:tc>
          <w:tcPr>
            <w:tcW w:w="2628" w:type="dxa"/>
            <w:vMerge w:val="continue"/>
            <w:tcBorders>
              <w:top w:val="single" w:color="auto" w:sz="4" w:space="0"/>
              <w:left w:val="single" w:color="auto" w:sz="4" w:space="0"/>
              <w:bottom w:val="single" w:color="auto" w:sz="4" w:space="0"/>
              <w:right w:val="single" w:color="auto" w:sz="4" w:space="0"/>
            </w:tcBorders>
            <w:noWrap w:val="0"/>
            <w:vAlign w:val="center"/>
          </w:tcPr>
          <w:p w14:paraId="61511E11">
            <w:pPr>
              <w:widowControl/>
              <w:jc w:val="left"/>
              <w:rPr>
                <w:rFonts w:hint="eastAsia" w:ascii="宋体" w:hAnsi="宋体" w:eastAsia="宋体" w:cs="宋体"/>
                <w:color w:val="auto"/>
                <w:sz w:val="24"/>
                <w:highlight w:val="none"/>
              </w:rPr>
            </w:pPr>
          </w:p>
        </w:tc>
        <w:tc>
          <w:tcPr>
            <w:tcW w:w="3420" w:type="dxa"/>
            <w:vMerge w:val="continue"/>
            <w:tcBorders>
              <w:top w:val="single" w:color="auto" w:sz="4" w:space="0"/>
              <w:left w:val="single" w:color="auto" w:sz="4" w:space="0"/>
              <w:bottom w:val="single" w:color="auto" w:sz="4" w:space="0"/>
              <w:right w:val="single" w:color="auto" w:sz="4" w:space="0"/>
            </w:tcBorders>
            <w:noWrap w:val="0"/>
            <w:vAlign w:val="center"/>
          </w:tcPr>
          <w:p w14:paraId="670C9BDF">
            <w:pPr>
              <w:widowControl/>
              <w:jc w:val="left"/>
              <w:rPr>
                <w:rFonts w:hint="eastAsia" w:ascii="宋体" w:hAnsi="宋体" w:eastAsia="宋体" w:cs="宋体"/>
                <w:color w:val="auto"/>
                <w:sz w:val="24"/>
                <w:highlight w:val="none"/>
              </w:rPr>
            </w:pPr>
          </w:p>
        </w:tc>
        <w:tc>
          <w:tcPr>
            <w:tcW w:w="1715" w:type="dxa"/>
            <w:vMerge w:val="continue"/>
            <w:tcBorders>
              <w:top w:val="single" w:color="auto" w:sz="4" w:space="0"/>
              <w:left w:val="single" w:color="auto" w:sz="4" w:space="0"/>
              <w:bottom w:val="single" w:color="auto" w:sz="4" w:space="0"/>
              <w:right w:val="single" w:color="auto" w:sz="4" w:space="0"/>
            </w:tcBorders>
            <w:noWrap w:val="0"/>
            <w:vAlign w:val="center"/>
          </w:tcPr>
          <w:p w14:paraId="73260B39">
            <w:pPr>
              <w:widowControl/>
              <w:jc w:val="left"/>
              <w:rPr>
                <w:rFonts w:hint="eastAsia" w:ascii="宋体" w:hAnsi="宋体" w:eastAsia="宋体" w:cs="宋体"/>
                <w:color w:val="auto"/>
                <w:sz w:val="24"/>
                <w:highlight w:val="none"/>
              </w:rPr>
            </w:pPr>
          </w:p>
        </w:tc>
        <w:tc>
          <w:tcPr>
            <w:tcW w:w="1559" w:type="dxa"/>
            <w:tcBorders>
              <w:top w:val="single" w:color="auto" w:sz="4" w:space="0"/>
              <w:left w:val="single" w:color="auto" w:sz="4" w:space="0"/>
              <w:bottom w:val="single" w:color="auto" w:sz="4" w:space="0"/>
              <w:right w:val="single" w:color="auto" w:sz="4" w:space="0"/>
            </w:tcBorders>
            <w:noWrap w:val="0"/>
            <w:vAlign w:val="center"/>
          </w:tcPr>
          <w:p w14:paraId="47BAFE69">
            <w:pPr>
              <w:snapToGrid w:val="0"/>
              <w:spacing w:line="240" w:lineRule="exact"/>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合同</w:t>
            </w:r>
          </w:p>
        </w:tc>
        <w:tc>
          <w:tcPr>
            <w:tcW w:w="1559" w:type="dxa"/>
            <w:tcBorders>
              <w:top w:val="single" w:color="auto" w:sz="4" w:space="0"/>
              <w:left w:val="single" w:color="auto" w:sz="4" w:space="0"/>
              <w:bottom w:val="single" w:color="auto" w:sz="4" w:space="0"/>
              <w:right w:val="single" w:color="auto" w:sz="4" w:space="0"/>
            </w:tcBorders>
            <w:noWrap w:val="0"/>
            <w:vAlign w:val="center"/>
          </w:tcPr>
          <w:p w14:paraId="47F7EB84">
            <w:pPr>
              <w:snapToGrid w:val="0"/>
              <w:spacing w:line="240" w:lineRule="exact"/>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验收报告</w:t>
            </w:r>
          </w:p>
        </w:tc>
        <w:tc>
          <w:tcPr>
            <w:tcW w:w="1418" w:type="dxa"/>
            <w:tcBorders>
              <w:top w:val="single" w:color="auto" w:sz="4" w:space="0"/>
              <w:left w:val="single" w:color="auto" w:sz="4" w:space="0"/>
              <w:bottom w:val="single" w:color="auto" w:sz="4" w:space="0"/>
              <w:right w:val="single" w:color="auto" w:sz="4" w:space="0"/>
            </w:tcBorders>
            <w:noWrap w:val="0"/>
            <w:vAlign w:val="center"/>
          </w:tcPr>
          <w:p w14:paraId="346C88A4">
            <w:pPr>
              <w:snapToGrid w:val="0"/>
              <w:spacing w:line="240" w:lineRule="exact"/>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用户评价</w:t>
            </w:r>
          </w:p>
        </w:tc>
        <w:tc>
          <w:tcPr>
            <w:tcW w:w="2268" w:type="dxa"/>
            <w:vMerge w:val="continue"/>
            <w:tcBorders>
              <w:top w:val="single" w:color="auto" w:sz="4" w:space="0"/>
              <w:left w:val="single" w:color="auto" w:sz="4" w:space="0"/>
              <w:bottom w:val="single" w:color="auto" w:sz="4" w:space="0"/>
              <w:right w:val="single" w:color="auto" w:sz="4" w:space="0"/>
            </w:tcBorders>
            <w:noWrap w:val="0"/>
            <w:vAlign w:val="center"/>
          </w:tcPr>
          <w:p w14:paraId="0624CCD4">
            <w:pPr>
              <w:widowControl/>
              <w:jc w:val="left"/>
              <w:rPr>
                <w:rFonts w:hint="eastAsia" w:ascii="宋体" w:hAnsi="宋体" w:eastAsia="宋体" w:cs="宋体"/>
                <w:color w:val="auto"/>
                <w:sz w:val="24"/>
                <w:highlight w:val="none"/>
              </w:rPr>
            </w:pPr>
          </w:p>
        </w:tc>
      </w:tr>
      <w:tr w14:paraId="13DD6F4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49" w:hRule="atLeast"/>
        </w:trPr>
        <w:tc>
          <w:tcPr>
            <w:tcW w:w="2628" w:type="dxa"/>
            <w:tcBorders>
              <w:top w:val="single" w:color="auto" w:sz="4" w:space="0"/>
              <w:left w:val="single" w:color="auto" w:sz="4" w:space="0"/>
              <w:bottom w:val="single" w:color="auto" w:sz="4" w:space="0"/>
              <w:right w:val="single" w:color="auto" w:sz="4" w:space="0"/>
            </w:tcBorders>
            <w:noWrap w:val="0"/>
            <w:vAlign w:val="top"/>
          </w:tcPr>
          <w:p w14:paraId="36A48841">
            <w:pPr>
              <w:snapToGrid w:val="0"/>
              <w:spacing w:line="240" w:lineRule="exact"/>
              <w:jc w:val="left"/>
              <w:rPr>
                <w:rFonts w:hint="eastAsia" w:ascii="宋体" w:hAnsi="宋体" w:eastAsia="宋体" w:cs="宋体"/>
                <w:color w:val="auto"/>
                <w:sz w:val="24"/>
                <w:highlight w:val="none"/>
              </w:rPr>
            </w:pPr>
          </w:p>
        </w:tc>
        <w:tc>
          <w:tcPr>
            <w:tcW w:w="3420" w:type="dxa"/>
            <w:tcBorders>
              <w:top w:val="single" w:color="auto" w:sz="4" w:space="0"/>
              <w:left w:val="single" w:color="auto" w:sz="4" w:space="0"/>
              <w:bottom w:val="single" w:color="auto" w:sz="4" w:space="0"/>
              <w:right w:val="single" w:color="auto" w:sz="4" w:space="0"/>
            </w:tcBorders>
            <w:noWrap w:val="0"/>
            <w:vAlign w:val="top"/>
          </w:tcPr>
          <w:p w14:paraId="56BFB787">
            <w:pPr>
              <w:snapToGrid w:val="0"/>
              <w:spacing w:line="240" w:lineRule="exact"/>
              <w:jc w:val="left"/>
              <w:rPr>
                <w:rFonts w:hint="eastAsia" w:ascii="宋体" w:hAnsi="宋体" w:eastAsia="宋体" w:cs="宋体"/>
                <w:color w:val="auto"/>
                <w:sz w:val="24"/>
                <w:highlight w:val="none"/>
              </w:rPr>
            </w:pPr>
          </w:p>
        </w:tc>
        <w:tc>
          <w:tcPr>
            <w:tcW w:w="1715" w:type="dxa"/>
            <w:tcBorders>
              <w:top w:val="single" w:color="auto" w:sz="4" w:space="0"/>
              <w:left w:val="single" w:color="auto" w:sz="4" w:space="0"/>
              <w:bottom w:val="single" w:color="auto" w:sz="4" w:space="0"/>
              <w:right w:val="single" w:color="auto" w:sz="4" w:space="0"/>
            </w:tcBorders>
            <w:noWrap w:val="0"/>
            <w:vAlign w:val="top"/>
          </w:tcPr>
          <w:p w14:paraId="679C003E">
            <w:pPr>
              <w:snapToGrid w:val="0"/>
              <w:spacing w:line="240" w:lineRule="exact"/>
              <w:jc w:val="left"/>
              <w:rPr>
                <w:rFonts w:hint="eastAsia" w:ascii="宋体" w:hAnsi="宋体" w:eastAsia="宋体" w:cs="宋体"/>
                <w:color w:val="auto"/>
                <w:sz w:val="24"/>
                <w:highlight w:val="none"/>
              </w:rPr>
            </w:pPr>
          </w:p>
        </w:tc>
        <w:tc>
          <w:tcPr>
            <w:tcW w:w="1559" w:type="dxa"/>
            <w:tcBorders>
              <w:top w:val="single" w:color="auto" w:sz="4" w:space="0"/>
              <w:left w:val="single" w:color="auto" w:sz="4" w:space="0"/>
              <w:bottom w:val="single" w:color="auto" w:sz="4" w:space="0"/>
              <w:right w:val="single" w:color="auto" w:sz="4" w:space="0"/>
            </w:tcBorders>
            <w:noWrap w:val="0"/>
            <w:vAlign w:val="top"/>
          </w:tcPr>
          <w:p w14:paraId="3CAA3DA2">
            <w:pPr>
              <w:snapToGrid w:val="0"/>
              <w:spacing w:line="240" w:lineRule="exact"/>
              <w:jc w:val="left"/>
              <w:rPr>
                <w:rFonts w:hint="eastAsia" w:ascii="宋体" w:hAnsi="宋体" w:eastAsia="宋体" w:cs="宋体"/>
                <w:color w:val="auto"/>
                <w:sz w:val="24"/>
                <w:highlight w:val="none"/>
              </w:rPr>
            </w:pPr>
          </w:p>
        </w:tc>
        <w:tc>
          <w:tcPr>
            <w:tcW w:w="1559" w:type="dxa"/>
            <w:tcBorders>
              <w:top w:val="single" w:color="auto" w:sz="4" w:space="0"/>
              <w:left w:val="single" w:color="auto" w:sz="4" w:space="0"/>
              <w:bottom w:val="single" w:color="auto" w:sz="4" w:space="0"/>
              <w:right w:val="single" w:color="auto" w:sz="4" w:space="0"/>
            </w:tcBorders>
            <w:noWrap w:val="0"/>
            <w:vAlign w:val="top"/>
          </w:tcPr>
          <w:p w14:paraId="3EB59259">
            <w:pPr>
              <w:snapToGrid w:val="0"/>
              <w:spacing w:line="240" w:lineRule="exact"/>
              <w:jc w:val="left"/>
              <w:rPr>
                <w:rFonts w:hint="eastAsia" w:ascii="宋体" w:hAnsi="宋体" w:eastAsia="宋体" w:cs="宋体"/>
                <w:color w:val="auto"/>
                <w:sz w:val="24"/>
                <w:highlight w:val="none"/>
              </w:rPr>
            </w:pPr>
          </w:p>
        </w:tc>
        <w:tc>
          <w:tcPr>
            <w:tcW w:w="1418" w:type="dxa"/>
            <w:tcBorders>
              <w:top w:val="single" w:color="auto" w:sz="4" w:space="0"/>
              <w:left w:val="single" w:color="auto" w:sz="4" w:space="0"/>
              <w:bottom w:val="single" w:color="auto" w:sz="4" w:space="0"/>
              <w:right w:val="single" w:color="auto" w:sz="4" w:space="0"/>
            </w:tcBorders>
            <w:noWrap w:val="0"/>
            <w:vAlign w:val="top"/>
          </w:tcPr>
          <w:p w14:paraId="541FD561">
            <w:pPr>
              <w:snapToGrid w:val="0"/>
              <w:spacing w:line="240" w:lineRule="exact"/>
              <w:jc w:val="left"/>
              <w:rPr>
                <w:rFonts w:hint="eastAsia" w:ascii="宋体" w:hAnsi="宋体" w:eastAsia="宋体" w:cs="宋体"/>
                <w:color w:val="auto"/>
                <w:sz w:val="24"/>
                <w:highlight w:val="none"/>
              </w:rPr>
            </w:pPr>
          </w:p>
        </w:tc>
        <w:tc>
          <w:tcPr>
            <w:tcW w:w="2268" w:type="dxa"/>
            <w:tcBorders>
              <w:top w:val="single" w:color="auto" w:sz="4" w:space="0"/>
              <w:left w:val="single" w:color="auto" w:sz="4" w:space="0"/>
              <w:bottom w:val="single" w:color="auto" w:sz="4" w:space="0"/>
              <w:right w:val="single" w:color="auto" w:sz="4" w:space="0"/>
            </w:tcBorders>
            <w:noWrap w:val="0"/>
            <w:vAlign w:val="top"/>
          </w:tcPr>
          <w:p w14:paraId="285DADBD">
            <w:pPr>
              <w:snapToGrid w:val="0"/>
              <w:spacing w:line="240" w:lineRule="exact"/>
              <w:jc w:val="left"/>
              <w:rPr>
                <w:rFonts w:hint="eastAsia" w:ascii="宋体" w:hAnsi="宋体" w:eastAsia="宋体" w:cs="宋体"/>
                <w:color w:val="auto"/>
                <w:sz w:val="24"/>
                <w:highlight w:val="none"/>
              </w:rPr>
            </w:pPr>
          </w:p>
        </w:tc>
      </w:tr>
      <w:tr w14:paraId="454E2EA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628" w:type="dxa"/>
            <w:tcBorders>
              <w:top w:val="single" w:color="auto" w:sz="4" w:space="0"/>
              <w:left w:val="single" w:color="auto" w:sz="4" w:space="0"/>
              <w:bottom w:val="single" w:color="auto" w:sz="4" w:space="0"/>
              <w:right w:val="single" w:color="auto" w:sz="4" w:space="0"/>
            </w:tcBorders>
            <w:noWrap w:val="0"/>
            <w:vAlign w:val="top"/>
          </w:tcPr>
          <w:p w14:paraId="70628735">
            <w:pPr>
              <w:snapToGrid w:val="0"/>
              <w:spacing w:before="50" w:after="165" w:afterLines="50" w:line="400" w:lineRule="exact"/>
              <w:jc w:val="left"/>
              <w:rPr>
                <w:rFonts w:hint="eastAsia" w:ascii="宋体" w:hAnsi="宋体" w:eastAsia="宋体" w:cs="宋体"/>
                <w:color w:val="auto"/>
                <w:sz w:val="24"/>
                <w:highlight w:val="none"/>
              </w:rPr>
            </w:pPr>
          </w:p>
        </w:tc>
        <w:tc>
          <w:tcPr>
            <w:tcW w:w="3420" w:type="dxa"/>
            <w:tcBorders>
              <w:top w:val="single" w:color="auto" w:sz="4" w:space="0"/>
              <w:left w:val="single" w:color="auto" w:sz="4" w:space="0"/>
              <w:bottom w:val="single" w:color="auto" w:sz="4" w:space="0"/>
              <w:right w:val="single" w:color="auto" w:sz="4" w:space="0"/>
            </w:tcBorders>
            <w:noWrap w:val="0"/>
            <w:vAlign w:val="top"/>
          </w:tcPr>
          <w:p w14:paraId="49C60CFB">
            <w:pPr>
              <w:snapToGrid w:val="0"/>
              <w:spacing w:before="50" w:after="165" w:afterLines="50" w:line="400" w:lineRule="exact"/>
              <w:jc w:val="left"/>
              <w:rPr>
                <w:rFonts w:hint="eastAsia" w:ascii="宋体" w:hAnsi="宋体" w:eastAsia="宋体" w:cs="宋体"/>
                <w:color w:val="auto"/>
                <w:sz w:val="24"/>
                <w:highlight w:val="none"/>
              </w:rPr>
            </w:pPr>
          </w:p>
        </w:tc>
        <w:tc>
          <w:tcPr>
            <w:tcW w:w="1715" w:type="dxa"/>
            <w:tcBorders>
              <w:top w:val="single" w:color="auto" w:sz="4" w:space="0"/>
              <w:left w:val="single" w:color="auto" w:sz="4" w:space="0"/>
              <w:bottom w:val="single" w:color="auto" w:sz="4" w:space="0"/>
              <w:right w:val="single" w:color="auto" w:sz="4" w:space="0"/>
            </w:tcBorders>
            <w:noWrap w:val="0"/>
            <w:vAlign w:val="top"/>
          </w:tcPr>
          <w:p w14:paraId="750DACD2">
            <w:pPr>
              <w:snapToGrid w:val="0"/>
              <w:spacing w:before="50" w:after="165" w:afterLines="50" w:line="400" w:lineRule="exact"/>
              <w:jc w:val="left"/>
              <w:rPr>
                <w:rFonts w:hint="eastAsia" w:ascii="宋体" w:hAnsi="宋体" w:eastAsia="宋体" w:cs="宋体"/>
                <w:color w:val="auto"/>
                <w:sz w:val="24"/>
                <w:highlight w:val="none"/>
              </w:rPr>
            </w:pPr>
          </w:p>
        </w:tc>
        <w:tc>
          <w:tcPr>
            <w:tcW w:w="1559" w:type="dxa"/>
            <w:tcBorders>
              <w:top w:val="single" w:color="auto" w:sz="4" w:space="0"/>
              <w:left w:val="single" w:color="auto" w:sz="4" w:space="0"/>
              <w:bottom w:val="single" w:color="auto" w:sz="4" w:space="0"/>
              <w:right w:val="single" w:color="auto" w:sz="4" w:space="0"/>
            </w:tcBorders>
            <w:noWrap w:val="0"/>
            <w:vAlign w:val="top"/>
          </w:tcPr>
          <w:p w14:paraId="202F7F9D">
            <w:pPr>
              <w:snapToGrid w:val="0"/>
              <w:spacing w:before="50" w:after="165" w:afterLines="50" w:line="400" w:lineRule="exact"/>
              <w:jc w:val="left"/>
              <w:rPr>
                <w:rFonts w:hint="eastAsia" w:ascii="宋体" w:hAnsi="宋体" w:eastAsia="宋体" w:cs="宋体"/>
                <w:color w:val="auto"/>
                <w:sz w:val="24"/>
                <w:highlight w:val="none"/>
              </w:rPr>
            </w:pPr>
          </w:p>
        </w:tc>
        <w:tc>
          <w:tcPr>
            <w:tcW w:w="1559" w:type="dxa"/>
            <w:tcBorders>
              <w:top w:val="single" w:color="auto" w:sz="4" w:space="0"/>
              <w:left w:val="single" w:color="auto" w:sz="4" w:space="0"/>
              <w:bottom w:val="single" w:color="auto" w:sz="4" w:space="0"/>
              <w:right w:val="single" w:color="auto" w:sz="4" w:space="0"/>
            </w:tcBorders>
            <w:noWrap w:val="0"/>
            <w:vAlign w:val="top"/>
          </w:tcPr>
          <w:p w14:paraId="5518B39F">
            <w:pPr>
              <w:snapToGrid w:val="0"/>
              <w:spacing w:before="50" w:after="165" w:afterLines="50" w:line="400" w:lineRule="exact"/>
              <w:jc w:val="left"/>
              <w:rPr>
                <w:rFonts w:hint="eastAsia" w:ascii="宋体" w:hAnsi="宋体" w:eastAsia="宋体" w:cs="宋体"/>
                <w:color w:val="auto"/>
                <w:sz w:val="24"/>
                <w:highlight w:val="none"/>
              </w:rPr>
            </w:pPr>
          </w:p>
        </w:tc>
        <w:tc>
          <w:tcPr>
            <w:tcW w:w="1418" w:type="dxa"/>
            <w:tcBorders>
              <w:top w:val="single" w:color="auto" w:sz="4" w:space="0"/>
              <w:left w:val="single" w:color="auto" w:sz="4" w:space="0"/>
              <w:bottom w:val="single" w:color="auto" w:sz="4" w:space="0"/>
              <w:right w:val="single" w:color="auto" w:sz="4" w:space="0"/>
            </w:tcBorders>
            <w:noWrap w:val="0"/>
            <w:vAlign w:val="top"/>
          </w:tcPr>
          <w:p w14:paraId="25FC8B34">
            <w:pPr>
              <w:snapToGrid w:val="0"/>
              <w:spacing w:before="50" w:after="165" w:afterLines="50" w:line="400" w:lineRule="exact"/>
              <w:jc w:val="left"/>
              <w:rPr>
                <w:rFonts w:hint="eastAsia" w:ascii="宋体" w:hAnsi="宋体" w:eastAsia="宋体" w:cs="宋体"/>
                <w:color w:val="auto"/>
                <w:sz w:val="24"/>
                <w:highlight w:val="none"/>
              </w:rPr>
            </w:pPr>
          </w:p>
        </w:tc>
        <w:tc>
          <w:tcPr>
            <w:tcW w:w="2268" w:type="dxa"/>
            <w:tcBorders>
              <w:top w:val="single" w:color="auto" w:sz="4" w:space="0"/>
              <w:left w:val="single" w:color="auto" w:sz="4" w:space="0"/>
              <w:bottom w:val="single" w:color="auto" w:sz="4" w:space="0"/>
              <w:right w:val="single" w:color="auto" w:sz="4" w:space="0"/>
            </w:tcBorders>
            <w:noWrap w:val="0"/>
            <w:vAlign w:val="top"/>
          </w:tcPr>
          <w:p w14:paraId="53FC6078">
            <w:pPr>
              <w:snapToGrid w:val="0"/>
              <w:spacing w:before="50" w:after="165" w:afterLines="50" w:line="400" w:lineRule="exact"/>
              <w:jc w:val="left"/>
              <w:rPr>
                <w:rFonts w:hint="eastAsia" w:ascii="宋体" w:hAnsi="宋体" w:eastAsia="宋体" w:cs="宋体"/>
                <w:color w:val="auto"/>
                <w:sz w:val="24"/>
                <w:highlight w:val="none"/>
              </w:rPr>
            </w:pPr>
          </w:p>
        </w:tc>
      </w:tr>
      <w:tr w14:paraId="1FF76F6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10" w:hRule="atLeast"/>
        </w:trPr>
        <w:tc>
          <w:tcPr>
            <w:tcW w:w="2628" w:type="dxa"/>
            <w:tcBorders>
              <w:top w:val="single" w:color="auto" w:sz="4" w:space="0"/>
              <w:left w:val="single" w:color="auto" w:sz="4" w:space="0"/>
              <w:bottom w:val="single" w:color="auto" w:sz="4" w:space="0"/>
              <w:right w:val="single" w:color="auto" w:sz="4" w:space="0"/>
            </w:tcBorders>
            <w:noWrap w:val="0"/>
            <w:vAlign w:val="top"/>
          </w:tcPr>
          <w:p w14:paraId="10EDA1B0">
            <w:pPr>
              <w:snapToGrid w:val="0"/>
              <w:spacing w:before="50" w:after="165" w:afterLines="50" w:line="400" w:lineRule="exact"/>
              <w:jc w:val="left"/>
              <w:rPr>
                <w:rFonts w:hint="eastAsia" w:ascii="宋体" w:hAnsi="宋体" w:eastAsia="宋体" w:cs="宋体"/>
                <w:color w:val="auto"/>
                <w:sz w:val="24"/>
                <w:highlight w:val="none"/>
              </w:rPr>
            </w:pPr>
          </w:p>
        </w:tc>
        <w:tc>
          <w:tcPr>
            <w:tcW w:w="3420" w:type="dxa"/>
            <w:tcBorders>
              <w:top w:val="single" w:color="auto" w:sz="4" w:space="0"/>
              <w:left w:val="single" w:color="auto" w:sz="4" w:space="0"/>
              <w:bottom w:val="single" w:color="auto" w:sz="4" w:space="0"/>
              <w:right w:val="single" w:color="auto" w:sz="4" w:space="0"/>
            </w:tcBorders>
            <w:noWrap w:val="0"/>
            <w:vAlign w:val="top"/>
          </w:tcPr>
          <w:p w14:paraId="54AD1834">
            <w:pPr>
              <w:snapToGrid w:val="0"/>
              <w:spacing w:before="50" w:after="165" w:afterLines="50" w:line="400" w:lineRule="exact"/>
              <w:jc w:val="left"/>
              <w:rPr>
                <w:rFonts w:hint="eastAsia" w:ascii="宋体" w:hAnsi="宋体" w:eastAsia="宋体" w:cs="宋体"/>
                <w:color w:val="auto"/>
                <w:sz w:val="24"/>
                <w:highlight w:val="none"/>
              </w:rPr>
            </w:pPr>
          </w:p>
        </w:tc>
        <w:tc>
          <w:tcPr>
            <w:tcW w:w="1715" w:type="dxa"/>
            <w:tcBorders>
              <w:top w:val="single" w:color="auto" w:sz="4" w:space="0"/>
              <w:left w:val="single" w:color="auto" w:sz="4" w:space="0"/>
              <w:bottom w:val="single" w:color="auto" w:sz="4" w:space="0"/>
              <w:right w:val="single" w:color="auto" w:sz="4" w:space="0"/>
            </w:tcBorders>
            <w:noWrap w:val="0"/>
            <w:vAlign w:val="top"/>
          </w:tcPr>
          <w:p w14:paraId="3E4DA215">
            <w:pPr>
              <w:snapToGrid w:val="0"/>
              <w:spacing w:before="50" w:after="165" w:afterLines="50" w:line="400" w:lineRule="exact"/>
              <w:jc w:val="left"/>
              <w:rPr>
                <w:rFonts w:hint="eastAsia" w:ascii="宋体" w:hAnsi="宋体" w:eastAsia="宋体" w:cs="宋体"/>
                <w:color w:val="auto"/>
                <w:sz w:val="24"/>
                <w:highlight w:val="none"/>
              </w:rPr>
            </w:pPr>
          </w:p>
        </w:tc>
        <w:tc>
          <w:tcPr>
            <w:tcW w:w="1559" w:type="dxa"/>
            <w:tcBorders>
              <w:top w:val="single" w:color="auto" w:sz="4" w:space="0"/>
              <w:left w:val="single" w:color="auto" w:sz="4" w:space="0"/>
              <w:bottom w:val="single" w:color="auto" w:sz="4" w:space="0"/>
              <w:right w:val="single" w:color="auto" w:sz="4" w:space="0"/>
            </w:tcBorders>
            <w:noWrap w:val="0"/>
            <w:vAlign w:val="top"/>
          </w:tcPr>
          <w:p w14:paraId="79821FC6">
            <w:pPr>
              <w:snapToGrid w:val="0"/>
              <w:spacing w:before="50" w:after="165" w:afterLines="50" w:line="400" w:lineRule="exact"/>
              <w:jc w:val="left"/>
              <w:rPr>
                <w:rFonts w:hint="eastAsia" w:ascii="宋体" w:hAnsi="宋体" w:eastAsia="宋体" w:cs="宋体"/>
                <w:color w:val="auto"/>
                <w:sz w:val="24"/>
                <w:highlight w:val="none"/>
              </w:rPr>
            </w:pPr>
          </w:p>
        </w:tc>
        <w:tc>
          <w:tcPr>
            <w:tcW w:w="1559" w:type="dxa"/>
            <w:tcBorders>
              <w:top w:val="single" w:color="auto" w:sz="4" w:space="0"/>
              <w:left w:val="single" w:color="auto" w:sz="4" w:space="0"/>
              <w:bottom w:val="single" w:color="auto" w:sz="4" w:space="0"/>
              <w:right w:val="single" w:color="auto" w:sz="4" w:space="0"/>
            </w:tcBorders>
            <w:noWrap w:val="0"/>
            <w:vAlign w:val="top"/>
          </w:tcPr>
          <w:p w14:paraId="048E69DF">
            <w:pPr>
              <w:snapToGrid w:val="0"/>
              <w:spacing w:before="50" w:after="165" w:afterLines="50" w:line="400" w:lineRule="exact"/>
              <w:jc w:val="left"/>
              <w:rPr>
                <w:rFonts w:hint="eastAsia" w:ascii="宋体" w:hAnsi="宋体" w:eastAsia="宋体" w:cs="宋体"/>
                <w:color w:val="auto"/>
                <w:sz w:val="24"/>
                <w:highlight w:val="none"/>
              </w:rPr>
            </w:pPr>
          </w:p>
        </w:tc>
        <w:tc>
          <w:tcPr>
            <w:tcW w:w="1418" w:type="dxa"/>
            <w:tcBorders>
              <w:top w:val="single" w:color="auto" w:sz="4" w:space="0"/>
              <w:left w:val="single" w:color="auto" w:sz="4" w:space="0"/>
              <w:bottom w:val="single" w:color="auto" w:sz="4" w:space="0"/>
              <w:right w:val="single" w:color="auto" w:sz="4" w:space="0"/>
            </w:tcBorders>
            <w:noWrap w:val="0"/>
            <w:vAlign w:val="top"/>
          </w:tcPr>
          <w:p w14:paraId="1E85BC51">
            <w:pPr>
              <w:snapToGrid w:val="0"/>
              <w:spacing w:before="50" w:after="165" w:afterLines="50" w:line="400" w:lineRule="exact"/>
              <w:jc w:val="left"/>
              <w:rPr>
                <w:rFonts w:hint="eastAsia" w:ascii="宋体" w:hAnsi="宋体" w:eastAsia="宋体" w:cs="宋体"/>
                <w:color w:val="auto"/>
                <w:sz w:val="24"/>
                <w:highlight w:val="none"/>
              </w:rPr>
            </w:pPr>
          </w:p>
        </w:tc>
        <w:tc>
          <w:tcPr>
            <w:tcW w:w="2268" w:type="dxa"/>
            <w:tcBorders>
              <w:top w:val="single" w:color="auto" w:sz="4" w:space="0"/>
              <w:left w:val="single" w:color="auto" w:sz="4" w:space="0"/>
              <w:bottom w:val="single" w:color="auto" w:sz="4" w:space="0"/>
              <w:right w:val="single" w:color="auto" w:sz="4" w:space="0"/>
            </w:tcBorders>
            <w:noWrap w:val="0"/>
            <w:vAlign w:val="top"/>
          </w:tcPr>
          <w:p w14:paraId="30FECFF0">
            <w:pPr>
              <w:snapToGrid w:val="0"/>
              <w:spacing w:before="50" w:after="165" w:afterLines="50" w:line="400" w:lineRule="exact"/>
              <w:jc w:val="left"/>
              <w:rPr>
                <w:rFonts w:hint="eastAsia" w:ascii="宋体" w:hAnsi="宋体" w:eastAsia="宋体" w:cs="宋体"/>
                <w:color w:val="auto"/>
                <w:sz w:val="24"/>
                <w:highlight w:val="none"/>
              </w:rPr>
            </w:pPr>
          </w:p>
        </w:tc>
      </w:tr>
      <w:tr w14:paraId="1242DCA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628" w:type="dxa"/>
            <w:tcBorders>
              <w:top w:val="single" w:color="auto" w:sz="4" w:space="0"/>
              <w:left w:val="single" w:color="auto" w:sz="4" w:space="0"/>
              <w:bottom w:val="single" w:color="auto" w:sz="4" w:space="0"/>
              <w:right w:val="single" w:color="auto" w:sz="4" w:space="0"/>
            </w:tcBorders>
            <w:noWrap w:val="0"/>
            <w:vAlign w:val="top"/>
          </w:tcPr>
          <w:p w14:paraId="11F6E57F">
            <w:pPr>
              <w:snapToGrid w:val="0"/>
              <w:spacing w:before="50" w:after="165" w:afterLines="50" w:line="400" w:lineRule="exact"/>
              <w:jc w:val="left"/>
              <w:rPr>
                <w:rFonts w:hint="eastAsia" w:ascii="宋体" w:hAnsi="宋体" w:eastAsia="宋体" w:cs="宋体"/>
                <w:color w:val="auto"/>
                <w:sz w:val="24"/>
                <w:highlight w:val="none"/>
              </w:rPr>
            </w:pPr>
          </w:p>
        </w:tc>
        <w:tc>
          <w:tcPr>
            <w:tcW w:w="3420" w:type="dxa"/>
            <w:tcBorders>
              <w:top w:val="single" w:color="auto" w:sz="4" w:space="0"/>
              <w:left w:val="single" w:color="auto" w:sz="4" w:space="0"/>
              <w:bottom w:val="single" w:color="auto" w:sz="4" w:space="0"/>
              <w:right w:val="single" w:color="auto" w:sz="4" w:space="0"/>
            </w:tcBorders>
            <w:noWrap w:val="0"/>
            <w:vAlign w:val="top"/>
          </w:tcPr>
          <w:p w14:paraId="00075BB9">
            <w:pPr>
              <w:snapToGrid w:val="0"/>
              <w:spacing w:before="50" w:after="165" w:afterLines="50" w:line="400" w:lineRule="exact"/>
              <w:jc w:val="left"/>
              <w:rPr>
                <w:rFonts w:hint="eastAsia" w:ascii="宋体" w:hAnsi="宋体" w:eastAsia="宋体" w:cs="宋体"/>
                <w:color w:val="auto"/>
                <w:sz w:val="24"/>
                <w:highlight w:val="none"/>
              </w:rPr>
            </w:pPr>
          </w:p>
        </w:tc>
        <w:tc>
          <w:tcPr>
            <w:tcW w:w="1715" w:type="dxa"/>
            <w:tcBorders>
              <w:top w:val="single" w:color="auto" w:sz="4" w:space="0"/>
              <w:left w:val="single" w:color="auto" w:sz="4" w:space="0"/>
              <w:bottom w:val="single" w:color="auto" w:sz="4" w:space="0"/>
              <w:right w:val="single" w:color="auto" w:sz="4" w:space="0"/>
            </w:tcBorders>
            <w:noWrap w:val="0"/>
            <w:vAlign w:val="top"/>
          </w:tcPr>
          <w:p w14:paraId="174CB085">
            <w:pPr>
              <w:snapToGrid w:val="0"/>
              <w:spacing w:before="50" w:after="165" w:afterLines="50" w:line="400" w:lineRule="exact"/>
              <w:jc w:val="left"/>
              <w:rPr>
                <w:rFonts w:hint="eastAsia" w:ascii="宋体" w:hAnsi="宋体" w:eastAsia="宋体" w:cs="宋体"/>
                <w:color w:val="auto"/>
                <w:sz w:val="24"/>
                <w:highlight w:val="none"/>
              </w:rPr>
            </w:pPr>
          </w:p>
        </w:tc>
        <w:tc>
          <w:tcPr>
            <w:tcW w:w="1559" w:type="dxa"/>
            <w:tcBorders>
              <w:top w:val="single" w:color="auto" w:sz="4" w:space="0"/>
              <w:left w:val="single" w:color="auto" w:sz="4" w:space="0"/>
              <w:bottom w:val="single" w:color="auto" w:sz="4" w:space="0"/>
              <w:right w:val="single" w:color="auto" w:sz="4" w:space="0"/>
            </w:tcBorders>
            <w:noWrap w:val="0"/>
            <w:vAlign w:val="top"/>
          </w:tcPr>
          <w:p w14:paraId="2FA10D55">
            <w:pPr>
              <w:snapToGrid w:val="0"/>
              <w:spacing w:before="50" w:after="165" w:afterLines="50" w:line="400" w:lineRule="exact"/>
              <w:jc w:val="left"/>
              <w:rPr>
                <w:rFonts w:hint="eastAsia" w:ascii="宋体" w:hAnsi="宋体" w:eastAsia="宋体" w:cs="宋体"/>
                <w:color w:val="auto"/>
                <w:sz w:val="24"/>
                <w:highlight w:val="none"/>
              </w:rPr>
            </w:pPr>
          </w:p>
        </w:tc>
        <w:tc>
          <w:tcPr>
            <w:tcW w:w="1559" w:type="dxa"/>
            <w:tcBorders>
              <w:top w:val="single" w:color="auto" w:sz="4" w:space="0"/>
              <w:left w:val="single" w:color="auto" w:sz="4" w:space="0"/>
              <w:bottom w:val="single" w:color="auto" w:sz="4" w:space="0"/>
              <w:right w:val="single" w:color="auto" w:sz="4" w:space="0"/>
            </w:tcBorders>
            <w:noWrap w:val="0"/>
            <w:vAlign w:val="top"/>
          </w:tcPr>
          <w:p w14:paraId="700D3A7A">
            <w:pPr>
              <w:snapToGrid w:val="0"/>
              <w:spacing w:before="50" w:after="165" w:afterLines="50" w:line="400" w:lineRule="exact"/>
              <w:jc w:val="left"/>
              <w:rPr>
                <w:rFonts w:hint="eastAsia" w:ascii="宋体" w:hAnsi="宋体" w:eastAsia="宋体" w:cs="宋体"/>
                <w:color w:val="auto"/>
                <w:sz w:val="24"/>
                <w:highlight w:val="none"/>
              </w:rPr>
            </w:pPr>
          </w:p>
        </w:tc>
        <w:tc>
          <w:tcPr>
            <w:tcW w:w="1418" w:type="dxa"/>
            <w:tcBorders>
              <w:top w:val="single" w:color="auto" w:sz="4" w:space="0"/>
              <w:left w:val="single" w:color="auto" w:sz="4" w:space="0"/>
              <w:bottom w:val="single" w:color="auto" w:sz="4" w:space="0"/>
              <w:right w:val="single" w:color="auto" w:sz="4" w:space="0"/>
            </w:tcBorders>
            <w:noWrap w:val="0"/>
            <w:vAlign w:val="top"/>
          </w:tcPr>
          <w:p w14:paraId="2CD94F39">
            <w:pPr>
              <w:snapToGrid w:val="0"/>
              <w:spacing w:before="50" w:after="165" w:afterLines="50" w:line="400" w:lineRule="exact"/>
              <w:jc w:val="left"/>
              <w:rPr>
                <w:rFonts w:hint="eastAsia" w:ascii="宋体" w:hAnsi="宋体" w:eastAsia="宋体" w:cs="宋体"/>
                <w:color w:val="auto"/>
                <w:sz w:val="24"/>
                <w:highlight w:val="none"/>
              </w:rPr>
            </w:pPr>
          </w:p>
        </w:tc>
        <w:tc>
          <w:tcPr>
            <w:tcW w:w="2268" w:type="dxa"/>
            <w:tcBorders>
              <w:top w:val="single" w:color="auto" w:sz="4" w:space="0"/>
              <w:left w:val="single" w:color="auto" w:sz="4" w:space="0"/>
              <w:bottom w:val="single" w:color="auto" w:sz="4" w:space="0"/>
              <w:right w:val="single" w:color="auto" w:sz="4" w:space="0"/>
            </w:tcBorders>
            <w:noWrap w:val="0"/>
            <w:vAlign w:val="top"/>
          </w:tcPr>
          <w:p w14:paraId="2DD339DA">
            <w:pPr>
              <w:snapToGrid w:val="0"/>
              <w:spacing w:before="50" w:after="165" w:afterLines="50" w:line="400" w:lineRule="exact"/>
              <w:jc w:val="left"/>
              <w:rPr>
                <w:rFonts w:hint="eastAsia" w:ascii="宋体" w:hAnsi="宋体" w:eastAsia="宋体" w:cs="宋体"/>
                <w:color w:val="auto"/>
                <w:sz w:val="24"/>
                <w:highlight w:val="none"/>
              </w:rPr>
            </w:pPr>
          </w:p>
        </w:tc>
      </w:tr>
      <w:tr w14:paraId="6DE28D6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628" w:type="dxa"/>
            <w:tcBorders>
              <w:top w:val="single" w:color="auto" w:sz="4" w:space="0"/>
              <w:left w:val="single" w:color="auto" w:sz="4" w:space="0"/>
              <w:bottom w:val="single" w:color="auto" w:sz="4" w:space="0"/>
              <w:right w:val="single" w:color="auto" w:sz="4" w:space="0"/>
            </w:tcBorders>
            <w:noWrap w:val="0"/>
            <w:vAlign w:val="top"/>
          </w:tcPr>
          <w:p w14:paraId="386E8720">
            <w:pPr>
              <w:snapToGrid w:val="0"/>
              <w:spacing w:before="50" w:after="165" w:afterLines="50" w:line="400" w:lineRule="exact"/>
              <w:jc w:val="left"/>
              <w:rPr>
                <w:rFonts w:hint="eastAsia" w:ascii="宋体" w:hAnsi="宋体" w:eastAsia="宋体" w:cs="宋体"/>
                <w:color w:val="auto"/>
                <w:sz w:val="24"/>
                <w:highlight w:val="none"/>
              </w:rPr>
            </w:pPr>
          </w:p>
        </w:tc>
        <w:tc>
          <w:tcPr>
            <w:tcW w:w="3420" w:type="dxa"/>
            <w:tcBorders>
              <w:top w:val="single" w:color="auto" w:sz="4" w:space="0"/>
              <w:left w:val="single" w:color="auto" w:sz="4" w:space="0"/>
              <w:bottom w:val="single" w:color="auto" w:sz="4" w:space="0"/>
              <w:right w:val="single" w:color="auto" w:sz="4" w:space="0"/>
            </w:tcBorders>
            <w:noWrap w:val="0"/>
            <w:vAlign w:val="top"/>
          </w:tcPr>
          <w:p w14:paraId="278AE3A0">
            <w:pPr>
              <w:snapToGrid w:val="0"/>
              <w:spacing w:before="50" w:after="165" w:afterLines="50" w:line="400" w:lineRule="exact"/>
              <w:jc w:val="left"/>
              <w:rPr>
                <w:rFonts w:hint="eastAsia" w:ascii="宋体" w:hAnsi="宋体" w:eastAsia="宋体" w:cs="宋体"/>
                <w:color w:val="auto"/>
                <w:sz w:val="24"/>
                <w:highlight w:val="none"/>
              </w:rPr>
            </w:pPr>
          </w:p>
        </w:tc>
        <w:tc>
          <w:tcPr>
            <w:tcW w:w="1715" w:type="dxa"/>
            <w:tcBorders>
              <w:top w:val="single" w:color="auto" w:sz="4" w:space="0"/>
              <w:left w:val="single" w:color="auto" w:sz="4" w:space="0"/>
              <w:bottom w:val="single" w:color="auto" w:sz="4" w:space="0"/>
              <w:right w:val="single" w:color="auto" w:sz="4" w:space="0"/>
            </w:tcBorders>
            <w:noWrap w:val="0"/>
            <w:vAlign w:val="top"/>
          </w:tcPr>
          <w:p w14:paraId="70F150AF">
            <w:pPr>
              <w:snapToGrid w:val="0"/>
              <w:spacing w:before="50" w:after="165" w:afterLines="50" w:line="400" w:lineRule="exact"/>
              <w:jc w:val="left"/>
              <w:rPr>
                <w:rFonts w:hint="eastAsia" w:ascii="宋体" w:hAnsi="宋体" w:eastAsia="宋体" w:cs="宋体"/>
                <w:color w:val="auto"/>
                <w:sz w:val="24"/>
                <w:highlight w:val="none"/>
              </w:rPr>
            </w:pPr>
          </w:p>
        </w:tc>
        <w:tc>
          <w:tcPr>
            <w:tcW w:w="1559" w:type="dxa"/>
            <w:tcBorders>
              <w:top w:val="single" w:color="auto" w:sz="4" w:space="0"/>
              <w:left w:val="single" w:color="auto" w:sz="4" w:space="0"/>
              <w:bottom w:val="single" w:color="auto" w:sz="4" w:space="0"/>
              <w:right w:val="single" w:color="auto" w:sz="4" w:space="0"/>
            </w:tcBorders>
            <w:noWrap w:val="0"/>
            <w:vAlign w:val="top"/>
          </w:tcPr>
          <w:p w14:paraId="6C7C0272">
            <w:pPr>
              <w:snapToGrid w:val="0"/>
              <w:spacing w:before="50" w:after="165" w:afterLines="50" w:line="400" w:lineRule="exact"/>
              <w:jc w:val="left"/>
              <w:rPr>
                <w:rFonts w:hint="eastAsia" w:ascii="宋体" w:hAnsi="宋体" w:eastAsia="宋体" w:cs="宋体"/>
                <w:color w:val="auto"/>
                <w:sz w:val="24"/>
                <w:highlight w:val="none"/>
              </w:rPr>
            </w:pPr>
          </w:p>
        </w:tc>
        <w:tc>
          <w:tcPr>
            <w:tcW w:w="1559" w:type="dxa"/>
            <w:tcBorders>
              <w:top w:val="single" w:color="auto" w:sz="4" w:space="0"/>
              <w:left w:val="single" w:color="auto" w:sz="4" w:space="0"/>
              <w:bottom w:val="single" w:color="auto" w:sz="4" w:space="0"/>
              <w:right w:val="single" w:color="auto" w:sz="4" w:space="0"/>
            </w:tcBorders>
            <w:noWrap w:val="0"/>
            <w:vAlign w:val="top"/>
          </w:tcPr>
          <w:p w14:paraId="6425D40C">
            <w:pPr>
              <w:snapToGrid w:val="0"/>
              <w:spacing w:before="50" w:after="165" w:afterLines="50" w:line="400" w:lineRule="exact"/>
              <w:jc w:val="left"/>
              <w:rPr>
                <w:rFonts w:hint="eastAsia" w:ascii="宋体" w:hAnsi="宋体" w:eastAsia="宋体" w:cs="宋体"/>
                <w:color w:val="auto"/>
                <w:sz w:val="24"/>
                <w:highlight w:val="none"/>
              </w:rPr>
            </w:pPr>
          </w:p>
        </w:tc>
        <w:tc>
          <w:tcPr>
            <w:tcW w:w="1418" w:type="dxa"/>
            <w:tcBorders>
              <w:top w:val="single" w:color="auto" w:sz="4" w:space="0"/>
              <w:left w:val="single" w:color="auto" w:sz="4" w:space="0"/>
              <w:bottom w:val="single" w:color="auto" w:sz="4" w:space="0"/>
              <w:right w:val="single" w:color="auto" w:sz="4" w:space="0"/>
            </w:tcBorders>
            <w:noWrap w:val="0"/>
            <w:vAlign w:val="top"/>
          </w:tcPr>
          <w:p w14:paraId="01C6F5C3">
            <w:pPr>
              <w:snapToGrid w:val="0"/>
              <w:spacing w:before="50" w:after="165" w:afterLines="50" w:line="400" w:lineRule="exact"/>
              <w:jc w:val="left"/>
              <w:rPr>
                <w:rFonts w:hint="eastAsia" w:ascii="宋体" w:hAnsi="宋体" w:eastAsia="宋体" w:cs="宋体"/>
                <w:color w:val="auto"/>
                <w:sz w:val="24"/>
                <w:highlight w:val="none"/>
              </w:rPr>
            </w:pPr>
          </w:p>
        </w:tc>
        <w:tc>
          <w:tcPr>
            <w:tcW w:w="2268" w:type="dxa"/>
            <w:tcBorders>
              <w:top w:val="single" w:color="auto" w:sz="4" w:space="0"/>
              <w:left w:val="single" w:color="auto" w:sz="4" w:space="0"/>
              <w:bottom w:val="single" w:color="auto" w:sz="4" w:space="0"/>
              <w:right w:val="single" w:color="auto" w:sz="4" w:space="0"/>
            </w:tcBorders>
            <w:noWrap w:val="0"/>
            <w:vAlign w:val="top"/>
          </w:tcPr>
          <w:p w14:paraId="57DA54BD">
            <w:pPr>
              <w:snapToGrid w:val="0"/>
              <w:spacing w:before="50" w:after="165" w:afterLines="50" w:line="400" w:lineRule="exact"/>
              <w:jc w:val="left"/>
              <w:rPr>
                <w:rFonts w:hint="eastAsia" w:ascii="宋体" w:hAnsi="宋体" w:eastAsia="宋体" w:cs="宋体"/>
                <w:color w:val="auto"/>
                <w:sz w:val="24"/>
                <w:highlight w:val="none"/>
              </w:rPr>
            </w:pPr>
          </w:p>
        </w:tc>
      </w:tr>
    </w:tbl>
    <w:p w14:paraId="5320F0A2">
      <w:pPr>
        <w:pStyle w:val="18"/>
        <w:spacing w:line="360" w:lineRule="auto"/>
        <w:ind w:left="72"/>
        <w:rPr>
          <w:rFonts w:hint="eastAsia" w:ascii="宋体" w:hAnsi="宋体" w:eastAsia="宋体" w:cs="宋体"/>
          <w:color w:val="auto"/>
          <w:highlight w:val="none"/>
        </w:rPr>
      </w:pPr>
      <w:r>
        <w:rPr>
          <w:rFonts w:hint="eastAsia" w:ascii="宋体" w:hAnsi="宋体" w:eastAsia="宋体" w:cs="宋体"/>
          <w:color w:val="auto"/>
          <w:highlight w:val="none"/>
        </w:rPr>
        <w:t>注：投标人可按上述的格式自行编制，须随表提交相应的合同复印件和用户单位验收证明并注明所在投标人商务技术文件页码。</w:t>
      </w:r>
    </w:p>
    <w:p w14:paraId="7C2A8E42">
      <w:pPr>
        <w:snapToGrid w:val="0"/>
        <w:spacing w:line="360" w:lineRule="auto"/>
        <w:ind w:firstLine="4935" w:firstLineChars="2350"/>
        <w:rPr>
          <w:rFonts w:hint="eastAsia" w:ascii="宋体" w:hAnsi="宋体" w:eastAsia="宋体" w:cs="宋体"/>
          <w:color w:val="auto"/>
          <w:szCs w:val="21"/>
          <w:highlight w:val="none"/>
          <w:lang w:eastAsia="zh-CN"/>
        </w:rPr>
      </w:pPr>
    </w:p>
    <w:p w14:paraId="454BBD44">
      <w:pPr>
        <w:snapToGrid w:val="0"/>
        <w:spacing w:line="360" w:lineRule="auto"/>
        <w:ind w:firstLine="4935" w:firstLineChars="2350"/>
        <w:rPr>
          <w:rFonts w:hint="eastAsia" w:ascii="宋体" w:hAnsi="宋体" w:eastAsia="宋体" w:cs="宋体"/>
          <w:color w:val="auto"/>
          <w:szCs w:val="21"/>
          <w:highlight w:val="none"/>
        </w:rPr>
      </w:pPr>
    </w:p>
    <w:p w14:paraId="31E84FCA">
      <w:pPr>
        <w:snapToGrid w:val="0"/>
        <w:spacing w:line="360" w:lineRule="auto"/>
        <w:ind w:firstLine="11520" w:firstLineChars="4800"/>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lang w:val="zh-CN"/>
        </w:rPr>
        <w:t>投标人名称(电子签章)：</w:t>
      </w:r>
    </w:p>
    <w:p w14:paraId="24E6C675">
      <w:pPr>
        <w:snapToGrid w:val="0"/>
        <w:spacing w:line="360" w:lineRule="auto"/>
        <w:ind w:firstLine="10080" w:firstLineChars="4200"/>
        <w:rPr>
          <w:rFonts w:hint="eastAsia" w:ascii="宋体" w:hAnsi="宋体" w:eastAsia="宋体" w:cs="宋体"/>
          <w:color w:val="auto"/>
          <w:kern w:val="0"/>
          <w:sz w:val="24"/>
          <w:highlight w:val="none"/>
          <w:lang w:val="zh-CN"/>
        </w:rPr>
      </w:pPr>
      <w:r>
        <w:rPr>
          <w:rFonts w:hint="eastAsia" w:ascii="宋体" w:hAnsi="宋体" w:eastAsia="宋体" w:cs="宋体"/>
          <w:color w:val="auto"/>
          <w:kern w:val="0"/>
          <w:sz w:val="24"/>
          <w:highlight w:val="none"/>
          <w:lang w:val="zh-CN"/>
        </w:rPr>
        <w:t>日期</w:t>
      </w:r>
      <w:r>
        <w:rPr>
          <w:rFonts w:hint="eastAsia" w:ascii="宋体" w:hAnsi="宋体" w:eastAsia="宋体" w:cs="宋体"/>
          <w:color w:val="auto"/>
          <w:kern w:val="0"/>
          <w:sz w:val="24"/>
          <w:highlight w:val="none"/>
        </w:rPr>
        <w:t>：年</w:t>
      </w:r>
      <w:r>
        <w:rPr>
          <w:rFonts w:hint="eastAsia" w:ascii="宋体" w:hAnsi="宋体" w:eastAsia="宋体" w:cs="宋体"/>
          <w:color w:val="auto"/>
          <w:kern w:val="0"/>
          <w:sz w:val="24"/>
          <w:highlight w:val="none"/>
          <w:lang w:val="zh-CN"/>
        </w:rPr>
        <w:t>月日</w:t>
      </w:r>
    </w:p>
    <w:p w14:paraId="594872F7">
      <w:pPr>
        <w:widowControl/>
        <w:spacing w:line="360" w:lineRule="auto"/>
        <w:jc w:val="left"/>
        <w:rPr>
          <w:rFonts w:hint="eastAsia" w:ascii="宋体" w:hAnsi="宋体" w:eastAsia="宋体" w:cs="宋体"/>
          <w:color w:val="auto"/>
          <w:kern w:val="0"/>
          <w:sz w:val="24"/>
          <w:highlight w:val="none"/>
          <w:lang w:val="zh-CN"/>
        </w:rPr>
        <w:sectPr>
          <w:pgSz w:w="16838" w:h="11906" w:orient="landscape"/>
          <w:pgMar w:top="1134" w:right="1134" w:bottom="1134" w:left="1134" w:header="720" w:footer="720" w:gutter="0"/>
          <w:cols w:space="720" w:num="1"/>
          <w:docGrid w:type="lines" w:linePitch="331" w:charSpace="0"/>
        </w:sectPr>
      </w:pPr>
    </w:p>
    <w:p w14:paraId="1173D3DA">
      <w:pPr>
        <w:pStyle w:val="18"/>
        <w:jc w:val="center"/>
        <w:outlineLvl w:val="1"/>
        <w:rPr>
          <w:rFonts w:hint="eastAsia" w:ascii="宋体" w:hAnsi="宋体" w:eastAsia="宋体" w:cs="宋体"/>
          <w:b/>
          <w:bCs/>
          <w:color w:val="auto"/>
          <w:sz w:val="28"/>
          <w:szCs w:val="28"/>
          <w:highlight w:val="none"/>
        </w:rPr>
      </w:pPr>
      <w:bookmarkStart w:id="28" w:name="_Toc26027"/>
      <w:r>
        <w:rPr>
          <w:rFonts w:hint="eastAsia" w:ascii="宋体" w:hAnsi="宋体" w:eastAsia="宋体" w:cs="宋体"/>
          <w:b/>
          <w:bCs/>
          <w:color w:val="auto"/>
          <w:sz w:val="28"/>
          <w:szCs w:val="28"/>
          <w:highlight w:val="none"/>
        </w:rPr>
        <w:t>第四节技术文件格式</w:t>
      </w:r>
      <w:bookmarkEnd w:id="28"/>
    </w:p>
    <w:p w14:paraId="3A0A4F3A">
      <w:pPr>
        <w:snapToGrid w:val="0"/>
        <w:spacing w:before="165" w:beforeLines="50" w:after="50"/>
        <w:rPr>
          <w:rFonts w:hint="eastAsia" w:ascii="宋体" w:hAnsi="宋体" w:eastAsia="宋体" w:cs="宋体"/>
          <w:bCs/>
          <w:color w:val="auto"/>
          <w:sz w:val="32"/>
          <w:szCs w:val="20"/>
          <w:highlight w:val="none"/>
        </w:rPr>
      </w:pPr>
      <w:r>
        <w:rPr>
          <w:rFonts w:hint="eastAsia" w:ascii="宋体" w:hAnsi="宋体" w:eastAsia="宋体" w:cs="宋体"/>
          <w:bCs/>
          <w:color w:val="auto"/>
          <w:highlight w:val="none"/>
        </w:rPr>
        <w:t>电子投标文件</w:t>
      </w:r>
    </w:p>
    <w:p w14:paraId="10F445F1">
      <w:pPr>
        <w:snapToGrid w:val="0"/>
        <w:spacing w:before="165" w:beforeLines="50" w:after="50"/>
        <w:rPr>
          <w:rFonts w:hint="eastAsia" w:ascii="宋体" w:hAnsi="宋体" w:eastAsia="宋体" w:cs="宋体"/>
          <w:color w:val="auto"/>
          <w:sz w:val="24"/>
          <w:szCs w:val="20"/>
          <w:highlight w:val="none"/>
        </w:rPr>
      </w:pPr>
    </w:p>
    <w:p w14:paraId="00205E03">
      <w:pPr>
        <w:snapToGrid w:val="0"/>
        <w:spacing w:before="165" w:beforeLines="50" w:after="50"/>
        <w:jc w:val="center"/>
        <w:rPr>
          <w:rFonts w:hint="eastAsia" w:ascii="宋体" w:hAnsi="宋体" w:eastAsia="宋体" w:cs="宋体"/>
          <w:b/>
          <w:bCs/>
          <w:color w:val="auto"/>
          <w:sz w:val="32"/>
          <w:szCs w:val="32"/>
          <w:highlight w:val="none"/>
        </w:rPr>
      </w:pPr>
    </w:p>
    <w:p w14:paraId="15541DFC">
      <w:pPr>
        <w:snapToGrid w:val="0"/>
        <w:spacing w:before="165" w:beforeLines="50" w:after="50"/>
        <w:jc w:val="center"/>
        <w:rPr>
          <w:rFonts w:hint="eastAsia" w:ascii="宋体" w:hAnsi="宋体" w:eastAsia="宋体" w:cs="宋体"/>
          <w:b/>
          <w:bCs/>
          <w:color w:val="auto"/>
          <w:sz w:val="32"/>
          <w:szCs w:val="32"/>
          <w:highlight w:val="none"/>
        </w:rPr>
      </w:pPr>
    </w:p>
    <w:p w14:paraId="1FF35BDF">
      <w:pPr>
        <w:snapToGrid w:val="0"/>
        <w:spacing w:before="165" w:beforeLines="50" w:after="50"/>
        <w:jc w:val="center"/>
        <w:rPr>
          <w:rFonts w:hint="eastAsia" w:ascii="宋体" w:hAnsi="宋体" w:eastAsia="宋体" w:cs="宋体"/>
          <w:b/>
          <w:bCs/>
          <w:color w:val="auto"/>
          <w:sz w:val="32"/>
          <w:szCs w:val="32"/>
          <w:highlight w:val="none"/>
        </w:rPr>
      </w:pPr>
    </w:p>
    <w:p w14:paraId="0E21E867">
      <w:pPr>
        <w:snapToGrid w:val="0"/>
        <w:spacing w:before="165" w:beforeLines="50" w:after="50"/>
        <w:jc w:val="center"/>
        <w:rPr>
          <w:rFonts w:hint="eastAsia" w:ascii="宋体" w:hAnsi="宋体" w:eastAsia="宋体" w:cs="宋体"/>
          <w:b/>
          <w:bCs/>
          <w:color w:val="auto"/>
          <w:sz w:val="32"/>
          <w:szCs w:val="32"/>
          <w:highlight w:val="none"/>
        </w:rPr>
      </w:pPr>
      <w:r>
        <w:rPr>
          <w:rFonts w:hint="eastAsia" w:ascii="宋体" w:hAnsi="宋体" w:eastAsia="宋体" w:cs="宋体"/>
          <w:b/>
          <w:bCs/>
          <w:color w:val="auto"/>
          <w:sz w:val="32"/>
          <w:szCs w:val="32"/>
          <w:highlight w:val="none"/>
        </w:rPr>
        <w:t>技术文件（封面）</w:t>
      </w:r>
    </w:p>
    <w:p w14:paraId="45CFF3A7">
      <w:pPr>
        <w:snapToGrid w:val="0"/>
        <w:spacing w:before="165" w:beforeLines="50" w:after="50"/>
        <w:rPr>
          <w:rFonts w:hint="eastAsia" w:ascii="宋体" w:hAnsi="宋体" w:eastAsia="宋体" w:cs="宋体"/>
          <w:bCs/>
          <w:color w:val="auto"/>
          <w:sz w:val="24"/>
          <w:szCs w:val="20"/>
          <w:highlight w:val="none"/>
        </w:rPr>
      </w:pPr>
    </w:p>
    <w:p w14:paraId="4F1FA8D8">
      <w:pPr>
        <w:snapToGrid w:val="0"/>
        <w:spacing w:before="165" w:beforeLines="50" w:after="50" w:line="400" w:lineRule="exact"/>
        <w:ind w:firstLine="360" w:firstLineChars="150"/>
        <w:rPr>
          <w:rFonts w:hint="eastAsia" w:ascii="宋体" w:hAnsi="宋体" w:eastAsia="宋体" w:cs="宋体"/>
          <w:bCs/>
          <w:color w:val="auto"/>
          <w:sz w:val="24"/>
          <w:szCs w:val="20"/>
          <w:highlight w:val="none"/>
          <w:lang w:eastAsia="zh-CN"/>
        </w:rPr>
      </w:pPr>
      <w:r>
        <w:rPr>
          <w:rFonts w:hint="eastAsia" w:ascii="宋体" w:hAnsi="宋体" w:eastAsia="宋体" w:cs="宋体"/>
          <w:bCs/>
          <w:color w:val="auto"/>
          <w:sz w:val="24"/>
          <w:highlight w:val="none"/>
        </w:rPr>
        <w:t>项目名称：</w:t>
      </w:r>
    </w:p>
    <w:p w14:paraId="7D0071A8">
      <w:pPr>
        <w:snapToGrid w:val="0"/>
        <w:spacing w:before="165" w:beforeLines="50" w:after="50" w:line="400" w:lineRule="exact"/>
        <w:ind w:firstLine="360" w:firstLineChars="150"/>
        <w:rPr>
          <w:rFonts w:hint="eastAsia" w:ascii="宋体" w:hAnsi="宋体" w:eastAsia="宋体" w:cs="宋体"/>
          <w:bCs/>
          <w:color w:val="auto"/>
          <w:sz w:val="24"/>
          <w:highlight w:val="none"/>
          <w:lang w:eastAsia="zh-CN"/>
        </w:rPr>
      </w:pPr>
      <w:r>
        <w:rPr>
          <w:rFonts w:hint="eastAsia" w:ascii="宋体" w:hAnsi="宋体" w:eastAsia="宋体" w:cs="宋体"/>
          <w:bCs/>
          <w:color w:val="auto"/>
          <w:sz w:val="24"/>
          <w:highlight w:val="none"/>
        </w:rPr>
        <w:t>项目编号：</w:t>
      </w:r>
    </w:p>
    <w:p w14:paraId="5A257CE8">
      <w:pPr>
        <w:snapToGrid w:val="0"/>
        <w:spacing w:before="165" w:beforeLines="50" w:after="50" w:line="400" w:lineRule="exact"/>
        <w:ind w:firstLine="360" w:firstLineChars="150"/>
        <w:rPr>
          <w:rFonts w:hint="eastAsia" w:ascii="宋体" w:hAnsi="宋体" w:eastAsia="宋体" w:cs="宋体"/>
          <w:bCs/>
          <w:color w:val="auto"/>
          <w:sz w:val="24"/>
          <w:highlight w:val="none"/>
        </w:rPr>
      </w:pPr>
      <w:r>
        <w:rPr>
          <w:rFonts w:hint="eastAsia" w:ascii="宋体" w:hAnsi="宋体" w:eastAsia="宋体" w:cs="宋体"/>
          <w:bCs/>
          <w:color w:val="auto"/>
          <w:sz w:val="24"/>
          <w:highlight w:val="none"/>
        </w:rPr>
        <w:t>所投分标：</w:t>
      </w:r>
    </w:p>
    <w:p w14:paraId="6523628B">
      <w:pPr>
        <w:snapToGrid w:val="0"/>
        <w:spacing w:before="165" w:beforeLines="50" w:after="50" w:line="400" w:lineRule="exact"/>
        <w:ind w:firstLine="360" w:firstLineChars="150"/>
        <w:rPr>
          <w:rFonts w:hint="eastAsia" w:ascii="宋体" w:hAnsi="宋体" w:eastAsia="宋体" w:cs="宋体"/>
          <w:bCs/>
          <w:color w:val="auto"/>
          <w:sz w:val="24"/>
          <w:highlight w:val="none"/>
        </w:rPr>
      </w:pPr>
      <w:r>
        <w:rPr>
          <w:rFonts w:hint="eastAsia" w:ascii="宋体" w:hAnsi="宋体" w:eastAsia="宋体" w:cs="宋体"/>
          <w:bCs/>
          <w:color w:val="auto"/>
          <w:sz w:val="24"/>
          <w:highlight w:val="none"/>
        </w:rPr>
        <w:t>投标人名称：</w:t>
      </w:r>
    </w:p>
    <w:p w14:paraId="2CF1FD20">
      <w:pPr>
        <w:snapToGrid w:val="0"/>
        <w:spacing w:before="165" w:beforeLines="50" w:after="50" w:line="400" w:lineRule="exact"/>
        <w:ind w:firstLine="360" w:firstLineChars="150"/>
        <w:rPr>
          <w:rFonts w:hint="eastAsia" w:ascii="宋体" w:hAnsi="宋体" w:eastAsia="宋体" w:cs="宋体"/>
          <w:bCs/>
          <w:color w:val="auto"/>
          <w:sz w:val="24"/>
          <w:highlight w:val="none"/>
        </w:rPr>
      </w:pPr>
      <w:r>
        <w:rPr>
          <w:rFonts w:hint="eastAsia" w:ascii="宋体" w:hAnsi="宋体" w:eastAsia="宋体" w:cs="宋体"/>
          <w:bCs/>
          <w:color w:val="auto"/>
          <w:sz w:val="24"/>
          <w:highlight w:val="none"/>
        </w:rPr>
        <w:t>投标人地址：</w:t>
      </w:r>
    </w:p>
    <w:p w14:paraId="20DFA579">
      <w:pPr>
        <w:snapToGrid w:val="0"/>
        <w:spacing w:before="165" w:beforeLines="50" w:after="50"/>
        <w:ind w:firstLine="645"/>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年月日</w:t>
      </w:r>
    </w:p>
    <w:p w14:paraId="666B39A7">
      <w:pPr>
        <w:snapToGrid w:val="0"/>
        <w:spacing w:before="165" w:beforeLines="50" w:after="50"/>
        <w:ind w:firstLine="645"/>
        <w:jc w:val="center"/>
        <w:rPr>
          <w:rFonts w:hint="eastAsia" w:ascii="宋体" w:hAnsi="宋体" w:eastAsia="宋体" w:cs="宋体"/>
          <w:color w:val="auto"/>
          <w:sz w:val="24"/>
          <w:szCs w:val="20"/>
          <w:highlight w:val="none"/>
        </w:rPr>
      </w:pPr>
    </w:p>
    <w:p w14:paraId="2B72ABF3">
      <w:pPr>
        <w:jc w:val="center"/>
        <w:rPr>
          <w:rFonts w:hint="eastAsia" w:ascii="宋体" w:hAnsi="宋体" w:eastAsia="宋体" w:cs="宋体"/>
          <w:b/>
          <w:color w:val="auto"/>
          <w:kern w:val="0"/>
          <w:sz w:val="28"/>
          <w:szCs w:val="28"/>
          <w:highlight w:val="none"/>
        </w:rPr>
      </w:pPr>
      <w:r>
        <w:rPr>
          <w:rFonts w:hint="eastAsia" w:ascii="宋体" w:hAnsi="宋体" w:eastAsia="宋体" w:cs="宋体"/>
          <w:b/>
          <w:bCs/>
          <w:color w:val="auto"/>
          <w:sz w:val="24"/>
          <w:highlight w:val="none"/>
        </w:rPr>
        <w:br w:type="page"/>
      </w:r>
      <w:r>
        <w:rPr>
          <w:rFonts w:hint="eastAsia" w:ascii="宋体" w:hAnsi="宋体" w:eastAsia="宋体" w:cs="宋体"/>
          <w:b/>
          <w:color w:val="auto"/>
          <w:kern w:val="0"/>
          <w:sz w:val="28"/>
          <w:szCs w:val="28"/>
          <w:highlight w:val="none"/>
        </w:rPr>
        <w:t>技术文件目录</w:t>
      </w:r>
    </w:p>
    <w:p w14:paraId="031F8223">
      <w:pPr>
        <w:pStyle w:val="88"/>
        <w:spacing w:line="360" w:lineRule="auto"/>
        <w:rPr>
          <w:rFonts w:hint="eastAsia" w:ascii="宋体" w:hAnsi="宋体" w:eastAsia="宋体" w:cs="宋体"/>
          <w:color w:val="auto"/>
          <w:highlight w:val="none"/>
        </w:rPr>
      </w:pPr>
      <w:r>
        <w:rPr>
          <w:rFonts w:hint="eastAsia" w:ascii="宋体" w:hAnsi="宋体" w:eastAsia="宋体" w:cs="宋体"/>
          <w:color w:val="auto"/>
          <w:highlight w:val="none"/>
        </w:rPr>
        <w:t>一、投标服务技术需求偏离表…………………………………………………（页码）</w:t>
      </w:r>
    </w:p>
    <w:p w14:paraId="4EB7D660">
      <w:pPr>
        <w:pStyle w:val="88"/>
        <w:spacing w:line="360" w:lineRule="auto"/>
        <w:rPr>
          <w:rFonts w:hint="eastAsia" w:ascii="宋体" w:hAnsi="宋体" w:eastAsia="宋体" w:cs="宋体"/>
          <w:color w:val="auto"/>
          <w:highlight w:val="none"/>
        </w:rPr>
      </w:pPr>
      <w:r>
        <w:rPr>
          <w:rFonts w:hint="eastAsia" w:ascii="宋体" w:hAnsi="宋体" w:eastAsia="宋体" w:cs="宋体"/>
          <w:color w:val="auto"/>
          <w:highlight w:val="none"/>
        </w:rPr>
        <w:t>二、技术</w:t>
      </w:r>
      <w:r>
        <w:rPr>
          <w:rFonts w:hint="eastAsia" w:ascii="宋体" w:hAnsi="宋体" w:eastAsia="宋体" w:cs="宋体"/>
          <w:color w:val="auto"/>
          <w:highlight w:val="none"/>
          <w:lang w:val="en-US" w:eastAsia="zh-CN"/>
        </w:rPr>
        <w:t>实施</w:t>
      </w:r>
      <w:r>
        <w:rPr>
          <w:rFonts w:hint="eastAsia" w:ascii="宋体" w:hAnsi="宋体" w:eastAsia="宋体" w:cs="宋体"/>
          <w:color w:val="auto"/>
          <w:highlight w:val="none"/>
        </w:rPr>
        <w:t>方案…………………………</w:t>
      </w:r>
      <w:r>
        <w:rPr>
          <w:rFonts w:hint="eastAsia" w:ascii="宋体" w:hAnsi="宋体" w:eastAsia="宋体" w:cs="宋体"/>
          <w:color w:val="auto"/>
          <w:highlight w:val="none"/>
          <w:lang w:val="zh-CN"/>
        </w:rPr>
        <w:t>………</w:t>
      </w:r>
      <w:r>
        <w:rPr>
          <w:rFonts w:hint="eastAsia" w:ascii="宋体" w:hAnsi="宋体" w:eastAsia="宋体" w:cs="宋体"/>
          <w:color w:val="auto"/>
          <w:highlight w:val="none"/>
        </w:rPr>
        <w:t>……………………………（页码）</w:t>
      </w:r>
    </w:p>
    <w:p w14:paraId="0D1F28E2">
      <w:pPr>
        <w:pStyle w:val="88"/>
        <w:spacing w:line="360" w:lineRule="auto"/>
        <w:rPr>
          <w:rFonts w:hint="eastAsia" w:ascii="宋体" w:hAnsi="宋体" w:eastAsia="宋体" w:cs="宋体"/>
          <w:color w:val="auto"/>
          <w:highlight w:val="none"/>
        </w:rPr>
      </w:pPr>
      <w:r>
        <w:rPr>
          <w:rFonts w:hint="eastAsia" w:ascii="宋体" w:hAnsi="宋体" w:eastAsia="宋体" w:cs="宋体"/>
          <w:color w:val="auto"/>
          <w:highlight w:val="none"/>
        </w:rPr>
        <w:t>三、售后服务方案…………………………</w:t>
      </w:r>
      <w:r>
        <w:rPr>
          <w:rFonts w:hint="eastAsia" w:ascii="宋体" w:hAnsi="宋体" w:eastAsia="宋体" w:cs="宋体"/>
          <w:color w:val="auto"/>
          <w:highlight w:val="none"/>
          <w:lang w:val="zh-CN"/>
        </w:rPr>
        <w:t>………</w:t>
      </w:r>
      <w:r>
        <w:rPr>
          <w:rFonts w:hint="eastAsia" w:ascii="宋体" w:hAnsi="宋体" w:eastAsia="宋体" w:cs="宋体"/>
          <w:color w:val="auto"/>
          <w:highlight w:val="none"/>
        </w:rPr>
        <w:t>……………………………（页码）</w:t>
      </w:r>
    </w:p>
    <w:p w14:paraId="63AB8A1E">
      <w:pPr>
        <w:pStyle w:val="88"/>
        <w:spacing w:line="360" w:lineRule="auto"/>
        <w:ind w:left="0"/>
        <w:rPr>
          <w:rFonts w:hint="eastAsia" w:ascii="宋体" w:hAnsi="宋体" w:eastAsia="宋体" w:cs="宋体"/>
          <w:color w:val="auto"/>
          <w:highlight w:val="none"/>
        </w:rPr>
      </w:pPr>
      <w:r>
        <w:rPr>
          <w:rFonts w:hint="eastAsia" w:ascii="宋体" w:hAnsi="宋体" w:eastAsia="宋体" w:cs="宋体"/>
          <w:color w:val="auto"/>
          <w:highlight w:val="none"/>
        </w:rPr>
        <w:t>四、</w:t>
      </w:r>
      <w:r>
        <w:rPr>
          <w:rFonts w:hint="eastAsia" w:ascii="宋体" w:hAnsi="宋体" w:eastAsia="宋体" w:cs="宋体"/>
          <w:color w:val="auto"/>
          <w:highlight w:val="none"/>
          <w:lang w:val="zh-CN"/>
        </w:rPr>
        <w:t>项目实施人员一览表………………………………</w:t>
      </w:r>
      <w:r>
        <w:rPr>
          <w:rFonts w:hint="eastAsia" w:ascii="宋体" w:hAnsi="宋体" w:eastAsia="宋体" w:cs="宋体"/>
          <w:color w:val="auto"/>
          <w:highlight w:val="none"/>
        </w:rPr>
        <w:t>………………………（页码）</w:t>
      </w:r>
    </w:p>
    <w:p w14:paraId="651CE953">
      <w:pPr>
        <w:pStyle w:val="88"/>
        <w:spacing w:line="360" w:lineRule="auto"/>
        <w:rPr>
          <w:rFonts w:hint="eastAsia" w:ascii="宋体" w:hAnsi="宋体" w:eastAsia="宋体" w:cs="宋体"/>
          <w:color w:val="auto"/>
          <w:highlight w:val="none"/>
        </w:rPr>
      </w:pPr>
      <w:r>
        <w:rPr>
          <w:rFonts w:hint="eastAsia" w:ascii="宋体" w:hAnsi="宋体" w:eastAsia="宋体" w:cs="宋体"/>
          <w:color w:val="auto"/>
          <w:highlight w:val="none"/>
          <w:lang w:val="en-US" w:eastAsia="zh-CN"/>
        </w:rPr>
        <w:t>五</w:t>
      </w:r>
      <w:r>
        <w:rPr>
          <w:rFonts w:hint="eastAsia" w:ascii="宋体" w:hAnsi="宋体" w:eastAsia="宋体" w:cs="宋体"/>
          <w:color w:val="auto"/>
          <w:highlight w:val="none"/>
        </w:rPr>
        <w:t>、投标人对项目的合理化建议和改进措施………………………………</w:t>
      </w:r>
      <w:r>
        <w:rPr>
          <w:rFonts w:hint="eastAsia" w:ascii="宋体" w:hAnsi="宋体" w:eastAsia="宋体" w:cs="宋体"/>
          <w:color w:val="auto"/>
          <w:highlight w:val="none"/>
          <w:lang w:val="zh-CN"/>
        </w:rPr>
        <w:t>…</w:t>
      </w:r>
      <w:r>
        <w:rPr>
          <w:rFonts w:hint="eastAsia" w:ascii="宋体" w:hAnsi="宋体" w:eastAsia="宋体" w:cs="宋体"/>
          <w:color w:val="auto"/>
          <w:highlight w:val="none"/>
        </w:rPr>
        <w:t>（页码）</w:t>
      </w:r>
    </w:p>
    <w:p w14:paraId="10666230">
      <w:pPr>
        <w:pStyle w:val="88"/>
        <w:spacing w:line="360" w:lineRule="auto"/>
        <w:rPr>
          <w:rFonts w:hint="eastAsia" w:ascii="宋体" w:hAnsi="宋体" w:eastAsia="宋体" w:cs="宋体"/>
          <w:color w:val="auto"/>
          <w:highlight w:val="none"/>
        </w:rPr>
      </w:pPr>
      <w:r>
        <w:rPr>
          <w:rFonts w:hint="eastAsia" w:ascii="宋体" w:hAnsi="宋体" w:eastAsia="宋体" w:cs="宋体"/>
          <w:color w:val="auto"/>
          <w:highlight w:val="none"/>
          <w:lang w:val="en-US" w:eastAsia="zh-CN"/>
        </w:rPr>
        <w:t>六</w:t>
      </w:r>
      <w:r>
        <w:rPr>
          <w:rFonts w:hint="eastAsia" w:ascii="宋体" w:hAnsi="宋体" w:eastAsia="宋体" w:cs="宋体"/>
          <w:color w:val="auto"/>
          <w:highlight w:val="none"/>
        </w:rPr>
        <w:t>、</w:t>
      </w:r>
      <w:r>
        <w:rPr>
          <w:rFonts w:hint="eastAsia" w:ascii="宋体" w:hAnsi="宋体" w:eastAsia="宋体" w:cs="宋体"/>
          <w:color w:val="auto"/>
          <w:szCs w:val="21"/>
          <w:highlight w:val="none"/>
        </w:rPr>
        <w:t>除招标文件规定必须提供以外，投标人需要说明的其他文件和说明</w:t>
      </w:r>
      <w:r>
        <w:rPr>
          <w:rFonts w:hint="eastAsia" w:ascii="宋体" w:hAnsi="宋体" w:eastAsia="宋体" w:cs="宋体"/>
          <w:color w:val="auto"/>
          <w:highlight w:val="none"/>
          <w:lang w:val="zh-CN"/>
        </w:rPr>
        <w:t>…</w:t>
      </w:r>
      <w:r>
        <w:rPr>
          <w:rFonts w:hint="eastAsia" w:ascii="宋体" w:hAnsi="宋体" w:eastAsia="宋体" w:cs="宋体"/>
          <w:color w:val="auto"/>
          <w:highlight w:val="none"/>
        </w:rPr>
        <w:t>（页码）</w:t>
      </w:r>
    </w:p>
    <w:p w14:paraId="04C129B8">
      <w:pPr>
        <w:spacing w:line="360" w:lineRule="auto"/>
        <w:ind w:firstLine="482" w:firstLineChars="200"/>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注：以上目录是基本格式要求，各投标人可根据自身情况进一步向下增加内容或细化。</w:t>
      </w:r>
    </w:p>
    <w:p w14:paraId="01838D2A">
      <w:pPr>
        <w:snapToGrid w:val="0"/>
        <w:spacing w:before="165" w:beforeLines="50" w:after="50"/>
        <w:ind w:left="143" w:leftChars="68" w:firstLine="472" w:firstLineChars="196"/>
        <w:jc w:val="left"/>
        <w:rPr>
          <w:rFonts w:hint="eastAsia" w:ascii="宋体" w:hAnsi="宋体" w:eastAsia="宋体" w:cs="宋体"/>
          <w:b/>
          <w:color w:val="auto"/>
          <w:sz w:val="24"/>
          <w:highlight w:val="none"/>
        </w:rPr>
      </w:pPr>
    </w:p>
    <w:p w14:paraId="1A7A55ED">
      <w:pPr>
        <w:snapToGrid w:val="0"/>
        <w:spacing w:before="165" w:beforeLines="50" w:after="50"/>
        <w:ind w:left="143" w:leftChars="68" w:firstLine="472" w:firstLineChars="196"/>
        <w:jc w:val="left"/>
        <w:rPr>
          <w:rFonts w:hint="eastAsia" w:ascii="宋体" w:hAnsi="宋体" w:eastAsia="宋体" w:cs="宋体"/>
          <w:b/>
          <w:color w:val="auto"/>
          <w:sz w:val="24"/>
          <w:highlight w:val="none"/>
          <w:lang w:eastAsia="zh-CN"/>
        </w:rPr>
      </w:pPr>
      <w:r>
        <w:rPr>
          <w:rFonts w:hint="eastAsia" w:ascii="宋体" w:hAnsi="宋体" w:eastAsia="宋体" w:cs="宋体"/>
          <w:b/>
          <w:color w:val="auto"/>
          <w:sz w:val="24"/>
          <w:highlight w:val="none"/>
        </w:rPr>
        <w:br w:type="page"/>
      </w:r>
    </w:p>
    <w:p w14:paraId="330B63B9">
      <w:pPr>
        <w:pStyle w:val="18"/>
        <w:spacing w:line="500" w:lineRule="exact"/>
        <w:jc w:val="center"/>
        <w:rPr>
          <w:rFonts w:hint="eastAsia" w:ascii="宋体" w:hAnsi="宋体" w:eastAsia="宋体" w:cs="宋体"/>
          <w:b/>
          <w:bCs/>
          <w:color w:val="auto"/>
          <w:sz w:val="30"/>
          <w:szCs w:val="30"/>
          <w:highlight w:val="none"/>
        </w:rPr>
      </w:pPr>
      <w:r>
        <w:rPr>
          <w:rFonts w:hint="eastAsia" w:ascii="宋体" w:hAnsi="宋体" w:eastAsia="宋体" w:cs="宋体"/>
          <w:b/>
          <w:bCs/>
          <w:color w:val="auto"/>
          <w:sz w:val="30"/>
          <w:szCs w:val="30"/>
          <w:highlight w:val="none"/>
        </w:rPr>
        <w:t>一、投标服务技术需求偏离表</w:t>
      </w:r>
    </w:p>
    <w:p w14:paraId="42731A32">
      <w:pPr>
        <w:pStyle w:val="18"/>
        <w:spacing w:line="440" w:lineRule="exact"/>
        <w:ind w:firstLine="420" w:firstLineChars="200"/>
        <w:rPr>
          <w:rFonts w:hint="eastAsia" w:ascii="宋体" w:hAnsi="宋体" w:eastAsia="宋体" w:cs="宋体"/>
          <w:color w:val="auto"/>
          <w:highlight w:val="none"/>
        </w:rPr>
      </w:pPr>
    </w:p>
    <w:p w14:paraId="2749B23B">
      <w:pPr>
        <w:pStyle w:val="18"/>
        <w:spacing w:line="60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请根据所投服务的实际技术参数，</w:t>
      </w:r>
      <w:r>
        <w:rPr>
          <w:rFonts w:hint="eastAsia" w:ascii="宋体" w:hAnsi="宋体" w:eastAsia="宋体" w:cs="宋体"/>
          <w:b/>
          <w:color w:val="auto"/>
          <w:sz w:val="28"/>
          <w:szCs w:val="28"/>
          <w:highlight w:val="none"/>
        </w:rPr>
        <w:t>逐条对应</w:t>
      </w:r>
      <w:r>
        <w:rPr>
          <w:rFonts w:hint="eastAsia" w:ascii="宋体" w:hAnsi="宋体" w:eastAsia="宋体" w:cs="宋体"/>
          <w:color w:val="auto"/>
          <w:sz w:val="24"/>
          <w:szCs w:val="24"/>
          <w:highlight w:val="none"/>
        </w:rPr>
        <w:t>本项目招标文件第二章“服务需求一览表”中的</w:t>
      </w:r>
      <w:r>
        <w:rPr>
          <w:rFonts w:hint="eastAsia" w:ascii="宋体" w:hAnsi="宋体" w:eastAsia="宋体" w:cs="宋体"/>
          <w:b/>
          <w:color w:val="auto"/>
          <w:sz w:val="28"/>
          <w:szCs w:val="28"/>
          <w:highlight w:val="none"/>
        </w:rPr>
        <w:t>采购清单及服务参数</w:t>
      </w:r>
      <w:r>
        <w:rPr>
          <w:rFonts w:hint="eastAsia" w:ascii="宋体" w:hAnsi="宋体" w:eastAsia="宋体" w:cs="宋体"/>
          <w:color w:val="auto"/>
          <w:sz w:val="24"/>
          <w:szCs w:val="24"/>
          <w:highlight w:val="none"/>
        </w:rPr>
        <w:t>详细填写相应的具体内容。“偏离说明”一栏应当选择“正偏离”、“负偏离”或“无偏离”进行填写。</w:t>
      </w:r>
    </w:p>
    <w:tbl>
      <w:tblPr>
        <w:tblStyle w:val="3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34"/>
        <w:gridCol w:w="1260"/>
        <w:gridCol w:w="2310"/>
        <w:gridCol w:w="1516"/>
        <w:gridCol w:w="3297"/>
        <w:gridCol w:w="1168"/>
      </w:tblGrid>
      <w:tr w14:paraId="25F23E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17" w:hRule="atLeast"/>
          <w:jc w:val="center"/>
        </w:trPr>
        <w:tc>
          <w:tcPr>
            <w:tcW w:w="634" w:type="dxa"/>
            <w:vMerge w:val="restart"/>
            <w:tcBorders>
              <w:top w:val="single" w:color="auto" w:sz="4" w:space="0"/>
              <w:left w:val="single" w:color="auto" w:sz="4" w:space="0"/>
              <w:bottom w:val="single" w:color="auto" w:sz="4" w:space="0"/>
              <w:right w:val="single" w:color="auto" w:sz="4" w:space="0"/>
            </w:tcBorders>
            <w:noWrap w:val="0"/>
            <w:vAlign w:val="center"/>
          </w:tcPr>
          <w:p w14:paraId="1EE452AA">
            <w:pPr>
              <w:rPr>
                <w:rFonts w:hint="eastAsia" w:ascii="宋体" w:hAnsi="宋体" w:eastAsia="宋体" w:cs="宋体"/>
                <w:color w:val="auto"/>
                <w:szCs w:val="21"/>
                <w:highlight w:val="none"/>
              </w:rPr>
            </w:pPr>
            <w:r>
              <w:rPr>
                <w:rFonts w:hint="eastAsia" w:ascii="宋体" w:hAnsi="宋体" w:eastAsia="宋体" w:cs="宋体"/>
                <w:color w:val="auto"/>
                <w:szCs w:val="21"/>
                <w:highlight w:val="none"/>
              </w:rPr>
              <w:t>项号</w:t>
            </w:r>
          </w:p>
        </w:tc>
        <w:tc>
          <w:tcPr>
            <w:tcW w:w="3570" w:type="dxa"/>
            <w:gridSpan w:val="2"/>
            <w:tcBorders>
              <w:top w:val="single" w:color="auto" w:sz="4" w:space="0"/>
              <w:left w:val="single" w:color="auto" w:sz="4" w:space="0"/>
              <w:bottom w:val="single" w:color="auto" w:sz="4" w:space="0"/>
              <w:right w:val="single" w:color="auto" w:sz="4" w:space="0"/>
            </w:tcBorders>
            <w:noWrap w:val="0"/>
            <w:vAlign w:val="center"/>
          </w:tcPr>
          <w:p w14:paraId="6643D6DE">
            <w:pPr>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招标文件需求</w:t>
            </w:r>
          </w:p>
        </w:tc>
        <w:tc>
          <w:tcPr>
            <w:tcW w:w="4813" w:type="dxa"/>
            <w:gridSpan w:val="2"/>
            <w:tcBorders>
              <w:top w:val="single" w:color="auto" w:sz="4" w:space="0"/>
              <w:left w:val="single" w:color="auto" w:sz="4" w:space="0"/>
              <w:bottom w:val="single" w:color="auto" w:sz="4" w:space="0"/>
              <w:right w:val="single" w:color="auto" w:sz="4" w:space="0"/>
            </w:tcBorders>
            <w:noWrap w:val="0"/>
            <w:vAlign w:val="center"/>
          </w:tcPr>
          <w:p w14:paraId="76D028DF">
            <w:pPr>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投标文件承诺</w:t>
            </w:r>
          </w:p>
        </w:tc>
        <w:tc>
          <w:tcPr>
            <w:tcW w:w="1168" w:type="dxa"/>
            <w:vMerge w:val="restart"/>
            <w:tcBorders>
              <w:top w:val="single" w:color="auto" w:sz="4" w:space="0"/>
              <w:left w:val="single" w:color="auto" w:sz="4" w:space="0"/>
              <w:bottom w:val="single" w:color="auto" w:sz="4" w:space="0"/>
              <w:right w:val="single" w:color="auto" w:sz="4" w:space="0"/>
            </w:tcBorders>
            <w:noWrap w:val="0"/>
            <w:vAlign w:val="center"/>
          </w:tcPr>
          <w:p w14:paraId="51F57545">
            <w:pPr>
              <w:rPr>
                <w:rFonts w:hint="eastAsia" w:ascii="宋体" w:hAnsi="宋体" w:eastAsia="宋体" w:cs="宋体"/>
                <w:color w:val="auto"/>
                <w:szCs w:val="21"/>
                <w:highlight w:val="none"/>
              </w:rPr>
            </w:pPr>
            <w:r>
              <w:rPr>
                <w:rFonts w:hint="eastAsia" w:ascii="宋体" w:hAnsi="宋体" w:eastAsia="宋体" w:cs="宋体"/>
                <w:color w:val="auto"/>
                <w:szCs w:val="21"/>
                <w:highlight w:val="none"/>
              </w:rPr>
              <w:t>偏离说明</w:t>
            </w:r>
          </w:p>
        </w:tc>
      </w:tr>
      <w:tr w14:paraId="1E2332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5" w:hRule="atLeast"/>
          <w:jc w:val="center"/>
        </w:trPr>
        <w:tc>
          <w:tcPr>
            <w:tcW w:w="10185" w:type="dxa"/>
            <w:vMerge w:val="continue"/>
            <w:tcBorders>
              <w:top w:val="single" w:color="auto" w:sz="4" w:space="0"/>
              <w:left w:val="single" w:color="auto" w:sz="4" w:space="0"/>
              <w:bottom w:val="single" w:color="auto" w:sz="4" w:space="0"/>
              <w:right w:val="single" w:color="auto" w:sz="4" w:space="0"/>
            </w:tcBorders>
            <w:noWrap w:val="0"/>
            <w:vAlign w:val="center"/>
          </w:tcPr>
          <w:p w14:paraId="512BE982">
            <w:pPr>
              <w:widowControl/>
              <w:jc w:val="left"/>
              <w:rPr>
                <w:rFonts w:hint="eastAsia" w:ascii="宋体" w:hAnsi="宋体" w:eastAsia="宋体" w:cs="宋体"/>
                <w:color w:val="auto"/>
                <w:szCs w:val="21"/>
                <w:highlight w:val="none"/>
              </w:rPr>
            </w:pPr>
          </w:p>
        </w:tc>
        <w:tc>
          <w:tcPr>
            <w:tcW w:w="1260" w:type="dxa"/>
            <w:tcBorders>
              <w:top w:val="single" w:color="auto" w:sz="4" w:space="0"/>
              <w:left w:val="single" w:color="auto" w:sz="4" w:space="0"/>
              <w:bottom w:val="single" w:color="auto" w:sz="4" w:space="0"/>
              <w:right w:val="single" w:color="auto" w:sz="4" w:space="0"/>
            </w:tcBorders>
            <w:noWrap w:val="0"/>
            <w:vAlign w:val="center"/>
          </w:tcPr>
          <w:p w14:paraId="661546C6">
            <w:pPr>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服务名称</w:t>
            </w:r>
          </w:p>
        </w:tc>
        <w:tc>
          <w:tcPr>
            <w:tcW w:w="2310" w:type="dxa"/>
            <w:tcBorders>
              <w:top w:val="single" w:color="auto" w:sz="4" w:space="0"/>
              <w:left w:val="single" w:color="auto" w:sz="4" w:space="0"/>
              <w:bottom w:val="single" w:color="auto" w:sz="4" w:space="0"/>
              <w:right w:val="single" w:color="auto" w:sz="4" w:space="0"/>
            </w:tcBorders>
            <w:noWrap w:val="0"/>
            <w:vAlign w:val="center"/>
          </w:tcPr>
          <w:p w14:paraId="4CBFE4EB">
            <w:pPr>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服务参数</w:t>
            </w:r>
          </w:p>
        </w:tc>
        <w:tc>
          <w:tcPr>
            <w:tcW w:w="1516" w:type="dxa"/>
            <w:tcBorders>
              <w:top w:val="single" w:color="auto" w:sz="4" w:space="0"/>
              <w:left w:val="single" w:color="auto" w:sz="4" w:space="0"/>
              <w:bottom w:val="single" w:color="auto" w:sz="4" w:space="0"/>
              <w:right w:val="single" w:color="auto" w:sz="4" w:space="0"/>
            </w:tcBorders>
            <w:noWrap w:val="0"/>
            <w:vAlign w:val="center"/>
          </w:tcPr>
          <w:p w14:paraId="7FDF41B7">
            <w:pPr>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服务名称</w:t>
            </w:r>
          </w:p>
        </w:tc>
        <w:tc>
          <w:tcPr>
            <w:tcW w:w="3297" w:type="dxa"/>
            <w:tcBorders>
              <w:top w:val="single" w:color="auto" w:sz="4" w:space="0"/>
              <w:left w:val="single" w:color="auto" w:sz="4" w:space="0"/>
              <w:bottom w:val="single" w:color="auto" w:sz="4" w:space="0"/>
              <w:right w:val="single" w:color="auto" w:sz="4" w:space="0"/>
            </w:tcBorders>
            <w:noWrap w:val="0"/>
            <w:vAlign w:val="center"/>
          </w:tcPr>
          <w:p w14:paraId="3F11BF06">
            <w:pPr>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所提供服务的内容</w:t>
            </w:r>
          </w:p>
        </w:tc>
        <w:tc>
          <w:tcPr>
            <w:tcW w:w="1168" w:type="dxa"/>
            <w:vMerge w:val="continue"/>
            <w:tcBorders>
              <w:top w:val="single" w:color="auto" w:sz="4" w:space="0"/>
              <w:left w:val="single" w:color="auto" w:sz="4" w:space="0"/>
              <w:bottom w:val="single" w:color="auto" w:sz="4" w:space="0"/>
              <w:right w:val="single" w:color="auto" w:sz="4" w:space="0"/>
            </w:tcBorders>
            <w:noWrap w:val="0"/>
            <w:vAlign w:val="center"/>
          </w:tcPr>
          <w:p w14:paraId="3273D9C2">
            <w:pPr>
              <w:widowControl/>
              <w:jc w:val="left"/>
              <w:rPr>
                <w:rFonts w:hint="eastAsia" w:ascii="宋体" w:hAnsi="宋体" w:eastAsia="宋体" w:cs="宋体"/>
                <w:color w:val="auto"/>
                <w:szCs w:val="21"/>
                <w:highlight w:val="none"/>
              </w:rPr>
            </w:pPr>
          </w:p>
        </w:tc>
      </w:tr>
      <w:tr w14:paraId="6C5CDD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34" w:type="dxa"/>
            <w:tcBorders>
              <w:top w:val="single" w:color="auto" w:sz="4" w:space="0"/>
              <w:left w:val="single" w:color="auto" w:sz="4" w:space="0"/>
              <w:bottom w:val="single" w:color="auto" w:sz="4" w:space="0"/>
              <w:right w:val="single" w:color="auto" w:sz="4" w:space="0"/>
            </w:tcBorders>
            <w:noWrap w:val="0"/>
            <w:vAlign w:val="center"/>
          </w:tcPr>
          <w:p w14:paraId="532C5F88">
            <w:pPr>
              <w:rPr>
                <w:rFonts w:hint="eastAsia" w:ascii="宋体" w:hAnsi="宋体" w:eastAsia="宋体" w:cs="宋体"/>
                <w:color w:val="auto"/>
                <w:szCs w:val="21"/>
                <w:highlight w:val="none"/>
              </w:rPr>
            </w:pPr>
            <w:r>
              <w:rPr>
                <w:rFonts w:hint="eastAsia" w:ascii="宋体" w:hAnsi="宋体" w:eastAsia="宋体" w:cs="宋体"/>
                <w:color w:val="auto"/>
                <w:szCs w:val="21"/>
                <w:highlight w:val="none"/>
              </w:rPr>
              <w:t>1</w:t>
            </w:r>
          </w:p>
        </w:tc>
        <w:tc>
          <w:tcPr>
            <w:tcW w:w="1260" w:type="dxa"/>
            <w:tcBorders>
              <w:top w:val="single" w:color="auto" w:sz="4" w:space="0"/>
              <w:left w:val="single" w:color="auto" w:sz="4" w:space="0"/>
              <w:bottom w:val="single" w:color="auto" w:sz="4" w:space="0"/>
              <w:right w:val="single" w:color="auto" w:sz="4" w:space="0"/>
            </w:tcBorders>
            <w:noWrap w:val="0"/>
            <w:vAlign w:val="center"/>
          </w:tcPr>
          <w:p w14:paraId="1E7F579D">
            <w:pPr>
              <w:rPr>
                <w:rFonts w:hint="eastAsia" w:ascii="宋体" w:hAnsi="宋体" w:eastAsia="宋体" w:cs="宋体"/>
                <w:color w:val="auto"/>
                <w:szCs w:val="21"/>
                <w:highlight w:val="none"/>
              </w:rPr>
            </w:pPr>
            <w:r>
              <w:rPr>
                <w:rFonts w:hint="eastAsia" w:ascii="宋体" w:hAnsi="宋体" w:eastAsia="宋体" w:cs="宋体"/>
                <w:color w:val="auto"/>
                <w:szCs w:val="21"/>
                <w:highlight w:val="none"/>
              </w:rPr>
              <w:t>……</w:t>
            </w:r>
          </w:p>
        </w:tc>
        <w:tc>
          <w:tcPr>
            <w:tcW w:w="2310" w:type="dxa"/>
            <w:tcBorders>
              <w:top w:val="single" w:color="auto" w:sz="4" w:space="0"/>
              <w:left w:val="single" w:color="auto" w:sz="4" w:space="0"/>
              <w:bottom w:val="single" w:color="auto" w:sz="4" w:space="0"/>
              <w:right w:val="single" w:color="auto" w:sz="4" w:space="0"/>
            </w:tcBorders>
            <w:noWrap w:val="0"/>
            <w:vAlign w:val="center"/>
          </w:tcPr>
          <w:p w14:paraId="27B791F2">
            <w:pPr>
              <w:rPr>
                <w:rFonts w:hint="eastAsia" w:ascii="宋体" w:hAnsi="宋体" w:eastAsia="宋体" w:cs="宋体"/>
                <w:color w:val="auto"/>
                <w:szCs w:val="21"/>
                <w:highlight w:val="none"/>
              </w:rPr>
            </w:pPr>
            <w:r>
              <w:rPr>
                <w:rFonts w:hint="eastAsia" w:ascii="宋体" w:hAnsi="宋体" w:eastAsia="宋体" w:cs="宋体"/>
                <w:color w:val="auto"/>
                <w:szCs w:val="21"/>
                <w:highlight w:val="none"/>
              </w:rPr>
              <w:t>1……</w:t>
            </w:r>
          </w:p>
          <w:p w14:paraId="37389DC8">
            <w:pPr>
              <w:rPr>
                <w:rFonts w:hint="eastAsia" w:ascii="宋体" w:hAnsi="宋体" w:eastAsia="宋体" w:cs="宋体"/>
                <w:color w:val="auto"/>
                <w:szCs w:val="21"/>
                <w:highlight w:val="none"/>
              </w:rPr>
            </w:pPr>
            <w:r>
              <w:rPr>
                <w:rFonts w:hint="eastAsia" w:ascii="宋体" w:hAnsi="宋体" w:eastAsia="宋体" w:cs="宋体"/>
                <w:color w:val="auto"/>
                <w:szCs w:val="21"/>
                <w:highlight w:val="none"/>
              </w:rPr>
              <w:t>2……</w:t>
            </w:r>
          </w:p>
          <w:p w14:paraId="3811D649">
            <w:pPr>
              <w:rPr>
                <w:rFonts w:hint="eastAsia" w:ascii="宋体" w:hAnsi="宋体" w:eastAsia="宋体" w:cs="宋体"/>
                <w:color w:val="auto"/>
                <w:szCs w:val="21"/>
                <w:highlight w:val="none"/>
              </w:rPr>
            </w:pPr>
            <w:r>
              <w:rPr>
                <w:rFonts w:hint="eastAsia" w:ascii="宋体" w:hAnsi="宋体" w:eastAsia="宋体" w:cs="宋体"/>
                <w:color w:val="auto"/>
                <w:szCs w:val="21"/>
                <w:highlight w:val="none"/>
              </w:rPr>
              <w:t>3……</w:t>
            </w:r>
          </w:p>
          <w:p w14:paraId="48F45399">
            <w:pPr>
              <w:rPr>
                <w:rFonts w:hint="eastAsia" w:ascii="宋体" w:hAnsi="宋体" w:eastAsia="宋体" w:cs="宋体"/>
                <w:color w:val="auto"/>
                <w:szCs w:val="21"/>
                <w:highlight w:val="none"/>
              </w:rPr>
            </w:pPr>
            <w:r>
              <w:rPr>
                <w:rFonts w:hint="eastAsia" w:ascii="宋体" w:hAnsi="宋体" w:eastAsia="宋体" w:cs="宋体"/>
                <w:color w:val="auto"/>
                <w:szCs w:val="21"/>
                <w:highlight w:val="none"/>
              </w:rPr>
              <w:t>……</w:t>
            </w:r>
          </w:p>
        </w:tc>
        <w:tc>
          <w:tcPr>
            <w:tcW w:w="1516" w:type="dxa"/>
            <w:tcBorders>
              <w:top w:val="single" w:color="auto" w:sz="4" w:space="0"/>
              <w:left w:val="single" w:color="auto" w:sz="4" w:space="0"/>
              <w:bottom w:val="single" w:color="auto" w:sz="4" w:space="0"/>
              <w:right w:val="single" w:color="auto" w:sz="4" w:space="0"/>
            </w:tcBorders>
            <w:noWrap w:val="0"/>
            <w:vAlign w:val="center"/>
          </w:tcPr>
          <w:p w14:paraId="16A2BB19">
            <w:pPr>
              <w:rPr>
                <w:rFonts w:hint="eastAsia" w:ascii="宋体" w:hAnsi="宋体" w:eastAsia="宋体" w:cs="宋体"/>
                <w:color w:val="auto"/>
                <w:szCs w:val="21"/>
                <w:highlight w:val="none"/>
              </w:rPr>
            </w:pPr>
            <w:r>
              <w:rPr>
                <w:rFonts w:hint="eastAsia" w:ascii="宋体" w:hAnsi="宋体" w:eastAsia="宋体" w:cs="宋体"/>
                <w:color w:val="auto"/>
                <w:szCs w:val="21"/>
                <w:highlight w:val="none"/>
              </w:rPr>
              <w:t>……</w:t>
            </w:r>
          </w:p>
        </w:tc>
        <w:tc>
          <w:tcPr>
            <w:tcW w:w="3297" w:type="dxa"/>
            <w:tcBorders>
              <w:top w:val="single" w:color="auto" w:sz="4" w:space="0"/>
              <w:left w:val="single" w:color="auto" w:sz="4" w:space="0"/>
              <w:bottom w:val="single" w:color="auto" w:sz="4" w:space="0"/>
              <w:right w:val="single" w:color="auto" w:sz="4" w:space="0"/>
            </w:tcBorders>
            <w:noWrap w:val="0"/>
            <w:vAlign w:val="center"/>
          </w:tcPr>
          <w:p w14:paraId="328356FB">
            <w:pPr>
              <w:rPr>
                <w:rFonts w:hint="eastAsia" w:ascii="宋体" w:hAnsi="宋体" w:eastAsia="宋体" w:cs="宋体"/>
                <w:color w:val="auto"/>
                <w:szCs w:val="21"/>
                <w:highlight w:val="none"/>
              </w:rPr>
            </w:pPr>
            <w:r>
              <w:rPr>
                <w:rFonts w:hint="eastAsia" w:ascii="宋体" w:hAnsi="宋体" w:eastAsia="宋体" w:cs="宋体"/>
                <w:color w:val="auto"/>
                <w:szCs w:val="21"/>
                <w:highlight w:val="none"/>
              </w:rPr>
              <w:t>1……</w:t>
            </w:r>
          </w:p>
          <w:p w14:paraId="05724F90">
            <w:pPr>
              <w:rPr>
                <w:rFonts w:hint="eastAsia" w:ascii="宋体" w:hAnsi="宋体" w:eastAsia="宋体" w:cs="宋体"/>
                <w:color w:val="auto"/>
                <w:szCs w:val="21"/>
                <w:highlight w:val="none"/>
              </w:rPr>
            </w:pPr>
            <w:r>
              <w:rPr>
                <w:rFonts w:hint="eastAsia" w:ascii="宋体" w:hAnsi="宋体" w:eastAsia="宋体" w:cs="宋体"/>
                <w:color w:val="auto"/>
                <w:szCs w:val="21"/>
                <w:highlight w:val="none"/>
              </w:rPr>
              <w:t>2……</w:t>
            </w:r>
          </w:p>
          <w:p w14:paraId="058CB900">
            <w:pPr>
              <w:rPr>
                <w:rFonts w:hint="eastAsia" w:ascii="宋体" w:hAnsi="宋体" w:eastAsia="宋体" w:cs="宋体"/>
                <w:color w:val="auto"/>
                <w:szCs w:val="21"/>
                <w:highlight w:val="none"/>
              </w:rPr>
            </w:pPr>
            <w:r>
              <w:rPr>
                <w:rFonts w:hint="eastAsia" w:ascii="宋体" w:hAnsi="宋体" w:eastAsia="宋体" w:cs="宋体"/>
                <w:color w:val="auto"/>
                <w:szCs w:val="21"/>
                <w:highlight w:val="none"/>
              </w:rPr>
              <w:t>3……</w:t>
            </w:r>
          </w:p>
          <w:p w14:paraId="69C3CA1F">
            <w:pPr>
              <w:rPr>
                <w:rFonts w:hint="eastAsia" w:ascii="宋体" w:hAnsi="宋体" w:eastAsia="宋体" w:cs="宋体"/>
                <w:color w:val="auto"/>
                <w:szCs w:val="21"/>
                <w:highlight w:val="none"/>
              </w:rPr>
            </w:pPr>
            <w:r>
              <w:rPr>
                <w:rFonts w:hint="eastAsia" w:ascii="宋体" w:hAnsi="宋体" w:eastAsia="宋体" w:cs="宋体"/>
                <w:color w:val="auto"/>
                <w:szCs w:val="21"/>
                <w:highlight w:val="none"/>
              </w:rPr>
              <w:t>……</w:t>
            </w:r>
          </w:p>
        </w:tc>
        <w:tc>
          <w:tcPr>
            <w:tcW w:w="1168" w:type="dxa"/>
            <w:tcBorders>
              <w:top w:val="single" w:color="auto" w:sz="4" w:space="0"/>
              <w:left w:val="single" w:color="auto" w:sz="4" w:space="0"/>
              <w:bottom w:val="single" w:color="auto" w:sz="4" w:space="0"/>
              <w:right w:val="single" w:color="auto" w:sz="4" w:space="0"/>
            </w:tcBorders>
            <w:noWrap w:val="0"/>
            <w:vAlign w:val="center"/>
          </w:tcPr>
          <w:p w14:paraId="1C8A1A32">
            <w:pPr>
              <w:rPr>
                <w:rFonts w:hint="eastAsia" w:ascii="宋体" w:hAnsi="宋体" w:eastAsia="宋体" w:cs="宋体"/>
                <w:color w:val="auto"/>
                <w:szCs w:val="21"/>
                <w:highlight w:val="none"/>
              </w:rPr>
            </w:pPr>
            <w:r>
              <w:rPr>
                <w:rFonts w:hint="eastAsia" w:ascii="宋体" w:hAnsi="宋体" w:eastAsia="宋体" w:cs="宋体"/>
                <w:color w:val="auto"/>
                <w:szCs w:val="21"/>
                <w:highlight w:val="none"/>
              </w:rPr>
              <w:t>正偏离（负偏离或无偏离）</w:t>
            </w:r>
          </w:p>
        </w:tc>
      </w:tr>
      <w:tr w14:paraId="5AD4A8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34" w:type="dxa"/>
            <w:tcBorders>
              <w:top w:val="single" w:color="auto" w:sz="4" w:space="0"/>
              <w:left w:val="single" w:color="auto" w:sz="4" w:space="0"/>
              <w:bottom w:val="single" w:color="auto" w:sz="4" w:space="0"/>
              <w:right w:val="single" w:color="auto" w:sz="4" w:space="0"/>
            </w:tcBorders>
            <w:noWrap w:val="0"/>
            <w:vAlign w:val="center"/>
          </w:tcPr>
          <w:p w14:paraId="0CB99AE7">
            <w:pPr>
              <w:rPr>
                <w:rFonts w:hint="eastAsia" w:ascii="宋体" w:hAnsi="宋体" w:eastAsia="宋体" w:cs="宋体"/>
                <w:color w:val="auto"/>
                <w:szCs w:val="21"/>
                <w:highlight w:val="none"/>
              </w:rPr>
            </w:pPr>
            <w:r>
              <w:rPr>
                <w:rFonts w:hint="eastAsia" w:ascii="宋体" w:hAnsi="宋体" w:eastAsia="宋体" w:cs="宋体"/>
                <w:color w:val="auto"/>
                <w:szCs w:val="21"/>
                <w:highlight w:val="none"/>
              </w:rPr>
              <w:t>2</w:t>
            </w:r>
          </w:p>
        </w:tc>
        <w:tc>
          <w:tcPr>
            <w:tcW w:w="1260" w:type="dxa"/>
            <w:tcBorders>
              <w:top w:val="single" w:color="auto" w:sz="4" w:space="0"/>
              <w:left w:val="single" w:color="auto" w:sz="4" w:space="0"/>
              <w:bottom w:val="single" w:color="auto" w:sz="4" w:space="0"/>
              <w:right w:val="single" w:color="auto" w:sz="4" w:space="0"/>
            </w:tcBorders>
            <w:noWrap w:val="0"/>
            <w:vAlign w:val="center"/>
          </w:tcPr>
          <w:p w14:paraId="25F96F95">
            <w:pPr>
              <w:rPr>
                <w:rFonts w:hint="eastAsia" w:ascii="宋体" w:hAnsi="宋体" w:eastAsia="宋体" w:cs="宋体"/>
                <w:color w:val="auto"/>
                <w:szCs w:val="21"/>
                <w:highlight w:val="none"/>
              </w:rPr>
            </w:pPr>
            <w:r>
              <w:rPr>
                <w:rFonts w:hint="eastAsia" w:ascii="宋体" w:hAnsi="宋体" w:eastAsia="宋体" w:cs="宋体"/>
                <w:color w:val="auto"/>
                <w:szCs w:val="21"/>
                <w:highlight w:val="none"/>
              </w:rPr>
              <w:t>……</w:t>
            </w:r>
          </w:p>
        </w:tc>
        <w:tc>
          <w:tcPr>
            <w:tcW w:w="2310" w:type="dxa"/>
            <w:tcBorders>
              <w:top w:val="single" w:color="auto" w:sz="4" w:space="0"/>
              <w:left w:val="single" w:color="auto" w:sz="4" w:space="0"/>
              <w:bottom w:val="single" w:color="auto" w:sz="4" w:space="0"/>
              <w:right w:val="single" w:color="auto" w:sz="4" w:space="0"/>
            </w:tcBorders>
            <w:noWrap w:val="0"/>
            <w:vAlign w:val="center"/>
          </w:tcPr>
          <w:p w14:paraId="13B8D9CE">
            <w:pPr>
              <w:rPr>
                <w:rFonts w:hint="eastAsia" w:ascii="宋体" w:hAnsi="宋体" w:eastAsia="宋体" w:cs="宋体"/>
                <w:color w:val="auto"/>
                <w:szCs w:val="21"/>
                <w:highlight w:val="none"/>
              </w:rPr>
            </w:pPr>
            <w:r>
              <w:rPr>
                <w:rFonts w:hint="eastAsia" w:ascii="宋体" w:hAnsi="宋体" w:eastAsia="宋体" w:cs="宋体"/>
                <w:color w:val="auto"/>
                <w:szCs w:val="21"/>
                <w:highlight w:val="none"/>
              </w:rPr>
              <w:t>1……</w:t>
            </w:r>
          </w:p>
          <w:p w14:paraId="0C80DA2E">
            <w:pPr>
              <w:rPr>
                <w:rFonts w:hint="eastAsia" w:ascii="宋体" w:hAnsi="宋体" w:eastAsia="宋体" w:cs="宋体"/>
                <w:color w:val="auto"/>
                <w:szCs w:val="21"/>
                <w:highlight w:val="none"/>
              </w:rPr>
            </w:pPr>
            <w:r>
              <w:rPr>
                <w:rFonts w:hint="eastAsia" w:ascii="宋体" w:hAnsi="宋体" w:eastAsia="宋体" w:cs="宋体"/>
                <w:color w:val="auto"/>
                <w:szCs w:val="21"/>
                <w:highlight w:val="none"/>
              </w:rPr>
              <w:t>2……</w:t>
            </w:r>
          </w:p>
          <w:p w14:paraId="3AB8AF76">
            <w:pPr>
              <w:rPr>
                <w:rFonts w:hint="eastAsia" w:ascii="宋体" w:hAnsi="宋体" w:eastAsia="宋体" w:cs="宋体"/>
                <w:color w:val="auto"/>
                <w:szCs w:val="21"/>
                <w:highlight w:val="none"/>
              </w:rPr>
            </w:pPr>
            <w:r>
              <w:rPr>
                <w:rFonts w:hint="eastAsia" w:ascii="宋体" w:hAnsi="宋体" w:eastAsia="宋体" w:cs="宋体"/>
                <w:color w:val="auto"/>
                <w:szCs w:val="21"/>
                <w:highlight w:val="none"/>
              </w:rPr>
              <w:t>3……</w:t>
            </w:r>
          </w:p>
          <w:p w14:paraId="43FDDDA8">
            <w:pPr>
              <w:rPr>
                <w:rFonts w:hint="eastAsia" w:ascii="宋体" w:hAnsi="宋体" w:eastAsia="宋体" w:cs="宋体"/>
                <w:color w:val="auto"/>
                <w:szCs w:val="21"/>
                <w:highlight w:val="none"/>
              </w:rPr>
            </w:pPr>
            <w:r>
              <w:rPr>
                <w:rFonts w:hint="eastAsia" w:ascii="宋体" w:hAnsi="宋体" w:eastAsia="宋体" w:cs="宋体"/>
                <w:color w:val="auto"/>
                <w:szCs w:val="21"/>
                <w:highlight w:val="none"/>
              </w:rPr>
              <w:t>……</w:t>
            </w:r>
          </w:p>
        </w:tc>
        <w:tc>
          <w:tcPr>
            <w:tcW w:w="1516" w:type="dxa"/>
            <w:tcBorders>
              <w:top w:val="single" w:color="auto" w:sz="4" w:space="0"/>
              <w:left w:val="single" w:color="auto" w:sz="4" w:space="0"/>
              <w:bottom w:val="single" w:color="auto" w:sz="4" w:space="0"/>
              <w:right w:val="single" w:color="auto" w:sz="4" w:space="0"/>
            </w:tcBorders>
            <w:noWrap w:val="0"/>
            <w:vAlign w:val="center"/>
          </w:tcPr>
          <w:p w14:paraId="77F79128">
            <w:pPr>
              <w:rPr>
                <w:rFonts w:hint="eastAsia" w:ascii="宋体" w:hAnsi="宋体" w:eastAsia="宋体" w:cs="宋体"/>
                <w:color w:val="auto"/>
                <w:szCs w:val="21"/>
                <w:highlight w:val="none"/>
              </w:rPr>
            </w:pPr>
            <w:r>
              <w:rPr>
                <w:rFonts w:hint="eastAsia" w:ascii="宋体" w:hAnsi="宋体" w:eastAsia="宋体" w:cs="宋体"/>
                <w:color w:val="auto"/>
                <w:szCs w:val="21"/>
                <w:highlight w:val="none"/>
              </w:rPr>
              <w:t>……</w:t>
            </w:r>
          </w:p>
        </w:tc>
        <w:tc>
          <w:tcPr>
            <w:tcW w:w="3297" w:type="dxa"/>
            <w:tcBorders>
              <w:top w:val="single" w:color="auto" w:sz="4" w:space="0"/>
              <w:left w:val="single" w:color="auto" w:sz="4" w:space="0"/>
              <w:bottom w:val="single" w:color="auto" w:sz="4" w:space="0"/>
              <w:right w:val="single" w:color="auto" w:sz="4" w:space="0"/>
            </w:tcBorders>
            <w:noWrap w:val="0"/>
            <w:vAlign w:val="center"/>
          </w:tcPr>
          <w:p w14:paraId="7FB60A51">
            <w:pPr>
              <w:rPr>
                <w:rFonts w:hint="eastAsia" w:ascii="宋体" w:hAnsi="宋体" w:eastAsia="宋体" w:cs="宋体"/>
                <w:color w:val="auto"/>
                <w:szCs w:val="21"/>
                <w:highlight w:val="none"/>
              </w:rPr>
            </w:pPr>
            <w:r>
              <w:rPr>
                <w:rFonts w:hint="eastAsia" w:ascii="宋体" w:hAnsi="宋体" w:eastAsia="宋体" w:cs="宋体"/>
                <w:color w:val="auto"/>
                <w:szCs w:val="21"/>
                <w:highlight w:val="none"/>
              </w:rPr>
              <w:t>1……</w:t>
            </w:r>
          </w:p>
          <w:p w14:paraId="7349464C">
            <w:pPr>
              <w:rPr>
                <w:rFonts w:hint="eastAsia" w:ascii="宋体" w:hAnsi="宋体" w:eastAsia="宋体" w:cs="宋体"/>
                <w:color w:val="auto"/>
                <w:szCs w:val="21"/>
                <w:highlight w:val="none"/>
              </w:rPr>
            </w:pPr>
            <w:r>
              <w:rPr>
                <w:rFonts w:hint="eastAsia" w:ascii="宋体" w:hAnsi="宋体" w:eastAsia="宋体" w:cs="宋体"/>
                <w:color w:val="auto"/>
                <w:szCs w:val="21"/>
                <w:highlight w:val="none"/>
              </w:rPr>
              <w:t>2……</w:t>
            </w:r>
          </w:p>
          <w:p w14:paraId="60564025">
            <w:pPr>
              <w:rPr>
                <w:rFonts w:hint="eastAsia" w:ascii="宋体" w:hAnsi="宋体" w:eastAsia="宋体" w:cs="宋体"/>
                <w:color w:val="auto"/>
                <w:szCs w:val="21"/>
                <w:highlight w:val="none"/>
              </w:rPr>
            </w:pPr>
            <w:r>
              <w:rPr>
                <w:rFonts w:hint="eastAsia" w:ascii="宋体" w:hAnsi="宋体" w:eastAsia="宋体" w:cs="宋体"/>
                <w:color w:val="auto"/>
                <w:szCs w:val="21"/>
                <w:highlight w:val="none"/>
              </w:rPr>
              <w:t>3……</w:t>
            </w:r>
          </w:p>
          <w:p w14:paraId="7152CB62">
            <w:pPr>
              <w:rPr>
                <w:rFonts w:hint="eastAsia" w:ascii="宋体" w:hAnsi="宋体" w:eastAsia="宋体" w:cs="宋体"/>
                <w:color w:val="auto"/>
                <w:szCs w:val="21"/>
                <w:highlight w:val="none"/>
              </w:rPr>
            </w:pPr>
            <w:r>
              <w:rPr>
                <w:rFonts w:hint="eastAsia" w:ascii="宋体" w:hAnsi="宋体" w:eastAsia="宋体" w:cs="宋体"/>
                <w:color w:val="auto"/>
                <w:szCs w:val="21"/>
                <w:highlight w:val="none"/>
              </w:rPr>
              <w:t>……</w:t>
            </w:r>
          </w:p>
        </w:tc>
        <w:tc>
          <w:tcPr>
            <w:tcW w:w="1168" w:type="dxa"/>
            <w:tcBorders>
              <w:top w:val="single" w:color="auto" w:sz="4" w:space="0"/>
              <w:left w:val="single" w:color="auto" w:sz="4" w:space="0"/>
              <w:bottom w:val="single" w:color="auto" w:sz="4" w:space="0"/>
              <w:right w:val="single" w:color="auto" w:sz="4" w:space="0"/>
            </w:tcBorders>
            <w:noWrap w:val="0"/>
            <w:vAlign w:val="center"/>
          </w:tcPr>
          <w:p w14:paraId="32E81BBE">
            <w:pPr>
              <w:rPr>
                <w:rFonts w:hint="eastAsia" w:ascii="宋体" w:hAnsi="宋体" w:eastAsia="宋体" w:cs="宋体"/>
                <w:color w:val="auto"/>
                <w:szCs w:val="21"/>
                <w:highlight w:val="none"/>
              </w:rPr>
            </w:pPr>
            <w:r>
              <w:rPr>
                <w:rFonts w:hint="eastAsia" w:ascii="宋体" w:hAnsi="宋体" w:eastAsia="宋体" w:cs="宋体"/>
                <w:color w:val="auto"/>
                <w:szCs w:val="21"/>
                <w:highlight w:val="none"/>
              </w:rPr>
              <w:t>正偏离（负偏离或无偏离）</w:t>
            </w:r>
          </w:p>
        </w:tc>
      </w:tr>
      <w:tr w14:paraId="718822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34" w:type="dxa"/>
            <w:tcBorders>
              <w:top w:val="single" w:color="auto" w:sz="4" w:space="0"/>
              <w:left w:val="single" w:color="auto" w:sz="4" w:space="0"/>
              <w:bottom w:val="single" w:color="auto" w:sz="4" w:space="0"/>
              <w:right w:val="single" w:color="auto" w:sz="4" w:space="0"/>
            </w:tcBorders>
            <w:noWrap w:val="0"/>
            <w:vAlign w:val="center"/>
          </w:tcPr>
          <w:p w14:paraId="18F2A154">
            <w:pPr>
              <w:rPr>
                <w:rFonts w:hint="eastAsia" w:ascii="宋体" w:hAnsi="宋体" w:eastAsia="宋体" w:cs="宋体"/>
                <w:color w:val="auto"/>
                <w:szCs w:val="21"/>
                <w:highlight w:val="none"/>
              </w:rPr>
            </w:pPr>
            <w:r>
              <w:rPr>
                <w:rFonts w:hint="eastAsia" w:ascii="宋体" w:hAnsi="宋体" w:eastAsia="宋体" w:cs="宋体"/>
                <w:color w:val="auto"/>
                <w:szCs w:val="21"/>
                <w:highlight w:val="none"/>
              </w:rPr>
              <w:t>...</w:t>
            </w:r>
          </w:p>
        </w:tc>
        <w:tc>
          <w:tcPr>
            <w:tcW w:w="1260" w:type="dxa"/>
            <w:tcBorders>
              <w:top w:val="single" w:color="auto" w:sz="4" w:space="0"/>
              <w:left w:val="single" w:color="auto" w:sz="4" w:space="0"/>
              <w:bottom w:val="single" w:color="auto" w:sz="4" w:space="0"/>
              <w:right w:val="single" w:color="auto" w:sz="4" w:space="0"/>
            </w:tcBorders>
            <w:noWrap w:val="0"/>
            <w:vAlign w:val="center"/>
          </w:tcPr>
          <w:p w14:paraId="38652FD8">
            <w:pPr>
              <w:rPr>
                <w:rFonts w:hint="eastAsia" w:ascii="宋体" w:hAnsi="宋体" w:eastAsia="宋体" w:cs="宋体"/>
                <w:color w:val="auto"/>
                <w:szCs w:val="21"/>
                <w:highlight w:val="none"/>
              </w:rPr>
            </w:pPr>
          </w:p>
        </w:tc>
        <w:tc>
          <w:tcPr>
            <w:tcW w:w="2310" w:type="dxa"/>
            <w:tcBorders>
              <w:top w:val="single" w:color="auto" w:sz="4" w:space="0"/>
              <w:left w:val="single" w:color="auto" w:sz="4" w:space="0"/>
              <w:bottom w:val="single" w:color="auto" w:sz="4" w:space="0"/>
              <w:right w:val="single" w:color="auto" w:sz="4" w:space="0"/>
            </w:tcBorders>
            <w:noWrap w:val="0"/>
            <w:vAlign w:val="center"/>
          </w:tcPr>
          <w:p w14:paraId="54E236E4">
            <w:pPr>
              <w:rPr>
                <w:rFonts w:hint="eastAsia" w:ascii="宋体" w:hAnsi="宋体" w:eastAsia="宋体" w:cs="宋体"/>
                <w:color w:val="auto"/>
                <w:szCs w:val="21"/>
                <w:highlight w:val="none"/>
              </w:rPr>
            </w:pPr>
          </w:p>
        </w:tc>
        <w:tc>
          <w:tcPr>
            <w:tcW w:w="1516" w:type="dxa"/>
            <w:tcBorders>
              <w:top w:val="single" w:color="auto" w:sz="4" w:space="0"/>
              <w:left w:val="single" w:color="auto" w:sz="4" w:space="0"/>
              <w:bottom w:val="single" w:color="auto" w:sz="4" w:space="0"/>
              <w:right w:val="single" w:color="auto" w:sz="4" w:space="0"/>
            </w:tcBorders>
            <w:noWrap w:val="0"/>
            <w:vAlign w:val="center"/>
          </w:tcPr>
          <w:p w14:paraId="484D72B8">
            <w:pPr>
              <w:rPr>
                <w:rFonts w:hint="eastAsia" w:ascii="宋体" w:hAnsi="宋体" w:eastAsia="宋体" w:cs="宋体"/>
                <w:color w:val="auto"/>
                <w:szCs w:val="21"/>
                <w:highlight w:val="none"/>
              </w:rPr>
            </w:pPr>
          </w:p>
        </w:tc>
        <w:tc>
          <w:tcPr>
            <w:tcW w:w="3297" w:type="dxa"/>
            <w:tcBorders>
              <w:top w:val="single" w:color="auto" w:sz="4" w:space="0"/>
              <w:left w:val="single" w:color="auto" w:sz="4" w:space="0"/>
              <w:bottom w:val="single" w:color="auto" w:sz="4" w:space="0"/>
              <w:right w:val="single" w:color="auto" w:sz="4" w:space="0"/>
            </w:tcBorders>
            <w:noWrap w:val="0"/>
            <w:vAlign w:val="center"/>
          </w:tcPr>
          <w:p w14:paraId="0066D305">
            <w:pPr>
              <w:rPr>
                <w:rFonts w:hint="eastAsia" w:ascii="宋体" w:hAnsi="宋体" w:eastAsia="宋体" w:cs="宋体"/>
                <w:color w:val="auto"/>
                <w:szCs w:val="21"/>
                <w:highlight w:val="none"/>
              </w:rPr>
            </w:pPr>
          </w:p>
        </w:tc>
        <w:tc>
          <w:tcPr>
            <w:tcW w:w="1168" w:type="dxa"/>
            <w:tcBorders>
              <w:top w:val="single" w:color="auto" w:sz="4" w:space="0"/>
              <w:left w:val="single" w:color="auto" w:sz="4" w:space="0"/>
              <w:bottom w:val="single" w:color="auto" w:sz="4" w:space="0"/>
              <w:right w:val="single" w:color="auto" w:sz="4" w:space="0"/>
            </w:tcBorders>
            <w:noWrap w:val="0"/>
            <w:vAlign w:val="center"/>
          </w:tcPr>
          <w:p w14:paraId="3BB69FFC">
            <w:pPr>
              <w:rPr>
                <w:rFonts w:hint="eastAsia" w:ascii="宋体" w:hAnsi="宋体" w:eastAsia="宋体" w:cs="宋体"/>
                <w:color w:val="auto"/>
                <w:szCs w:val="21"/>
                <w:highlight w:val="none"/>
              </w:rPr>
            </w:pPr>
          </w:p>
        </w:tc>
      </w:tr>
      <w:tr w14:paraId="3C3A2B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8" w:hRule="atLeast"/>
          <w:jc w:val="center"/>
        </w:trPr>
        <w:tc>
          <w:tcPr>
            <w:tcW w:w="10185" w:type="dxa"/>
            <w:gridSpan w:val="6"/>
            <w:tcBorders>
              <w:top w:val="single" w:color="auto" w:sz="4" w:space="0"/>
              <w:left w:val="single" w:color="auto" w:sz="4" w:space="0"/>
              <w:bottom w:val="single" w:color="auto" w:sz="4" w:space="0"/>
              <w:right w:val="single" w:color="auto" w:sz="4" w:space="0"/>
            </w:tcBorders>
            <w:noWrap w:val="0"/>
            <w:vAlign w:val="center"/>
          </w:tcPr>
          <w:p w14:paraId="2120B05C">
            <w:pPr>
              <w:rPr>
                <w:rFonts w:hint="eastAsia" w:ascii="宋体" w:hAnsi="宋体" w:eastAsia="宋体" w:cs="宋体"/>
                <w:color w:val="auto"/>
                <w:szCs w:val="21"/>
                <w:highlight w:val="none"/>
              </w:rPr>
            </w:pPr>
            <w:r>
              <w:rPr>
                <w:rFonts w:hint="eastAsia" w:ascii="宋体" w:hAnsi="宋体" w:eastAsia="宋体" w:cs="宋体"/>
                <w:color w:val="auto"/>
                <w:szCs w:val="21"/>
                <w:highlight w:val="none"/>
                <w:u w:val="single"/>
              </w:rPr>
              <w:t>　　</w:t>
            </w:r>
            <w:r>
              <w:rPr>
                <w:rFonts w:hint="eastAsia" w:ascii="宋体" w:hAnsi="宋体" w:eastAsia="宋体" w:cs="宋体"/>
                <w:color w:val="auto"/>
                <w:szCs w:val="21"/>
                <w:highlight w:val="none"/>
              </w:rPr>
              <w:t>分标（此处有分标时填写具体分标号，无分标时填写“无”）</w:t>
            </w:r>
          </w:p>
        </w:tc>
      </w:tr>
    </w:tbl>
    <w:p w14:paraId="0D73AA02">
      <w:pPr>
        <w:pStyle w:val="18"/>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注：</w:t>
      </w:r>
    </w:p>
    <w:p w14:paraId="1401ABD2">
      <w:pPr>
        <w:pStyle w:val="18"/>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1.表格内容均需按要求填写并盖章，不得留空</w:t>
      </w:r>
      <w:r>
        <w:rPr>
          <w:rFonts w:hint="eastAsia" w:ascii="宋体" w:hAnsi="宋体" w:eastAsia="宋体" w:cs="宋体"/>
          <w:b/>
          <w:bCs/>
          <w:color w:val="auto"/>
          <w:szCs w:val="21"/>
          <w:highlight w:val="none"/>
        </w:rPr>
        <w:t>，否则按投标无效处理</w:t>
      </w:r>
      <w:r>
        <w:rPr>
          <w:rFonts w:hint="eastAsia" w:ascii="宋体" w:hAnsi="宋体" w:eastAsia="宋体" w:cs="宋体"/>
          <w:color w:val="auto"/>
          <w:szCs w:val="21"/>
          <w:highlight w:val="none"/>
        </w:rPr>
        <w:t>。</w:t>
      </w:r>
    </w:p>
    <w:p w14:paraId="5F60237D">
      <w:pPr>
        <w:pStyle w:val="18"/>
        <w:spacing w:line="360" w:lineRule="auto"/>
        <w:rPr>
          <w:rFonts w:hint="eastAsia" w:ascii="宋体" w:hAnsi="宋体" w:eastAsia="宋体" w:cs="宋体"/>
          <w:color w:val="auto"/>
          <w:szCs w:val="21"/>
          <w:highlight w:val="none"/>
        </w:rPr>
      </w:pPr>
      <w:r>
        <w:rPr>
          <w:rFonts w:hint="eastAsia" w:ascii="宋体" w:hAnsi="宋体" w:eastAsia="宋体" w:cs="宋体"/>
          <w:bCs/>
          <w:color w:val="auto"/>
          <w:szCs w:val="21"/>
          <w:highlight w:val="none"/>
        </w:rPr>
        <w:t>2.当投标文件的服务内容低于招标文件要求时，投标人应当如实写明“负偏离”，否则视为虚假应标。</w:t>
      </w:r>
    </w:p>
    <w:p w14:paraId="449E6800">
      <w:pPr>
        <w:pStyle w:val="18"/>
        <w:spacing w:line="360" w:lineRule="auto"/>
        <w:rPr>
          <w:rFonts w:hint="eastAsia" w:ascii="宋体" w:hAnsi="宋体" w:eastAsia="宋体" w:cs="宋体"/>
          <w:color w:val="auto"/>
          <w:highlight w:val="none"/>
        </w:rPr>
      </w:pPr>
      <w:r>
        <w:rPr>
          <w:rFonts w:hint="eastAsia" w:ascii="宋体" w:hAnsi="宋体" w:eastAsia="宋体" w:cs="宋体"/>
          <w:color w:val="auto"/>
          <w:highlight w:val="none"/>
        </w:rPr>
        <w:t>3.</w:t>
      </w:r>
      <w:r>
        <w:rPr>
          <w:rFonts w:hint="eastAsia" w:ascii="宋体" w:hAnsi="宋体" w:eastAsia="宋体" w:cs="宋体"/>
          <w:color w:val="auto"/>
          <w:szCs w:val="21"/>
          <w:highlight w:val="none"/>
        </w:rPr>
        <w:t>采购需求中带“▲”及“★”的条款，也要分别在本表“服务参数”、“所提供服务的内容”中标记。</w:t>
      </w:r>
    </w:p>
    <w:p w14:paraId="21987954">
      <w:pPr>
        <w:snapToGrid w:val="0"/>
        <w:spacing w:line="360" w:lineRule="auto"/>
        <w:ind w:firstLine="5640" w:firstLineChars="2350"/>
        <w:rPr>
          <w:rFonts w:hint="eastAsia" w:ascii="宋体" w:hAnsi="宋体" w:eastAsia="宋体" w:cs="宋体"/>
          <w:color w:val="auto"/>
          <w:kern w:val="0"/>
          <w:sz w:val="24"/>
          <w:highlight w:val="none"/>
          <w:lang w:val="zh-CN"/>
        </w:rPr>
      </w:pPr>
    </w:p>
    <w:p w14:paraId="757A74D6">
      <w:pPr>
        <w:snapToGrid w:val="0"/>
        <w:spacing w:line="360" w:lineRule="auto"/>
        <w:ind w:firstLine="5640" w:firstLineChars="2350"/>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lang w:val="zh-CN"/>
        </w:rPr>
        <w:t>投标人名称(电子签章)：</w:t>
      </w:r>
    </w:p>
    <w:p w14:paraId="10E838AB">
      <w:pPr>
        <w:snapToGrid w:val="0"/>
        <w:spacing w:line="360" w:lineRule="auto"/>
        <w:ind w:firstLine="5640" w:firstLineChars="2350"/>
        <w:rPr>
          <w:rFonts w:hint="eastAsia" w:ascii="宋体" w:hAnsi="宋体" w:eastAsia="宋体" w:cs="宋体"/>
          <w:color w:val="auto"/>
          <w:kern w:val="0"/>
          <w:sz w:val="24"/>
          <w:highlight w:val="none"/>
          <w:lang w:val="zh-CN"/>
        </w:rPr>
      </w:pPr>
      <w:r>
        <w:rPr>
          <w:rFonts w:hint="eastAsia" w:ascii="宋体" w:hAnsi="宋体" w:eastAsia="宋体" w:cs="宋体"/>
          <w:color w:val="auto"/>
          <w:kern w:val="0"/>
          <w:sz w:val="24"/>
          <w:highlight w:val="none"/>
          <w:lang w:val="zh-CN"/>
        </w:rPr>
        <w:t>日期</w:t>
      </w:r>
      <w:r>
        <w:rPr>
          <w:rFonts w:hint="eastAsia" w:ascii="宋体" w:hAnsi="宋体" w:eastAsia="宋体" w:cs="宋体"/>
          <w:color w:val="auto"/>
          <w:kern w:val="0"/>
          <w:sz w:val="24"/>
          <w:highlight w:val="none"/>
        </w:rPr>
        <w:t>：年</w:t>
      </w:r>
      <w:r>
        <w:rPr>
          <w:rFonts w:hint="eastAsia" w:ascii="宋体" w:hAnsi="宋体" w:eastAsia="宋体" w:cs="宋体"/>
          <w:color w:val="auto"/>
          <w:kern w:val="0"/>
          <w:sz w:val="24"/>
          <w:highlight w:val="none"/>
          <w:lang w:val="zh-CN"/>
        </w:rPr>
        <w:t>月日</w:t>
      </w:r>
    </w:p>
    <w:p w14:paraId="6A92C917">
      <w:pPr>
        <w:widowControl/>
        <w:jc w:val="left"/>
        <w:rPr>
          <w:rFonts w:hint="eastAsia" w:ascii="宋体" w:hAnsi="宋体" w:eastAsia="宋体" w:cs="宋体"/>
          <w:color w:val="auto"/>
          <w:sz w:val="30"/>
          <w:szCs w:val="20"/>
          <w:highlight w:val="none"/>
        </w:rPr>
        <w:sectPr>
          <w:pgSz w:w="11906" w:h="16838"/>
          <w:pgMar w:top="1134" w:right="1134" w:bottom="1134" w:left="1134" w:header="720" w:footer="720" w:gutter="0"/>
          <w:cols w:space="720" w:num="1"/>
          <w:docGrid w:type="lines" w:linePitch="331" w:charSpace="0"/>
        </w:sectPr>
      </w:pPr>
    </w:p>
    <w:p w14:paraId="5FE25903">
      <w:pPr>
        <w:snapToGrid w:val="0"/>
        <w:spacing w:before="165" w:beforeLines="50" w:after="50"/>
        <w:jc w:val="center"/>
        <w:rPr>
          <w:rFonts w:hint="eastAsia" w:ascii="宋体" w:hAnsi="宋体" w:eastAsia="宋体" w:cs="宋体"/>
          <w:b/>
          <w:bCs/>
          <w:color w:val="auto"/>
          <w:sz w:val="30"/>
          <w:szCs w:val="30"/>
          <w:highlight w:val="none"/>
        </w:rPr>
      </w:pPr>
      <w:r>
        <w:rPr>
          <w:rFonts w:hint="eastAsia" w:ascii="宋体" w:hAnsi="宋体" w:eastAsia="宋体" w:cs="宋体"/>
          <w:b/>
          <w:bCs/>
          <w:color w:val="auto"/>
          <w:sz w:val="30"/>
          <w:szCs w:val="30"/>
          <w:highlight w:val="none"/>
        </w:rPr>
        <w:t>二、</w:t>
      </w:r>
      <w:r>
        <w:rPr>
          <w:rFonts w:hint="eastAsia" w:ascii="宋体" w:hAnsi="宋体" w:eastAsia="宋体" w:cs="宋体"/>
          <w:b/>
          <w:bCs/>
          <w:color w:val="auto"/>
          <w:sz w:val="30"/>
          <w:szCs w:val="30"/>
          <w:highlight w:val="none"/>
          <w:lang w:val="en-US" w:eastAsia="zh-CN"/>
        </w:rPr>
        <w:t>技术</w:t>
      </w:r>
      <w:r>
        <w:rPr>
          <w:rFonts w:hint="eastAsia" w:ascii="宋体" w:hAnsi="宋体" w:eastAsia="宋体" w:cs="宋体"/>
          <w:b/>
          <w:bCs/>
          <w:color w:val="auto"/>
          <w:sz w:val="30"/>
          <w:szCs w:val="30"/>
          <w:highlight w:val="none"/>
        </w:rPr>
        <w:t>方案</w:t>
      </w:r>
    </w:p>
    <w:p w14:paraId="107EB0CD">
      <w:pPr>
        <w:autoSpaceDE w:val="0"/>
        <w:autoSpaceDN w:val="0"/>
        <w:spacing w:line="360" w:lineRule="auto"/>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（由投标人根据采购需求及招标文件要求编制）</w:t>
      </w:r>
    </w:p>
    <w:p w14:paraId="4898B958">
      <w:pPr>
        <w:rPr>
          <w:rFonts w:hint="eastAsia" w:ascii="宋体" w:hAnsi="宋体" w:eastAsia="宋体" w:cs="宋体"/>
          <w:b/>
          <w:bCs/>
          <w:color w:val="auto"/>
          <w:kern w:val="0"/>
          <w:sz w:val="24"/>
          <w:highlight w:val="none"/>
          <w:lang w:val="zh-CN"/>
        </w:rPr>
      </w:pPr>
    </w:p>
    <w:p w14:paraId="272CE757">
      <w:pPr>
        <w:rPr>
          <w:rFonts w:hint="eastAsia" w:ascii="宋体" w:hAnsi="宋体" w:eastAsia="宋体" w:cs="宋体"/>
          <w:b/>
          <w:bCs/>
          <w:color w:val="auto"/>
          <w:kern w:val="0"/>
          <w:sz w:val="24"/>
          <w:highlight w:val="none"/>
          <w:lang w:val="zh-CN"/>
        </w:rPr>
      </w:pPr>
    </w:p>
    <w:p w14:paraId="687CA694">
      <w:pPr>
        <w:rPr>
          <w:rFonts w:hint="eastAsia" w:ascii="宋体" w:hAnsi="宋体" w:eastAsia="宋体" w:cs="宋体"/>
          <w:b/>
          <w:bCs/>
          <w:color w:val="auto"/>
          <w:kern w:val="0"/>
          <w:sz w:val="24"/>
          <w:highlight w:val="none"/>
          <w:lang w:val="zh-CN"/>
        </w:rPr>
      </w:pPr>
    </w:p>
    <w:p w14:paraId="4512AA91">
      <w:pPr>
        <w:rPr>
          <w:rFonts w:hint="eastAsia" w:ascii="宋体" w:hAnsi="宋体" w:eastAsia="宋体" w:cs="宋体"/>
          <w:b/>
          <w:bCs/>
          <w:color w:val="auto"/>
          <w:kern w:val="0"/>
          <w:sz w:val="24"/>
          <w:highlight w:val="none"/>
          <w:lang w:val="zh-CN" w:eastAsia="zh-CN"/>
        </w:rPr>
      </w:pPr>
      <w:r>
        <w:rPr>
          <w:rFonts w:hint="eastAsia" w:ascii="宋体" w:hAnsi="宋体" w:eastAsia="宋体" w:cs="宋体"/>
          <w:b/>
          <w:bCs/>
          <w:color w:val="auto"/>
          <w:kern w:val="0"/>
          <w:sz w:val="24"/>
          <w:highlight w:val="none"/>
          <w:lang w:val="zh-CN"/>
        </w:rPr>
        <w:t>附表:项目实施进度计划表</w:t>
      </w:r>
      <w:r>
        <w:rPr>
          <w:rFonts w:hint="eastAsia" w:ascii="宋体" w:hAnsi="宋体" w:eastAsia="宋体" w:cs="宋体"/>
          <w:b/>
          <w:color w:val="auto"/>
          <w:sz w:val="24"/>
          <w:highlight w:val="none"/>
        </w:rPr>
        <w:t>(以生效日算起)</w:t>
      </w:r>
    </w:p>
    <w:tbl>
      <w:tblPr>
        <w:tblStyle w:val="35"/>
        <w:tblW w:w="0" w:type="auto"/>
        <w:tblInd w:w="-25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88"/>
        <w:gridCol w:w="552"/>
        <w:gridCol w:w="552"/>
        <w:gridCol w:w="552"/>
        <w:gridCol w:w="552"/>
        <w:gridCol w:w="552"/>
        <w:gridCol w:w="552"/>
        <w:gridCol w:w="553"/>
        <w:gridCol w:w="553"/>
        <w:gridCol w:w="553"/>
        <w:gridCol w:w="553"/>
        <w:gridCol w:w="553"/>
        <w:gridCol w:w="553"/>
        <w:gridCol w:w="553"/>
        <w:gridCol w:w="553"/>
        <w:gridCol w:w="553"/>
        <w:gridCol w:w="553"/>
      </w:tblGrid>
      <w:tr w14:paraId="01D020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9" w:hRule="atLeast"/>
        </w:trPr>
        <w:tc>
          <w:tcPr>
            <w:tcW w:w="1188" w:type="dxa"/>
            <w:tcBorders>
              <w:top w:val="single" w:color="auto" w:sz="4" w:space="0"/>
              <w:left w:val="single" w:color="auto" w:sz="4" w:space="0"/>
              <w:bottom w:val="single" w:color="auto" w:sz="4" w:space="0"/>
              <w:right w:val="single" w:color="auto" w:sz="4" w:space="0"/>
            </w:tcBorders>
            <w:noWrap w:val="0"/>
            <w:vAlign w:val="center"/>
          </w:tcPr>
          <w:p w14:paraId="55B06782">
            <w:pPr>
              <w:spacing w:line="360" w:lineRule="auto"/>
              <w:rPr>
                <w:rFonts w:hint="eastAsia" w:ascii="宋体" w:hAnsi="宋体" w:eastAsia="宋体" w:cs="宋体"/>
                <w:color w:val="auto"/>
                <w:sz w:val="24"/>
                <w:highlight w:val="none"/>
              </w:rPr>
            </w:pPr>
            <w:r>
              <w:rPr>
                <w:rFonts w:hint="eastAsia" w:ascii="宋体" w:hAnsi="宋体" w:eastAsia="宋体" w:cs="宋体"/>
                <w:color w:val="auto"/>
                <w:highlight w:val="none"/>
              </w:rPr>
              <mc:AlternateContent>
                <mc:Choice Requires="wpg">
                  <w:drawing>
                    <wp:anchor distT="0" distB="0" distL="114300" distR="114300" simplePos="0" relativeHeight="251659264" behindDoc="0" locked="0" layoutInCell="1" allowOverlap="1">
                      <wp:simplePos x="0" y="0"/>
                      <wp:positionH relativeFrom="column">
                        <wp:posOffset>-65405</wp:posOffset>
                      </wp:positionH>
                      <wp:positionV relativeFrom="paragraph">
                        <wp:posOffset>0</wp:posOffset>
                      </wp:positionV>
                      <wp:extent cx="748030" cy="1181100"/>
                      <wp:effectExtent l="3810" t="2540" r="10160" b="16510"/>
                      <wp:wrapNone/>
                      <wp:docPr id="10" name="组合 10"/>
                      <wp:cNvGraphicFramePr/>
                      <a:graphic xmlns:a="http://schemas.openxmlformats.org/drawingml/2006/main">
                        <a:graphicData uri="http://schemas.microsoft.com/office/word/2010/wordprocessingGroup">
                          <wpg:wgp>
                            <wpg:cNvGrpSpPr/>
                            <wpg:grpSpPr>
                              <a:xfrm>
                                <a:off x="0" y="0"/>
                                <a:ext cx="748030" cy="1181100"/>
                                <a:chOff x="0" y="0"/>
                                <a:chExt cx="1178" cy="1860"/>
                              </a:xfrm>
                              <a:effectLst/>
                            </wpg:grpSpPr>
                            <wps:wsp>
                              <wps:cNvPr id="11" name="__TH_L2"/>
                              <wps:cNvCnPr/>
                              <wps:spPr bwMode="auto">
                                <a:xfrm>
                                  <a:off x="0" y="0"/>
                                  <a:ext cx="1178" cy="1860"/>
                                </a:xfrm>
                                <a:prstGeom prst="line">
                                  <a:avLst/>
                                </a:prstGeom>
                                <a:noFill/>
                                <a:ln w="6350">
                                  <a:solidFill>
                                    <a:srgbClr val="000000"/>
                                  </a:solidFill>
                                  <a:round/>
                                </a:ln>
                                <a:effectLst/>
                              </wps:spPr>
                              <wps:bodyPr/>
                            </wps:wsp>
                            <wps:wsp>
                              <wps:cNvPr id="12" name="__TH_B113"/>
                              <wps:cNvSpPr txBox="1">
                                <a:spLocks noChangeArrowheads="1"/>
                              </wps:cNvSpPr>
                              <wps:spPr bwMode="auto">
                                <a:xfrm>
                                  <a:off x="455" y="122"/>
                                  <a:ext cx="253" cy="263"/>
                                </a:xfrm>
                                <a:prstGeom prst="rect">
                                  <a:avLst/>
                                </a:prstGeom>
                                <a:noFill/>
                                <a:ln>
                                  <a:noFill/>
                                </a:ln>
                                <a:effectLst/>
                              </wps:spPr>
                              <wps:txbx>
                                <w:txbxContent>
                                  <w:p w14:paraId="130A39AD">
                                    <w:pPr>
                                      <w:snapToGrid w:val="0"/>
                                    </w:pPr>
                                    <w:r>
                                      <w:rPr>
                                        <w:rFonts w:hint="eastAsia"/>
                                      </w:rPr>
                                      <w:t>工</w:t>
                                    </w:r>
                                  </w:p>
                                </w:txbxContent>
                              </wps:txbx>
                              <wps:bodyPr rot="0" vert="horz" wrap="square" lIns="0" tIns="0" rIns="0" bIns="0" anchor="t" anchorCtr="0" upright="1">
                                <a:noAutofit/>
                              </wps:bodyPr>
                            </wps:wsp>
                            <wps:wsp>
                              <wps:cNvPr id="13" name="__TH_B124"/>
                              <wps:cNvSpPr txBox="1">
                                <a:spLocks noChangeArrowheads="1"/>
                              </wps:cNvSpPr>
                              <wps:spPr bwMode="auto">
                                <a:xfrm>
                                  <a:off x="643" y="419"/>
                                  <a:ext cx="253" cy="263"/>
                                </a:xfrm>
                                <a:prstGeom prst="rect">
                                  <a:avLst/>
                                </a:prstGeom>
                                <a:noFill/>
                                <a:ln>
                                  <a:noFill/>
                                </a:ln>
                                <a:effectLst/>
                              </wps:spPr>
                              <wps:txbx>
                                <w:txbxContent>
                                  <w:p w14:paraId="63140D6F">
                                    <w:pPr>
                                      <w:snapToGrid w:val="0"/>
                                    </w:pPr>
                                    <w:r>
                                      <w:rPr>
                                        <w:rFonts w:hint="eastAsia"/>
                                      </w:rPr>
                                      <w:t>作</w:t>
                                    </w:r>
                                  </w:p>
                                </w:txbxContent>
                              </wps:txbx>
                              <wps:bodyPr rot="0" vert="horz" wrap="square" lIns="0" tIns="0" rIns="0" bIns="0" anchor="t" anchorCtr="0" upright="1">
                                <a:noAutofit/>
                              </wps:bodyPr>
                            </wps:wsp>
                            <wps:wsp>
                              <wps:cNvPr id="14" name="__TH_B135"/>
                              <wps:cNvSpPr txBox="1">
                                <a:spLocks noChangeArrowheads="1"/>
                              </wps:cNvSpPr>
                              <wps:spPr bwMode="auto">
                                <a:xfrm>
                                  <a:off x="831" y="717"/>
                                  <a:ext cx="253" cy="262"/>
                                </a:xfrm>
                                <a:prstGeom prst="rect">
                                  <a:avLst/>
                                </a:prstGeom>
                                <a:noFill/>
                                <a:ln>
                                  <a:noFill/>
                                </a:ln>
                                <a:effectLst/>
                              </wps:spPr>
                              <wps:txbx>
                                <w:txbxContent>
                                  <w:p w14:paraId="33A168AA">
                                    <w:pPr>
                                      <w:snapToGrid w:val="0"/>
                                    </w:pPr>
                                    <w:r>
                                      <w:rPr>
                                        <w:rFonts w:hint="eastAsia"/>
                                      </w:rPr>
                                      <w:t>日</w:t>
                                    </w:r>
                                  </w:p>
                                </w:txbxContent>
                              </wps:txbx>
                              <wps:bodyPr rot="0" vert="horz" wrap="square" lIns="0" tIns="0" rIns="0" bIns="0" anchor="t" anchorCtr="0" upright="1">
                                <a:noAutofit/>
                              </wps:bodyPr>
                            </wps:wsp>
                          </wpg:wgp>
                        </a:graphicData>
                      </a:graphic>
                    </wp:anchor>
                  </w:drawing>
                </mc:Choice>
                <mc:Fallback>
                  <w:pict>
                    <v:group id="_x0000_s1026" o:spid="_x0000_s1026" o:spt="203" style="position:absolute;left:0pt;margin-left:-5.15pt;margin-top:0pt;height:93pt;width:58.9pt;z-index:251659264;mso-width-relative:page;mso-height-relative:page;" coordsize="1178,1860" o:gfxdata="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">
                      <o:lock v:ext="edit" aspectratio="f"/>
                      <v:line id="__TH_L2" o:spid="_x0000_s1026" o:spt="20" style="position:absolute;left:0;top:0;height:1860;width:1178;" filled="f" stroked="t" coordsize="21600,21600" o:gfxdata="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h9fiCLgAAADbAAAA&#10;DwAAAAAAAAABACAAAAAiAAAAZHJzL2Rvd25yZXYueG1sUEsBAhQAFAAAAAgAh07iQDMvBZ47AAAA&#10;OQAAABAAAAAAAAAAAQAgAAAABwEAAGRycy9zaGFwZXhtbC54bWxQSwUGAAAAAAYABgBbAQAAsQMA&#10;AAAA&#10;">
                        <v:fill on="f" focussize="0,0"/>
                        <v:stroke weight="0.5pt" color="#000000" joinstyle="round"/>
                        <v:imagedata o:title=""/>
                        <o:lock v:ext="edit" aspectratio="f"/>
                      </v:line>
                      <v:shape id="__TH_B113" o:spid="_x0000_s1026" o:spt="202" type="#_x0000_t202" style="position:absolute;left:455;top:122;height:263;width:253;" filled="f" stroked="f" coordsize="21600,21600" o:gfxdata="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JWUylS8AAAA&#10;2wAAAA8AAAAAAAAAAQAgAAAAIgAAAGRycy9kb3ducmV2LnhtbFBLAQIUABQAAAAIAIdO4kAzLwWe&#10;OwAAADkAAAAQAAAAAAAAAAEAIAAAAAsBAABkcnMvc2hhcGV4bWwueG1sUEsFBgAAAAAGAAYAWwEA&#10;ALUDAAAAAA==&#10;">
                        <v:fill on="f" focussize="0,0"/>
                        <v:stroke on="f"/>
                        <v:imagedata o:title=""/>
                        <o:lock v:ext="edit" aspectratio="f"/>
                        <v:textbox inset="0mm,0mm,0mm,0mm">
                          <w:txbxContent>
                            <w:p w14:paraId="130A39AD">
                              <w:pPr>
                                <w:snapToGrid w:val="0"/>
                              </w:pPr>
                              <w:r>
                                <w:rPr>
                                  <w:rFonts w:hint="eastAsia"/>
                                </w:rPr>
                                <w:t>工</w:t>
                              </w:r>
                            </w:p>
                          </w:txbxContent>
                        </v:textbox>
                      </v:shape>
                      <v:shape id="__TH_B124" o:spid="_x0000_s1026" o:spt="202" type="#_x0000_t202" style="position:absolute;left:643;top:419;height:263;width:253;" filled="f" stroked="f" coordsize="21600,21600" o:gfxdata="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PrYb8+8AAAA&#10;2wAAAA8AAAAAAAAAAQAgAAAAIgAAAGRycy9kb3ducmV2LnhtbFBLAQIUABQAAAAIAIdO4kAzLwWe&#10;OwAAADkAAAAQAAAAAAAAAAEAIAAAAAsBAABkcnMvc2hhcGV4bWwueG1sUEsFBgAAAAAGAAYAWwEA&#10;ALUDAAAAAA==&#10;">
                        <v:fill on="f" focussize="0,0"/>
                        <v:stroke on="f"/>
                        <v:imagedata o:title=""/>
                        <o:lock v:ext="edit" aspectratio="f"/>
                        <v:textbox inset="0mm,0mm,0mm,0mm">
                          <w:txbxContent>
                            <w:p w14:paraId="63140D6F">
                              <w:pPr>
                                <w:snapToGrid w:val="0"/>
                              </w:pPr>
                              <w:r>
                                <w:rPr>
                                  <w:rFonts w:hint="eastAsia"/>
                                </w:rPr>
                                <w:t>作</w:t>
                              </w:r>
                            </w:p>
                          </w:txbxContent>
                        </v:textbox>
                      </v:shape>
                      <v:shape id="__TH_B135" o:spid="_x0000_s1026" o:spt="202" type="#_x0000_t202" style="position:absolute;left:831;top:717;height:262;width:253;" filled="f" stroked="f" coordsize="21600,21600" o:gfxdata="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HUx97u8AAAA&#10;2wAAAA8AAAAAAAAAAQAgAAAAIgAAAGRycy9kb3ducmV2LnhtbFBLAQIUABQAAAAIAIdO4kAzLwWe&#10;OwAAADkAAAAQAAAAAAAAAAEAIAAAAAsBAABkcnMvc2hhcGV4bWwueG1sUEsFBgAAAAAGAAYAWwEA&#10;ALUDAAAAAA==&#10;">
                        <v:fill on="f" focussize="0,0"/>
                        <v:stroke on="f"/>
                        <v:imagedata o:title=""/>
                        <o:lock v:ext="edit" aspectratio="f"/>
                        <v:textbox inset="0mm,0mm,0mm,0mm">
                          <w:txbxContent>
                            <w:p w14:paraId="33A168AA">
                              <w:pPr>
                                <w:snapToGrid w:val="0"/>
                              </w:pPr>
                              <w:r>
                                <w:rPr>
                                  <w:rFonts w:hint="eastAsia"/>
                                </w:rPr>
                                <w:t>日</w:t>
                              </w:r>
                            </w:p>
                          </w:txbxContent>
                        </v:textbox>
                      </v:shape>
                    </v:group>
                  </w:pict>
                </mc:Fallback>
              </mc:AlternateContent>
            </w:r>
          </w:p>
          <w:p w14:paraId="32048EC2">
            <w:pPr>
              <w:spacing w:line="360" w:lineRule="auto"/>
              <w:rPr>
                <w:rFonts w:hint="eastAsia" w:ascii="宋体" w:hAnsi="宋体" w:eastAsia="宋体" w:cs="宋体"/>
                <w:color w:val="auto"/>
                <w:sz w:val="24"/>
                <w:highlight w:val="none"/>
              </w:rPr>
            </w:pPr>
          </w:p>
          <w:p w14:paraId="4633B5A0">
            <w:pPr>
              <w:spacing w:line="360" w:lineRule="auto"/>
              <w:rPr>
                <w:rFonts w:hint="eastAsia" w:ascii="宋体" w:hAnsi="宋体" w:eastAsia="宋体" w:cs="宋体"/>
                <w:color w:val="auto"/>
                <w:sz w:val="24"/>
                <w:highlight w:val="none"/>
              </w:rPr>
            </w:pPr>
          </w:p>
          <w:p w14:paraId="6FC4596B">
            <w:pPr>
              <w:spacing w:line="360" w:lineRule="auto"/>
              <w:rPr>
                <w:rFonts w:hint="eastAsia" w:ascii="宋体" w:hAnsi="宋体" w:eastAsia="宋体" w:cs="宋体"/>
                <w:color w:val="auto"/>
                <w:sz w:val="24"/>
                <w:highlight w:val="none"/>
              </w:rPr>
            </w:pPr>
            <w:r>
              <w:rPr>
                <w:rFonts w:hint="eastAsia" w:ascii="宋体" w:hAnsi="宋体" w:eastAsia="宋体" w:cs="宋体"/>
                <w:color w:val="auto"/>
                <w:sz w:val="24"/>
                <w:highlight w:val="none"/>
              </w:rPr>
              <w:t>内容</w:t>
            </w:r>
          </w:p>
        </w:tc>
        <w:tc>
          <w:tcPr>
            <w:tcW w:w="552" w:type="dxa"/>
            <w:tcBorders>
              <w:top w:val="single" w:color="auto" w:sz="4" w:space="0"/>
              <w:left w:val="single" w:color="auto" w:sz="4" w:space="0"/>
              <w:bottom w:val="single" w:color="auto" w:sz="4" w:space="0"/>
              <w:right w:val="single" w:color="auto" w:sz="4" w:space="0"/>
            </w:tcBorders>
            <w:noWrap w:val="0"/>
            <w:vAlign w:val="center"/>
          </w:tcPr>
          <w:p w14:paraId="666917C5">
            <w:pPr>
              <w:spacing w:line="360" w:lineRule="auto"/>
              <w:rPr>
                <w:rFonts w:hint="eastAsia" w:ascii="宋体" w:hAnsi="宋体" w:eastAsia="宋体" w:cs="宋体"/>
                <w:color w:val="auto"/>
                <w:sz w:val="24"/>
                <w:highlight w:val="none"/>
              </w:rPr>
            </w:pPr>
            <w:r>
              <w:rPr>
                <w:rFonts w:hint="eastAsia" w:ascii="宋体" w:hAnsi="宋体" w:eastAsia="宋体" w:cs="宋体"/>
                <w:color w:val="auto"/>
                <w:sz w:val="24"/>
                <w:highlight w:val="none"/>
              </w:rPr>
              <w:t>1</w:t>
            </w:r>
          </w:p>
        </w:tc>
        <w:tc>
          <w:tcPr>
            <w:tcW w:w="552" w:type="dxa"/>
            <w:tcBorders>
              <w:top w:val="single" w:color="auto" w:sz="4" w:space="0"/>
              <w:left w:val="single" w:color="auto" w:sz="4" w:space="0"/>
              <w:bottom w:val="single" w:color="auto" w:sz="4" w:space="0"/>
              <w:right w:val="single" w:color="auto" w:sz="4" w:space="0"/>
            </w:tcBorders>
            <w:noWrap w:val="0"/>
            <w:vAlign w:val="center"/>
          </w:tcPr>
          <w:p w14:paraId="1374BB1F">
            <w:pPr>
              <w:spacing w:line="360" w:lineRule="auto"/>
              <w:rPr>
                <w:rFonts w:hint="eastAsia" w:ascii="宋体" w:hAnsi="宋体" w:eastAsia="宋体" w:cs="宋体"/>
                <w:color w:val="auto"/>
                <w:sz w:val="24"/>
                <w:highlight w:val="none"/>
              </w:rPr>
            </w:pPr>
            <w:r>
              <w:rPr>
                <w:rFonts w:hint="eastAsia" w:ascii="宋体" w:hAnsi="宋体" w:eastAsia="宋体" w:cs="宋体"/>
                <w:color w:val="auto"/>
                <w:sz w:val="24"/>
                <w:highlight w:val="none"/>
              </w:rPr>
              <w:t>2</w:t>
            </w:r>
          </w:p>
        </w:tc>
        <w:tc>
          <w:tcPr>
            <w:tcW w:w="552" w:type="dxa"/>
            <w:tcBorders>
              <w:top w:val="single" w:color="auto" w:sz="4" w:space="0"/>
              <w:left w:val="single" w:color="auto" w:sz="4" w:space="0"/>
              <w:bottom w:val="single" w:color="auto" w:sz="4" w:space="0"/>
              <w:right w:val="single" w:color="auto" w:sz="4" w:space="0"/>
            </w:tcBorders>
            <w:noWrap w:val="0"/>
            <w:vAlign w:val="center"/>
          </w:tcPr>
          <w:p w14:paraId="3DFD8CD7">
            <w:pPr>
              <w:spacing w:line="360" w:lineRule="auto"/>
              <w:rPr>
                <w:rFonts w:hint="eastAsia" w:ascii="宋体" w:hAnsi="宋体" w:eastAsia="宋体" w:cs="宋体"/>
                <w:color w:val="auto"/>
                <w:sz w:val="24"/>
                <w:highlight w:val="none"/>
              </w:rPr>
            </w:pPr>
            <w:r>
              <w:rPr>
                <w:rFonts w:hint="eastAsia" w:ascii="宋体" w:hAnsi="宋体" w:eastAsia="宋体" w:cs="宋体"/>
                <w:color w:val="auto"/>
                <w:sz w:val="24"/>
                <w:highlight w:val="none"/>
              </w:rPr>
              <w:t>3</w:t>
            </w:r>
          </w:p>
        </w:tc>
        <w:tc>
          <w:tcPr>
            <w:tcW w:w="552" w:type="dxa"/>
            <w:tcBorders>
              <w:top w:val="single" w:color="auto" w:sz="4" w:space="0"/>
              <w:left w:val="single" w:color="auto" w:sz="4" w:space="0"/>
              <w:bottom w:val="single" w:color="auto" w:sz="4" w:space="0"/>
              <w:right w:val="single" w:color="auto" w:sz="4" w:space="0"/>
            </w:tcBorders>
            <w:noWrap w:val="0"/>
            <w:vAlign w:val="center"/>
          </w:tcPr>
          <w:p w14:paraId="47157AFC">
            <w:pPr>
              <w:spacing w:line="360" w:lineRule="auto"/>
              <w:rPr>
                <w:rFonts w:hint="eastAsia" w:ascii="宋体" w:hAnsi="宋体" w:eastAsia="宋体" w:cs="宋体"/>
                <w:color w:val="auto"/>
                <w:sz w:val="24"/>
                <w:highlight w:val="none"/>
              </w:rPr>
            </w:pPr>
            <w:r>
              <w:rPr>
                <w:rFonts w:hint="eastAsia" w:ascii="宋体" w:hAnsi="宋体" w:eastAsia="宋体" w:cs="宋体"/>
                <w:color w:val="auto"/>
                <w:sz w:val="24"/>
                <w:highlight w:val="none"/>
              </w:rPr>
              <w:t>4</w:t>
            </w:r>
          </w:p>
        </w:tc>
        <w:tc>
          <w:tcPr>
            <w:tcW w:w="552" w:type="dxa"/>
            <w:tcBorders>
              <w:top w:val="single" w:color="auto" w:sz="4" w:space="0"/>
              <w:left w:val="single" w:color="auto" w:sz="4" w:space="0"/>
              <w:bottom w:val="single" w:color="auto" w:sz="4" w:space="0"/>
              <w:right w:val="single" w:color="auto" w:sz="4" w:space="0"/>
            </w:tcBorders>
            <w:noWrap w:val="0"/>
            <w:vAlign w:val="center"/>
          </w:tcPr>
          <w:p w14:paraId="1A15D466">
            <w:pPr>
              <w:spacing w:line="360" w:lineRule="auto"/>
              <w:rPr>
                <w:rFonts w:hint="eastAsia" w:ascii="宋体" w:hAnsi="宋体" w:eastAsia="宋体" w:cs="宋体"/>
                <w:color w:val="auto"/>
                <w:sz w:val="24"/>
                <w:highlight w:val="none"/>
              </w:rPr>
            </w:pPr>
            <w:r>
              <w:rPr>
                <w:rFonts w:hint="eastAsia" w:ascii="宋体" w:hAnsi="宋体" w:eastAsia="宋体" w:cs="宋体"/>
                <w:color w:val="auto"/>
                <w:sz w:val="24"/>
                <w:highlight w:val="none"/>
              </w:rPr>
              <w:t>5</w:t>
            </w:r>
          </w:p>
        </w:tc>
        <w:tc>
          <w:tcPr>
            <w:tcW w:w="552" w:type="dxa"/>
            <w:tcBorders>
              <w:top w:val="single" w:color="auto" w:sz="4" w:space="0"/>
              <w:left w:val="single" w:color="auto" w:sz="4" w:space="0"/>
              <w:bottom w:val="single" w:color="auto" w:sz="4" w:space="0"/>
              <w:right w:val="single" w:color="auto" w:sz="4" w:space="0"/>
            </w:tcBorders>
            <w:noWrap w:val="0"/>
            <w:vAlign w:val="center"/>
          </w:tcPr>
          <w:p w14:paraId="0359A73D">
            <w:pPr>
              <w:spacing w:line="360" w:lineRule="auto"/>
              <w:rPr>
                <w:rFonts w:hint="eastAsia" w:ascii="宋体" w:hAnsi="宋体" w:eastAsia="宋体" w:cs="宋体"/>
                <w:color w:val="auto"/>
                <w:sz w:val="24"/>
                <w:highlight w:val="none"/>
              </w:rPr>
            </w:pPr>
            <w:r>
              <w:rPr>
                <w:rFonts w:hint="eastAsia" w:ascii="宋体" w:hAnsi="宋体" w:eastAsia="宋体" w:cs="宋体"/>
                <w:color w:val="auto"/>
                <w:sz w:val="24"/>
                <w:highlight w:val="none"/>
              </w:rPr>
              <w:t>6</w:t>
            </w:r>
          </w:p>
        </w:tc>
        <w:tc>
          <w:tcPr>
            <w:tcW w:w="553" w:type="dxa"/>
            <w:tcBorders>
              <w:top w:val="single" w:color="auto" w:sz="4" w:space="0"/>
              <w:left w:val="single" w:color="auto" w:sz="4" w:space="0"/>
              <w:bottom w:val="single" w:color="auto" w:sz="4" w:space="0"/>
              <w:right w:val="single" w:color="auto" w:sz="4" w:space="0"/>
            </w:tcBorders>
            <w:noWrap w:val="0"/>
            <w:vAlign w:val="center"/>
          </w:tcPr>
          <w:p w14:paraId="26E48A7C">
            <w:pPr>
              <w:spacing w:line="360" w:lineRule="auto"/>
              <w:rPr>
                <w:rFonts w:hint="eastAsia" w:ascii="宋体" w:hAnsi="宋体" w:eastAsia="宋体" w:cs="宋体"/>
                <w:color w:val="auto"/>
                <w:sz w:val="24"/>
                <w:highlight w:val="none"/>
              </w:rPr>
            </w:pPr>
            <w:r>
              <w:rPr>
                <w:rFonts w:hint="eastAsia" w:ascii="宋体" w:hAnsi="宋体" w:eastAsia="宋体" w:cs="宋体"/>
                <w:color w:val="auto"/>
                <w:sz w:val="24"/>
                <w:highlight w:val="none"/>
              </w:rPr>
              <w:t>7</w:t>
            </w:r>
          </w:p>
        </w:tc>
        <w:tc>
          <w:tcPr>
            <w:tcW w:w="553" w:type="dxa"/>
            <w:tcBorders>
              <w:top w:val="single" w:color="auto" w:sz="4" w:space="0"/>
              <w:left w:val="single" w:color="auto" w:sz="4" w:space="0"/>
              <w:bottom w:val="single" w:color="auto" w:sz="4" w:space="0"/>
              <w:right w:val="single" w:color="auto" w:sz="4" w:space="0"/>
            </w:tcBorders>
            <w:noWrap w:val="0"/>
            <w:vAlign w:val="center"/>
          </w:tcPr>
          <w:p w14:paraId="0575E64A">
            <w:pPr>
              <w:spacing w:line="360" w:lineRule="auto"/>
              <w:rPr>
                <w:rFonts w:hint="eastAsia" w:ascii="宋体" w:hAnsi="宋体" w:eastAsia="宋体" w:cs="宋体"/>
                <w:color w:val="auto"/>
                <w:sz w:val="24"/>
                <w:highlight w:val="none"/>
              </w:rPr>
            </w:pPr>
            <w:r>
              <w:rPr>
                <w:rFonts w:hint="eastAsia" w:ascii="宋体" w:hAnsi="宋体" w:eastAsia="宋体" w:cs="宋体"/>
                <w:color w:val="auto"/>
                <w:sz w:val="24"/>
                <w:highlight w:val="none"/>
              </w:rPr>
              <w:t>8</w:t>
            </w:r>
          </w:p>
        </w:tc>
        <w:tc>
          <w:tcPr>
            <w:tcW w:w="553" w:type="dxa"/>
            <w:tcBorders>
              <w:top w:val="single" w:color="auto" w:sz="4" w:space="0"/>
              <w:left w:val="single" w:color="auto" w:sz="4" w:space="0"/>
              <w:bottom w:val="single" w:color="auto" w:sz="4" w:space="0"/>
              <w:right w:val="single" w:color="auto" w:sz="4" w:space="0"/>
            </w:tcBorders>
            <w:noWrap w:val="0"/>
            <w:vAlign w:val="center"/>
          </w:tcPr>
          <w:p w14:paraId="3A8D3E30">
            <w:pPr>
              <w:spacing w:line="360" w:lineRule="auto"/>
              <w:rPr>
                <w:rFonts w:hint="eastAsia" w:ascii="宋体" w:hAnsi="宋体" w:eastAsia="宋体" w:cs="宋体"/>
                <w:color w:val="auto"/>
                <w:sz w:val="24"/>
                <w:highlight w:val="none"/>
              </w:rPr>
            </w:pPr>
            <w:r>
              <w:rPr>
                <w:rFonts w:hint="eastAsia" w:ascii="宋体" w:hAnsi="宋体" w:eastAsia="宋体" w:cs="宋体"/>
                <w:color w:val="auto"/>
                <w:sz w:val="24"/>
                <w:highlight w:val="none"/>
              </w:rPr>
              <w:t>9</w:t>
            </w:r>
          </w:p>
        </w:tc>
        <w:tc>
          <w:tcPr>
            <w:tcW w:w="553" w:type="dxa"/>
            <w:tcBorders>
              <w:top w:val="single" w:color="auto" w:sz="4" w:space="0"/>
              <w:left w:val="single" w:color="auto" w:sz="4" w:space="0"/>
              <w:bottom w:val="single" w:color="auto" w:sz="4" w:space="0"/>
              <w:right w:val="single" w:color="auto" w:sz="4" w:space="0"/>
            </w:tcBorders>
            <w:noWrap w:val="0"/>
            <w:vAlign w:val="center"/>
          </w:tcPr>
          <w:p w14:paraId="09FBEBE4">
            <w:pPr>
              <w:spacing w:line="360" w:lineRule="auto"/>
              <w:rPr>
                <w:rFonts w:hint="eastAsia" w:ascii="宋体" w:hAnsi="宋体" w:eastAsia="宋体" w:cs="宋体"/>
                <w:color w:val="auto"/>
                <w:sz w:val="24"/>
                <w:highlight w:val="none"/>
              </w:rPr>
            </w:pPr>
            <w:r>
              <w:rPr>
                <w:rFonts w:hint="eastAsia" w:ascii="宋体" w:hAnsi="宋体" w:eastAsia="宋体" w:cs="宋体"/>
                <w:color w:val="auto"/>
                <w:sz w:val="24"/>
                <w:highlight w:val="none"/>
              </w:rPr>
              <w:t>10</w:t>
            </w:r>
          </w:p>
        </w:tc>
        <w:tc>
          <w:tcPr>
            <w:tcW w:w="553" w:type="dxa"/>
            <w:tcBorders>
              <w:top w:val="single" w:color="auto" w:sz="4" w:space="0"/>
              <w:left w:val="single" w:color="auto" w:sz="4" w:space="0"/>
              <w:bottom w:val="single" w:color="auto" w:sz="4" w:space="0"/>
              <w:right w:val="single" w:color="auto" w:sz="4" w:space="0"/>
            </w:tcBorders>
            <w:noWrap w:val="0"/>
            <w:vAlign w:val="center"/>
          </w:tcPr>
          <w:p w14:paraId="70EBE443">
            <w:pPr>
              <w:spacing w:line="360" w:lineRule="auto"/>
              <w:rPr>
                <w:rFonts w:hint="eastAsia" w:ascii="宋体" w:hAnsi="宋体" w:eastAsia="宋体" w:cs="宋体"/>
                <w:color w:val="auto"/>
                <w:sz w:val="24"/>
                <w:highlight w:val="none"/>
              </w:rPr>
            </w:pPr>
            <w:r>
              <w:rPr>
                <w:rFonts w:hint="eastAsia" w:ascii="宋体" w:hAnsi="宋体" w:eastAsia="宋体" w:cs="宋体"/>
                <w:color w:val="auto"/>
                <w:sz w:val="24"/>
                <w:highlight w:val="none"/>
              </w:rPr>
              <w:t>11</w:t>
            </w:r>
          </w:p>
        </w:tc>
        <w:tc>
          <w:tcPr>
            <w:tcW w:w="553" w:type="dxa"/>
            <w:tcBorders>
              <w:top w:val="single" w:color="auto" w:sz="4" w:space="0"/>
              <w:left w:val="single" w:color="auto" w:sz="4" w:space="0"/>
              <w:bottom w:val="single" w:color="auto" w:sz="4" w:space="0"/>
              <w:right w:val="single" w:color="auto" w:sz="4" w:space="0"/>
            </w:tcBorders>
            <w:noWrap w:val="0"/>
            <w:vAlign w:val="center"/>
          </w:tcPr>
          <w:p w14:paraId="237C5D97">
            <w:pPr>
              <w:spacing w:line="360" w:lineRule="auto"/>
              <w:rPr>
                <w:rFonts w:hint="eastAsia" w:ascii="宋体" w:hAnsi="宋体" w:eastAsia="宋体" w:cs="宋体"/>
                <w:color w:val="auto"/>
                <w:sz w:val="24"/>
                <w:highlight w:val="none"/>
              </w:rPr>
            </w:pPr>
            <w:r>
              <w:rPr>
                <w:rFonts w:hint="eastAsia" w:ascii="宋体" w:hAnsi="宋体" w:eastAsia="宋体" w:cs="宋体"/>
                <w:color w:val="auto"/>
                <w:sz w:val="24"/>
                <w:highlight w:val="none"/>
              </w:rPr>
              <w:t>12</w:t>
            </w:r>
          </w:p>
        </w:tc>
        <w:tc>
          <w:tcPr>
            <w:tcW w:w="553" w:type="dxa"/>
            <w:tcBorders>
              <w:top w:val="single" w:color="auto" w:sz="4" w:space="0"/>
              <w:left w:val="single" w:color="auto" w:sz="4" w:space="0"/>
              <w:bottom w:val="single" w:color="auto" w:sz="4" w:space="0"/>
              <w:right w:val="single" w:color="auto" w:sz="4" w:space="0"/>
            </w:tcBorders>
            <w:noWrap w:val="0"/>
            <w:vAlign w:val="center"/>
          </w:tcPr>
          <w:p w14:paraId="3DDA32C4">
            <w:pPr>
              <w:spacing w:line="360" w:lineRule="auto"/>
              <w:rPr>
                <w:rFonts w:hint="eastAsia" w:ascii="宋体" w:hAnsi="宋体" w:eastAsia="宋体" w:cs="宋体"/>
                <w:color w:val="auto"/>
                <w:sz w:val="24"/>
                <w:highlight w:val="none"/>
              </w:rPr>
            </w:pPr>
            <w:r>
              <w:rPr>
                <w:rFonts w:hint="eastAsia" w:ascii="宋体" w:hAnsi="宋体" w:eastAsia="宋体" w:cs="宋体"/>
                <w:color w:val="auto"/>
                <w:sz w:val="24"/>
                <w:highlight w:val="none"/>
              </w:rPr>
              <w:t>13</w:t>
            </w:r>
          </w:p>
        </w:tc>
        <w:tc>
          <w:tcPr>
            <w:tcW w:w="553" w:type="dxa"/>
            <w:tcBorders>
              <w:top w:val="single" w:color="auto" w:sz="4" w:space="0"/>
              <w:left w:val="single" w:color="auto" w:sz="4" w:space="0"/>
              <w:bottom w:val="single" w:color="auto" w:sz="4" w:space="0"/>
              <w:right w:val="single" w:color="auto" w:sz="4" w:space="0"/>
            </w:tcBorders>
            <w:noWrap w:val="0"/>
            <w:vAlign w:val="center"/>
          </w:tcPr>
          <w:p w14:paraId="5A9133D7">
            <w:pPr>
              <w:spacing w:line="360" w:lineRule="auto"/>
              <w:rPr>
                <w:rFonts w:hint="eastAsia" w:ascii="宋体" w:hAnsi="宋体" w:eastAsia="宋体" w:cs="宋体"/>
                <w:color w:val="auto"/>
                <w:sz w:val="24"/>
                <w:highlight w:val="none"/>
              </w:rPr>
            </w:pPr>
            <w:r>
              <w:rPr>
                <w:rFonts w:hint="eastAsia" w:ascii="宋体" w:hAnsi="宋体" w:eastAsia="宋体" w:cs="宋体"/>
                <w:color w:val="auto"/>
                <w:sz w:val="24"/>
                <w:highlight w:val="none"/>
              </w:rPr>
              <w:t>14</w:t>
            </w:r>
          </w:p>
        </w:tc>
        <w:tc>
          <w:tcPr>
            <w:tcW w:w="553" w:type="dxa"/>
            <w:tcBorders>
              <w:top w:val="single" w:color="auto" w:sz="4" w:space="0"/>
              <w:left w:val="single" w:color="auto" w:sz="4" w:space="0"/>
              <w:bottom w:val="single" w:color="auto" w:sz="4" w:space="0"/>
              <w:right w:val="single" w:color="auto" w:sz="4" w:space="0"/>
            </w:tcBorders>
            <w:noWrap w:val="0"/>
            <w:vAlign w:val="center"/>
          </w:tcPr>
          <w:p w14:paraId="4D547FFF">
            <w:pPr>
              <w:spacing w:line="360" w:lineRule="auto"/>
              <w:rPr>
                <w:rFonts w:hint="eastAsia" w:ascii="宋体" w:hAnsi="宋体" w:eastAsia="宋体" w:cs="宋体"/>
                <w:color w:val="auto"/>
                <w:sz w:val="24"/>
                <w:highlight w:val="none"/>
              </w:rPr>
            </w:pPr>
            <w:r>
              <w:rPr>
                <w:rFonts w:hint="eastAsia" w:ascii="宋体" w:hAnsi="宋体" w:eastAsia="宋体" w:cs="宋体"/>
                <w:color w:val="auto"/>
                <w:sz w:val="24"/>
                <w:highlight w:val="none"/>
              </w:rPr>
              <w:t>15</w:t>
            </w:r>
          </w:p>
        </w:tc>
        <w:tc>
          <w:tcPr>
            <w:tcW w:w="553" w:type="dxa"/>
            <w:tcBorders>
              <w:top w:val="single" w:color="auto" w:sz="4" w:space="0"/>
              <w:left w:val="single" w:color="auto" w:sz="4" w:space="0"/>
              <w:bottom w:val="single" w:color="auto" w:sz="4" w:space="0"/>
              <w:right w:val="single" w:color="auto" w:sz="4" w:space="0"/>
            </w:tcBorders>
            <w:noWrap w:val="0"/>
            <w:vAlign w:val="center"/>
          </w:tcPr>
          <w:p w14:paraId="49261DC6">
            <w:pPr>
              <w:spacing w:line="360" w:lineRule="auto"/>
              <w:rPr>
                <w:rFonts w:hint="eastAsia" w:ascii="宋体" w:hAnsi="宋体" w:eastAsia="宋体" w:cs="宋体"/>
                <w:color w:val="auto"/>
                <w:sz w:val="24"/>
                <w:highlight w:val="none"/>
              </w:rPr>
            </w:pPr>
            <w:r>
              <w:rPr>
                <w:rFonts w:hint="eastAsia" w:ascii="宋体" w:hAnsi="宋体" w:eastAsia="宋体" w:cs="宋体"/>
                <w:color w:val="auto"/>
                <w:sz w:val="24"/>
                <w:highlight w:val="none"/>
              </w:rPr>
              <w:t>…</w:t>
            </w:r>
          </w:p>
        </w:tc>
      </w:tr>
      <w:tr w14:paraId="7EF128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tcBorders>
              <w:top w:val="single" w:color="auto" w:sz="4" w:space="0"/>
              <w:left w:val="single" w:color="auto" w:sz="4" w:space="0"/>
              <w:bottom w:val="single" w:color="auto" w:sz="4" w:space="0"/>
              <w:right w:val="single" w:color="auto" w:sz="4" w:space="0"/>
            </w:tcBorders>
            <w:noWrap w:val="0"/>
            <w:vAlign w:val="center"/>
          </w:tcPr>
          <w:p w14:paraId="486432A9">
            <w:pPr>
              <w:spacing w:line="360" w:lineRule="auto"/>
              <w:rPr>
                <w:rFonts w:hint="eastAsia" w:ascii="宋体" w:hAnsi="宋体" w:eastAsia="宋体" w:cs="宋体"/>
                <w:color w:val="auto"/>
                <w:sz w:val="24"/>
                <w:highlight w:val="none"/>
              </w:rPr>
            </w:pPr>
          </w:p>
        </w:tc>
        <w:tc>
          <w:tcPr>
            <w:tcW w:w="552" w:type="dxa"/>
            <w:tcBorders>
              <w:top w:val="single" w:color="auto" w:sz="4" w:space="0"/>
              <w:left w:val="single" w:color="auto" w:sz="4" w:space="0"/>
              <w:bottom w:val="single" w:color="auto" w:sz="4" w:space="0"/>
              <w:right w:val="single" w:color="auto" w:sz="4" w:space="0"/>
            </w:tcBorders>
            <w:noWrap w:val="0"/>
            <w:vAlign w:val="top"/>
          </w:tcPr>
          <w:p w14:paraId="50C40CF4">
            <w:pPr>
              <w:spacing w:line="360" w:lineRule="auto"/>
              <w:rPr>
                <w:rFonts w:hint="eastAsia" w:ascii="宋体" w:hAnsi="宋体" w:eastAsia="宋体" w:cs="宋体"/>
                <w:color w:val="auto"/>
                <w:sz w:val="24"/>
                <w:highlight w:val="none"/>
              </w:rPr>
            </w:pPr>
          </w:p>
        </w:tc>
        <w:tc>
          <w:tcPr>
            <w:tcW w:w="552" w:type="dxa"/>
            <w:tcBorders>
              <w:top w:val="single" w:color="auto" w:sz="4" w:space="0"/>
              <w:left w:val="single" w:color="auto" w:sz="4" w:space="0"/>
              <w:bottom w:val="single" w:color="auto" w:sz="4" w:space="0"/>
              <w:right w:val="single" w:color="auto" w:sz="4" w:space="0"/>
            </w:tcBorders>
            <w:noWrap w:val="0"/>
            <w:vAlign w:val="top"/>
          </w:tcPr>
          <w:p w14:paraId="131BAE97">
            <w:pPr>
              <w:spacing w:line="360" w:lineRule="auto"/>
              <w:rPr>
                <w:rFonts w:hint="eastAsia" w:ascii="宋体" w:hAnsi="宋体" w:eastAsia="宋体" w:cs="宋体"/>
                <w:color w:val="auto"/>
                <w:sz w:val="24"/>
                <w:highlight w:val="none"/>
              </w:rPr>
            </w:pPr>
          </w:p>
        </w:tc>
        <w:tc>
          <w:tcPr>
            <w:tcW w:w="552" w:type="dxa"/>
            <w:tcBorders>
              <w:top w:val="single" w:color="auto" w:sz="4" w:space="0"/>
              <w:left w:val="single" w:color="auto" w:sz="4" w:space="0"/>
              <w:bottom w:val="single" w:color="auto" w:sz="4" w:space="0"/>
              <w:right w:val="single" w:color="auto" w:sz="4" w:space="0"/>
            </w:tcBorders>
            <w:noWrap w:val="0"/>
            <w:vAlign w:val="top"/>
          </w:tcPr>
          <w:p w14:paraId="52E99C92">
            <w:pPr>
              <w:spacing w:line="360" w:lineRule="auto"/>
              <w:rPr>
                <w:rFonts w:hint="eastAsia" w:ascii="宋体" w:hAnsi="宋体" w:eastAsia="宋体" w:cs="宋体"/>
                <w:color w:val="auto"/>
                <w:sz w:val="24"/>
                <w:highlight w:val="none"/>
              </w:rPr>
            </w:pPr>
          </w:p>
        </w:tc>
        <w:tc>
          <w:tcPr>
            <w:tcW w:w="552" w:type="dxa"/>
            <w:tcBorders>
              <w:top w:val="single" w:color="auto" w:sz="4" w:space="0"/>
              <w:left w:val="single" w:color="auto" w:sz="4" w:space="0"/>
              <w:bottom w:val="single" w:color="auto" w:sz="4" w:space="0"/>
              <w:right w:val="single" w:color="auto" w:sz="4" w:space="0"/>
            </w:tcBorders>
            <w:noWrap w:val="0"/>
            <w:vAlign w:val="top"/>
          </w:tcPr>
          <w:p w14:paraId="4F2E1E9C">
            <w:pPr>
              <w:spacing w:line="360" w:lineRule="auto"/>
              <w:rPr>
                <w:rFonts w:hint="eastAsia" w:ascii="宋体" w:hAnsi="宋体" w:eastAsia="宋体" w:cs="宋体"/>
                <w:color w:val="auto"/>
                <w:sz w:val="24"/>
                <w:highlight w:val="none"/>
              </w:rPr>
            </w:pPr>
          </w:p>
        </w:tc>
        <w:tc>
          <w:tcPr>
            <w:tcW w:w="552" w:type="dxa"/>
            <w:tcBorders>
              <w:top w:val="single" w:color="auto" w:sz="4" w:space="0"/>
              <w:left w:val="single" w:color="auto" w:sz="4" w:space="0"/>
              <w:bottom w:val="single" w:color="auto" w:sz="4" w:space="0"/>
              <w:right w:val="single" w:color="auto" w:sz="4" w:space="0"/>
            </w:tcBorders>
            <w:noWrap w:val="0"/>
            <w:vAlign w:val="top"/>
          </w:tcPr>
          <w:p w14:paraId="5FAFA92E">
            <w:pPr>
              <w:spacing w:line="360" w:lineRule="auto"/>
              <w:rPr>
                <w:rFonts w:hint="eastAsia" w:ascii="宋体" w:hAnsi="宋体" w:eastAsia="宋体" w:cs="宋体"/>
                <w:color w:val="auto"/>
                <w:sz w:val="24"/>
                <w:highlight w:val="none"/>
              </w:rPr>
            </w:pPr>
          </w:p>
        </w:tc>
        <w:tc>
          <w:tcPr>
            <w:tcW w:w="552" w:type="dxa"/>
            <w:tcBorders>
              <w:top w:val="single" w:color="auto" w:sz="4" w:space="0"/>
              <w:left w:val="single" w:color="auto" w:sz="4" w:space="0"/>
              <w:bottom w:val="single" w:color="auto" w:sz="4" w:space="0"/>
              <w:right w:val="single" w:color="auto" w:sz="4" w:space="0"/>
            </w:tcBorders>
            <w:noWrap w:val="0"/>
            <w:vAlign w:val="top"/>
          </w:tcPr>
          <w:p w14:paraId="05548242">
            <w:pPr>
              <w:spacing w:line="360" w:lineRule="auto"/>
              <w:rPr>
                <w:rFonts w:hint="eastAsia" w:ascii="宋体" w:hAnsi="宋体" w:eastAsia="宋体" w:cs="宋体"/>
                <w:color w:val="auto"/>
                <w:sz w:val="24"/>
                <w:highlight w:val="none"/>
              </w:rPr>
            </w:pPr>
          </w:p>
        </w:tc>
        <w:tc>
          <w:tcPr>
            <w:tcW w:w="553" w:type="dxa"/>
            <w:tcBorders>
              <w:top w:val="single" w:color="auto" w:sz="4" w:space="0"/>
              <w:left w:val="single" w:color="auto" w:sz="4" w:space="0"/>
              <w:bottom w:val="single" w:color="auto" w:sz="4" w:space="0"/>
              <w:right w:val="single" w:color="auto" w:sz="4" w:space="0"/>
            </w:tcBorders>
            <w:noWrap w:val="0"/>
            <w:vAlign w:val="top"/>
          </w:tcPr>
          <w:p w14:paraId="5AC03EF4">
            <w:pPr>
              <w:spacing w:line="360" w:lineRule="auto"/>
              <w:rPr>
                <w:rFonts w:hint="eastAsia" w:ascii="宋体" w:hAnsi="宋体" w:eastAsia="宋体" w:cs="宋体"/>
                <w:color w:val="auto"/>
                <w:sz w:val="24"/>
                <w:highlight w:val="none"/>
              </w:rPr>
            </w:pPr>
          </w:p>
        </w:tc>
        <w:tc>
          <w:tcPr>
            <w:tcW w:w="553" w:type="dxa"/>
            <w:tcBorders>
              <w:top w:val="single" w:color="auto" w:sz="4" w:space="0"/>
              <w:left w:val="single" w:color="auto" w:sz="4" w:space="0"/>
              <w:bottom w:val="single" w:color="auto" w:sz="4" w:space="0"/>
              <w:right w:val="single" w:color="auto" w:sz="4" w:space="0"/>
            </w:tcBorders>
            <w:noWrap w:val="0"/>
            <w:vAlign w:val="top"/>
          </w:tcPr>
          <w:p w14:paraId="500398CF">
            <w:pPr>
              <w:spacing w:line="360" w:lineRule="auto"/>
              <w:rPr>
                <w:rFonts w:hint="eastAsia" w:ascii="宋体" w:hAnsi="宋体" w:eastAsia="宋体" w:cs="宋体"/>
                <w:color w:val="auto"/>
                <w:sz w:val="24"/>
                <w:highlight w:val="none"/>
              </w:rPr>
            </w:pPr>
          </w:p>
        </w:tc>
        <w:tc>
          <w:tcPr>
            <w:tcW w:w="553" w:type="dxa"/>
            <w:tcBorders>
              <w:top w:val="single" w:color="auto" w:sz="4" w:space="0"/>
              <w:left w:val="single" w:color="auto" w:sz="4" w:space="0"/>
              <w:bottom w:val="single" w:color="auto" w:sz="4" w:space="0"/>
              <w:right w:val="single" w:color="auto" w:sz="4" w:space="0"/>
            </w:tcBorders>
            <w:noWrap w:val="0"/>
            <w:vAlign w:val="top"/>
          </w:tcPr>
          <w:p w14:paraId="3EA8CCDC">
            <w:pPr>
              <w:spacing w:line="360" w:lineRule="auto"/>
              <w:rPr>
                <w:rFonts w:hint="eastAsia" w:ascii="宋体" w:hAnsi="宋体" w:eastAsia="宋体" w:cs="宋体"/>
                <w:color w:val="auto"/>
                <w:sz w:val="24"/>
                <w:highlight w:val="none"/>
              </w:rPr>
            </w:pPr>
          </w:p>
        </w:tc>
        <w:tc>
          <w:tcPr>
            <w:tcW w:w="553" w:type="dxa"/>
            <w:tcBorders>
              <w:top w:val="single" w:color="auto" w:sz="4" w:space="0"/>
              <w:left w:val="single" w:color="auto" w:sz="4" w:space="0"/>
              <w:bottom w:val="single" w:color="auto" w:sz="4" w:space="0"/>
              <w:right w:val="single" w:color="auto" w:sz="4" w:space="0"/>
            </w:tcBorders>
            <w:noWrap w:val="0"/>
            <w:vAlign w:val="top"/>
          </w:tcPr>
          <w:p w14:paraId="32404BEC">
            <w:pPr>
              <w:spacing w:line="360" w:lineRule="auto"/>
              <w:rPr>
                <w:rFonts w:hint="eastAsia" w:ascii="宋体" w:hAnsi="宋体" w:eastAsia="宋体" w:cs="宋体"/>
                <w:color w:val="auto"/>
                <w:sz w:val="24"/>
                <w:highlight w:val="none"/>
              </w:rPr>
            </w:pPr>
          </w:p>
        </w:tc>
        <w:tc>
          <w:tcPr>
            <w:tcW w:w="553" w:type="dxa"/>
            <w:tcBorders>
              <w:top w:val="single" w:color="auto" w:sz="4" w:space="0"/>
              <w:left w:val="single" w:color="auto" w:sz="4" w:space="0"/>
              <w:bottom w:val="single" w:color="auto" w:sz="4" w:space="0"/>
              <w:right w:val="single" w:color="auto" w:sz="4" w:space="0"/>
            </w:tcBorders>
            <w:noWrap w:val="0"/>
            <w:vAlign w:val="top"/>
          </w:tcPr>
          <w:p w14:paraId="1E5EE657">
            <w:pPr>
              <w:spacing w:line="360" w:lineRule="auto"/>
              <w:rPr>
                <w:rFonts w:hint="eastAsia" w:ascii="宋体" w:hAnsi="宋体" w:eastAsia="宋体" w:cs="宋体"/>
                <w:color w:val="auto"/>
                <w:sz w:val="24"/>
                <w:highlight w:val="none"/>
              </w:rPr>
            </w:pPr>
          </w:p>
        </w:tc>
        <w:tc>
          <w:tcPr>
            <w:tcW w:w="553" w:type="dxa"/>
            <w:tcBorders>
              <w:top w:val="single" w:color="auto" w:sz="4" w:space="0"/>
              <w:left w:val="single" w:color="auto" w:sz="4" w:space="0"/>
              <w:bottom w:val="single" w:color="auto" w:sz="4" w:space="0"/>
              <w:right w:val="single" w:color="auto" w:sz="4" w:space="0"/>
            </w:tcBorders>
            <w:noWrap w:val="0"/>
            <w:vAlign w:val="top"/>
          </w:tcPr>
          <w:p w14:paraId="5E13E27B">
            <w:pPr>
              <w:spacing w:line="360" w:lineRule="auto"/>
              <w:rPr>
                <w:rFonts w:hint="eastAsia" w:ascii="宋体" w:hAnsi="宋体" w:eastAsia="宋体" w:cs="宋体"/>
                <w:color w:val="auto"/>
                <w:sz w:val="24"/>
                <w:highlight w:val="none"/>
              </w:rPr>
            </w:pPr>
          </w:p>
        </w:tc>
        <w:tc>
          <w:tcPr>
            <w:tcW w:w="553" w:type="dxa"/>
            <w:tcBorders>
              <w:top w:val="single" w:color="auto" w:sz="4" w:space="0"/>
              <w:left w:val="single" w:color="auto" w:sz="4" w:space="0"/>
              <w:bottom w:val="single" w:color="auto" w:sz="4" w:space="0"/>
              <w:right w:val="single" w:color="auto" w:sz="4" w:space="0"/>
            </w:tcBorders>
            <w:noWrap w:val="0"/>
            <w:vAlign w:val="top"/>
          </w:tcPr>
          <w:p w14:paraId="03D88DBE">
            <w:pPr>
              <w:spacing w:line="360" w:lineRule="auto"/>
              <w:rPr>
                <w:rFonts w:hint="eastAsia" w:ascii="宋体" w:hAnsi="宋体" w:eastAsia="宋体" w:cs="宋体"/>
                <w:color w:val="auto"/>
                <w:sz w:val="24"/>
                <w:highlight w:val="none"/>
              </w:rPr>
            </w:pPr>
          </w:p>
        </w:tc>
        <w:tc>
          <w:tcPr>
            <w:tcW w:w="553" w:type="dxa"/>
            <w:tcBorders>
              <w:top w:val="single" w:color="auto" w:sz="4" w:space="0"/>
              <w:left w:val="single" w:color="auto" w:sz="4" w:space="0"/>
              <w:bottom w:val="single" w:color="auto" w:sz="4" w:space="0"/>
              <w:right w:val="single" w:color="auto" w:sz="4" w:space="0"/>
            </w:tcBorders>
            <w:noWrap w:val="0"/>
            <w:vAlign w:val="top"/>
          </w:tcPr>
          <w:p w14:paraId="3CC42A99">
            <w:pPr>
              <w:spacing w:line="360" w:lineRule="auto"/>
              <w:rPr>
                <w:rFonts w:hint="eastAsia" w:ascii="宋体" w:hAnsi="宋体" w:eastAsia="宋体" w:cs="宋体"/>
                <w:color w:val="auto"/>
                <w:sz w:val="24"/>
                <w:highlight w:val="none"/>
              </w:rPr>
            </w:pPr>
          </w:p>
        </w:tc>
        <w:tc>
          <w:tcPr>
            <w:tcW w:w="553" w:type="dxa"/>
            <w:tcBorders>
              <w:top w:val="single" w:color="auto" w:sz="4" w:space="0"/>
              <w:left w:val="single" w:color="auto" w:sz="4" w:space="0"/>
              <w:bottom w:val="single" w:color="auto" w:sz="4" w:space="0"/>
              <w:right w:val="single" w:color="auto" w:sz="4" w:space="0"/>
            </w:tcBorders>
            <w:noWrap w:val="0"/>
            <w:vAlign w:val="top"/>
          </w:tcPr>
          <w:p w14:paraId="5C5ABB48">
            <w:pPr>
              <w:spacing w:line="360" w:lineRule="auto"/>
              <w:rPr>
                <w:rFonts w:hint="eastAsia" w:ascii="宋体" w:hAnsi="宋体" w:eastAsia="宋体" w:cs="宋体"/>
                <w:color w:val="auto"/>
                <w:sz w:val="24"/>
                <w:highlight w:val="none"/>
              </w:rPr>
            </w:pPr>
          </w:p>
        </w:tc>
        <w:tc>
          <w:tcPr>
            <w:tcW w:w="553" w:type="dxa"/>
            <w:tcBorders>
              <w:top w:val="single" w:color="auto" w:sz="4" w:space="0"/>
              <w:left w:val="single" w:color="auto" w:sz="4" w:space="0"/>
              <w:bottom w:val="single" w:color="auto" w:sz="4" w:space="0"/>
              <w:right w:val="single" w:color="auto" w:sz="4" w:space="0"/>
            </w:tcBorders>
            <w:noWrap w:val="0"/>
            <w:vAlign w:val="top"/>
          </w:tcPr>
          <w:p w14:paraId="223DB4E9">
            <w:pPr>
              <w:spacing w:line="360" w:lineRule="auto"/>
              <w:rPr>
                <w:rFonts w:hint="eastAsia" w:ascii="宋体" w:hAnsi="宋体" w:eastAsia="宋体" w:cs="宋体"/>
                <w:color w:val="auto"/>
                <w:sz w:val="24"/>
                <w:highlight w:val="none"/>
              </w:rPr>
            </w:pPr>
          </w:p>
        </w:tc>
      </w:tr>
      <w:tr w14:paraId="14EFCF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tcBorders>
              <w:top w:val="single" w:color="auto" w:sz="4" w:space="0"/>
              <w:left w:val="single" w:color="auto" w:sz="4" w:space="0"/>
              <w:bottom w:val="single" w:color="auto" w:sz="4" w:space="0"/>
              <w:right w:val="single" w:color="auto" w:sz="4" w:space="0"/>
            </w:tcBorders>
            <w:noWrap w:val="0"/>
            <w:vAlign w:val="center"/>
          </w:tcPr>
          <w:p w14:paraId="4CFF5067">
            <w:pPr>
              <w:spacing w:line="360" w:lineRule="auto"/>
              <w:rPr>
                <w:rFonts w:hint="eastAsia" w:ascii="宋体" w:hAnsi="宋体" w:eastAsia="宋体" w:cs="宋体"/>
                <w:color w:val="auto"/>
                <w:sz w:val="24"/>
                <w:highlight w:val="none"/>
              </w:rPr>
            </w:pPr>
          </w:p>
        </w:tc>
        <w:tc>
          <w:tcPr>
            <w:tcW w:w="552" w:type="dxa"/>
            <w:tcBorders>
              <w:top w:val="single" w:color="auto" w:sz="4" w:space="0"/>
              <w:left w:val="single" w:color="auto" w:sz="4" w:space="0"/>
              <w:bottom w:val="single" w:color="auto" w:sz="4" w:space="0"/>
              <w:right w:val="single" w:color="auto" w:sz="4" w:space="0"/>
            </w:tcBorders>
            <w:noWrap w:val="0"/>
            <w:vAlign w:val="top"/>
          </w:tcPr>
          <w:p w14:paraId="21460C40">
            <w:pPr>
              <w:spacing w:line="360" w:lineRule="auto"/>
              <w:rPr>
                <w:rFonts w:hint="eastAsia" w:ascii="宋体" w:hAnsi="宋体" w:eastAsia="宋体" w:cs="宋体"/>
                <w:color w:val="auto"/>
                <w:sz w:val="24"/>
                <w:highlight w:val="none"/>
              </w:rPr>
            </w:pPr>
          </w:p>
        </w:tc>
        <w:tc>
          <w:tcPr>
            <w:tcW w:w="552" w:type="dxa"/>
            <w:tcBorders>
              <w:top w:val="single" w:color="auto" w:sz="4" w:space="0"/>
              <w:left w:val="single" w:color="auto" w:sz="4" w:space="0"/>
              <w:bottom w:val="single" w:color="auto" w:sz="4" w:space="0"/>
              <w:right w:val="single" w:color="auto" w:sz="4" w:space="0"/>
            </w:tcBorders>
            <w:noWrap w:val="0"/>
            <w:vAlign w:val="top"/>
          </w:tcPr>
          <w:p w14:paraId="0EBF04DC">
            <w:pPr>
              <w:spacing w:line="360" w:lineRule="auto"/>
              <w:rPr>
                <w:rFonts w:hint="eastAsia" w:ascii="宋体" w:hAnsi="宋体" w:eastAsia="宋体" w:cs="宋体"/>
                <w:color w:val="auto"/>
                <w:sz w:val="24"/>
                <w:highlight w:val="none"/>
              </w:rPr>
            </w:pPr>
          </w:p>
        </w:tc>
        <w:tc>
          <w:tcPr>
            <w:tcW w:w="552" w:type="dxa"/>
            <w:tcBorders>
              <w:top w:val="single" w:color="auto" w:sz="4" w:space="0"/>
              <w:left w:val="single" w:color="auto" w:sz="4" w:space="0"/>
              <w:bottom w:val="single" w:color="auto" w:sz="4" w:space="0"/>
              <w:right w:val="single" w:color="auto" w:sz="4" w:space="0"/>
            </w:tcBorders>
            <w:noWrap w:val="0"/>
            <w:vAlign w:val="top"/>
          </w:tcPr>
          <w:p w14:paraId="52FF7D60">
            <w:pPr>
              <w:spacing w:line="360" w:lineRule="auto"/>
              <w:rPr>
                <w:rFonts w:hint="eastAsia" w:ascii="宋体" w:hAnsi="宋体" w:eastAsia="宋体" w:cs="宋体"/>
                <w:color w:val="auto"/>
                <w:sz w:val="24"/>
                <w:highlight w:val="none"/>
              </w:rPr>
            </w:pPr>
          </w:p>
        </w:tc>
        <w:tc>
          <w:tcPr>
            <w:tcW w:w="552" w:type="dxa"/>
            <w:tcBorders>
              <w:top w:val="single" w:color="auto" w:sz="4" w:space="0"/>
              <w:left w:val="single" w:color="auto" w:sz="4" w:space="0"/>
              <w:bottom w:val="single" w:color="auto" w:sz="4" w:space="0"/>
              <w:right w:val="single" w:color="auto" w:sz="4" w:space="0"/>
            </w:tcBorders>
            <w:noWrap w:val="0"/>
            <w:vAlign w:val="top"/>
          </w:tcPr>
          <w:p w14:paraId="1A5BEF82">
            <w:pPr>
              <w:spacing w:line="360" w:lineRule="auto"/>
              <w:rPr>
                <w:rFonts w:hint="eastAsia" w:ascii="宋体" w:hAnsi="宋体" w:eastAsia="宋体" w:cs="宋体"/>
                <w:color w:val="auto"/>
                <w:sz w:val="24"/>
                <w:highlight w:val="none"/>
              </w:rPr>
            </w:pPr>
          </w:p>
        </w:tc>
        <w:tc>
          <w:tcPr>
            <w:tcW w:w="552" w:type="dxa"/>
            <w:tcBorders>
              <w:top w:val="single" w:color="auto" w:sz="4" w:space="0"/>
              <w:left w:val="single" w:color="auto" w:sz="4" w:space="0"/>
              <w:bottom w:val="single" w:color="auto" w:sz="4" w:space="0"/>
              <w:right w:val="single" w:color="auto" w:sz="4" w:space="0"/>
            </w:tcBorders>
            <w:noWrap w:val="0"/>
            <w:vAlign w:val="top"/>
          </w:tcPr>
          <w:p w14:paraId="0F6DEFFF">
            <w:pPr>
              <w:spacing w:line="360" w:lineRule="auto"/>
              <w:rPr>
                <w:rFonts w:hint="eastAsia" w:ascii="宋体" w:hAnsi="宋体" w:eastAsia="宋体" w:cs="宋体"/>
                <w:color w:val="auto"/>
                <w:sz w:val="24"/>
                <w:highlight w:val="none"/>
              </w:rPr>
            </w:pPr>
          </w:p>
        </w:tc>
        <w:tc>
          <w:tcPr>
            <w:tcW w:w="552" w:type="dxa"/>
            <w:tcBorders>
              <w:top w:val="single" w:color="auto" w:sz="4" w:space="0"/>
              <w:left w:val="single" w:color="auto" w:sz="4" w:space="0"/>
              <w:bottom w:val="single" w:color="auto" w:sz="4" w:space="0"/>
              <w:right w:val="single" w:color="auto" w:sz="4" w:space="0"/>
            </w:tcBorders>
            <w:noWrap w:val="0"/>
            <w:vAlign w:val="top"/>
          </w:tcPr>
          <w:p w14:paraId="24E494AE">
            <w:pPr>
              <w:spacing w:line="360" w:lineRule="auto"/>
              <w:rPr>
                <w:rFonts w:hint="eastAsia" w:ascii="宋体" w:hAnsi="宋体" w:eastAsia="宋体" w:cs="宋体"/>
                <w:color w:val="auto"/>
                <w:sz w:val="24"/>
                <w:highlight w:val="none"/>
              </w:rPr>
            </w:pPr>
          </w:p>
        </w:tc>
        <w:tc>
          <w:tcPr>
            <w:tcW w:w="553" w:type="dxa"/>
            <w:tcBorders>
              <w:top w:val="single" w:color="auto" w:sz="4" w:space="0"/>
              <w:left w:val="single" w:color="auto" w:sz="4" w:space="0"/>
              <w:bottom w:val="single" w:color="auto" w:sz="4" w:space="0"/>
              <w:right w:val="single" w:color="auto" w:sz="4" w:space="0"/>
            </w:tcBorders>
            <w:noWrap w:val="0"/>
            <w:vAlign w:val="top"/>
          </w:tcPr>
          <w:p w14:paraId="6161FA67">
            <w:pPr>
              <w:spacing w:line="360" w:lineRule="auto"/>
              <w:rPr>
                <w:rFonts w:hint="eastAsia" w:ascii="宋体" w:hAnsi="宋体" w:eastAsia="宋体" w:cs="宋体"/>
                <w:color w:val="auto"/>
                <w:sz w:val="24"/>
                <w:highlight w:val="none"/>
              </w:rPr>
            </w:pPr>
          </w:p>
        </w:tc>
        <w:tc>
          <w:tcPr>
            <w:tcW w:w="553" w:type="dxa"/>
            <w:tcBorders>
              <w:top w:val="single" w:color="auto" w:sz="4" w:space="0"/>
              <w:left w:val="single" w:color="auto" w:sz="4" w:space="0"/>
              <w:bottom w:val="single" w:color="auto" w:sz="4" w:space="0"/>
              <w:right w:val="single" w:color="auto" w:sz="4" w:space="0"/>
            </w:tcBorders>
            <w:noWrap w:val="0"/>
            <w:vAlign w:val="top"/>
          </w:tcPr>
          <w:p w14:paraId="291F0C6F">
            <w:pPr>
              <w:spacing w:line="360" w:lineRule="auto"/>
              <w:rPr>
                <w:rFonts w:hint="eastAsia" w:ascii="宋体" w:hAnsi="宋体" w:eastAsia="宋体" w:cs="宋体"/>
                <w:color w:val="auto"/>
                <w:sz w:val="24"/>
                <w:highlight w:val="none"/>
              </w:rPr>
            </w:pPr>
          </w:p>
        </w:tc>
        <w:tc>
          <w:tcPr>
            <w:tcW w:w="553" w:type="dxa"/>
            <w:tcBorders>
              <w:top w:val="single" w:color="auto" w:sz="4" w:space="0"/>
              <w:left w:val="single" w:color="auto" w:sz="4" w:space="0"/>
              <w:bottom w:val="single" w:color="auto" w:sz="4" w:space="0"/>
              <w:right w:val="single" w:color="auto" w:sz="4" w:space="0"/>
            </w:tcBorders>
            <w:noWrap w:val="0"/>
            <w:vAlign w:val="top"/>
          </w:tcPr>
          <w:p w14:paraId="3E0DC809">
            <w:pPr>
              <w:spacing w:line="360" w:lineRule="auto"/>
              <w:rPr>
                <w:rFonts w:hint="eastAsia" w:ascii="宋体" w:hAnsi="宋体" w:eastAsia="宋体" w:cs="宋体"/>
                <w:color w:val="auto"/>
                <w:sz w:val="24"/>
                <w:highlight w:val="none"/>
              </w:rPr>
            </w:pPr>
          </w:p>
        </w:tc>
        <w:tc>
          <w:tcPr>
            <w:tcW w:w="553" w:type="dxa"/>
            <w:tcBorders>
              <w:top w:val="single" w:color="auto" w:sz="4" w:space="0"/>
              <w:left w:val="single" w:color="auto" w:sz="4" w:space="0"/>
              <w:bottom w:val="single" w:color="auto" w:sz="4" w:space="0"/>
              <w:right w:val="single" w:color="auto" w:sz="4" w:space="0"/>
            </w:tcBorders>
            <w:noWrap w:val="0"/>
            <w:vAlign w:val="top"/>
          </w:tcPr>
          <w:p w14:paraId="70EDFF25">
            <w:pPr>
              <w:spacing w:line="360" w:lineRule="auto"/>
              <w:rPr>
                <w:rFonts w:hint="eastAsia" w:ascii="宋体" w:hAnsi="宋体" w:eastAsia="宋体" w:cs="宋体"/>
                <w:color w:val="auto"/>
                <w:sz w:val="24"/>
                <w:highlight w:val="none"/>
              </w:rPr>
            </w:pPr>
          </w:p>
        </w:tc>
        <w:tc>
          <w:tcPr>
            <w:tcW w:w="553" w:type="dxa"/>
            <w:tcBorders>
              <w:top w:val="single" w:color="auto" w:sz="4" w:space="0"/>
              <w:left w:val="single" w:color="auto" w:sz="4" w:space="0"/>
              <w:bottom w:val="single" w:color="auto" w:sz="4" w:space="0"/>
              <w:right w:val="single" w:color="auto" w:sz="4" w:space="0"/>
            </w:tcBorders>
            <w:noWrap w:val="0"/>
            <w:vAlign w:val="top"/>
          </w:tcPr>
          <w:p w14:paraId="56B721D5">
            <w:pPr>
              <w:spacing w:line="360" w:lineRule="auto"/>
              <w:rPr>
                <w:rFonts w:hint="eastAsia" w:ascii="宋体" w:hAnsi="宋体" w:eastAsia="宋体" w:cs="宋体"/>
                <w:color w:val="auto"/>
                <w:sz w:val="24"/>
                <w:highlight w:val="none"/>
              </w:rPr>
            </w:pPr>
          </w:p>
        </w:tc>
        <w:tc>
          <w:tcPr>
            <w:tcW w:w="553" w:type="dxa"/>
            <w:tcBorders>
              <w:top w:val="single" w:color="auto" w:sz="4" w:space="0"/>
              <w:left w:val="single" w:color="auto" w:sz="4" w:space="0"/>
              <w:bottom w:val="single" w:color="auto" w:sz="4" w:space="0"/>
              <w:right w:val="single" w:color="auto" w:sz="4" w:space="0"/>
            </w:tcBorders>
            <w:noWrap w:val="0"/>
            <w:vAlign w:val="top"/>
          </w:tcPr>
          <w:p w14:paraId="4D97BA04">
            <w:pPr>
              <w:spacing w:line="360" w:lineRule="auto"/>
              <w:rPr>
                <w:rFonts w:hint="eastAsia" w:ascii="宋体" w:hAnsi="宋体" w:eastAsia="宋体" w:cs="宋体"/>
                <w:color w:val="auto"/>
                <w:sz w:val="24"/>
                <w:highlight w:val="none"/>
              </w:rPr>
            </w:pPr>
          </w:p>
        </w:tc>
        <w:tc>
          <w:tcPr>
            <w:tcW w:w="553" w:type="dxa"/>
            <w:tcBorders>
              <w:top w:val="single" w:color="auto" w:sz="4" w:space="0"/>
              <w:left w:val="single" w:color="auto" w:sz="4" w:space="0"/>
              <w:bottom w:val="single" w:color="auto" w:sz="4" w:space="0"/>
              <w:right w:val="single" w:color="auto" w:sz="4" w:space="0"/>
            </w:tcBorders>
            <w:noWrap w:val="0"/>
            <w:vAlign w:val="top"/>
          </w:tcPr>
          <w:p w14:paraId="305E70E6">
            <w:pPr>
              <w:spacing w:line="360" w:lineRule="auto"/>
              <w:rPr>
                <w:rFonts w:hint="eastAsia" w:ascii="宋体" w:hAnsi="宋体" w:eastAsia="宋体" w:cs="宋体"/>
                <w:color w:val="auto"/>
                <w:sz w:val="24"/>
                <w:highlight w:val="none"/>
              </w:rPr>
            </w:pPr>
          </w:p>
        </w:tc>
        <w:tc>
          <w:tcPr>
            <w:tcW w:w="553" w:type="dxa"/>
            <w:tcBorders>
              <w:top w:val="single" w:color="auto" w:sz="4" w:space="0"/>
              <w:left w:val="single" w:color="auto" w:sz="4" w:space="0"/>
              <w:bottom w:val="single" w:color="auto" w:sz="4" w:space="0"/>
              <w:right w:val="single" w:color="auto" w:sz="4" w:space="0"/>
            </w:tcBorders>
            <w:noWrap w:val="0"/>
            <w:vAlign w:val="top"/>
          </w:tcPr>
          <w:p w14:paraId="1D0D7D2A">
            <w:pPr>
              <w:spacing w:line="360" w:lineRule="auto"/>
              <w:rPr>
                <w:rFonts w:hint="eastAsia" w:ascii="宋体" w:hAnsi="宋体" w:eastAsia="宋体" w:cs="宋体"/>
                <w:color w:val="auto"/>
                <w:sz w:val="24"/>
                <w:highlight w:val="none"/>
              </w:rPr>
            </w:pPr>
          </w:p>
        </w:tc>
        <w:tc>
          <w:tcPr>
            <w:tcW w:w="553" w:type="dxa"/>
            <w:tcBorders>
              <w:top w:val="single" w:color="auto" w:sz="4" w:space="0"/>
              <w:left w:val="single" w:color="auto" w:sz="4" w:space="0"/>
              <w:bottom w:val="single" w:color="auto" w:sz="4" w:space="0"/>
              <w:right w:val="single" w:color="auto" w:sz="4" w:space="0"/>
            </w:tcBorders>
            <w:noWrap w:val="0"/>
            <w:vAlign w:val="top"/>
          </w:tcPr>
          <w:p w14:paraId="3815D664">
            <w:pPr>
              <w:spacing w:line="360" w:lineRule="auto"/>
              <w:rPr>
                <w:rFonts w:hint="eastAsia" w:ascii="宋体" w:hAnsi="宋体" w:eastAsia="宋体" w:cs="宋体"/>
                <w:color w:val="auto"/>
                <w:sz w:val="24"/>
                <w:highlight w:val="none"/>
              </w:rPr>
            </w:pPr>
          </w:p>
        </w:tc>
        <w:tc>
          <w:tcPr>
            <w:tcW w:w="553" w:type="dxa"/>
            <w:tcBorders>
              <w:top w:val="single" w:color="auto" w:sz="4" w:space="0"/>
              <w:left w:val="single" w:color="auto" w:sz="4" w:space="0"/>
              <w:bottom w:val="single" w:color="auto" w:sz="4" w:space="0"/>
              <w:right w:val="single" w:color="auto" w:sz="4" w:space="0"/>
            </w:tcBorders>
            <w:noWrap w:val="0"/>
            <w:vAlign w:val="top"/>
          </w:tcPr>
          <w:p w14:paraId="6619FEBA">
            <w:pPr>
              <w:spacing w:line="360" w:lineRule="auto"/>
              <w:rPr>
                <w:rFonts w:hint="eastAsia" w:ascii="宋体" w:hAnsi="宋体" w:eastAsia="宋体" w:cs="宋体"/>
                <w:color w:val="auto"/>
                <w:sz w:val="24"/>
                <w:highlight w:val="none"/>
              </w:rPr>
            </w:pPr>
          </w:p>
        </w:tc>
      </w:tr>
      <w:tr w14:paraId="1BA79C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tcBorders>
              <w:top w:val="single" w:color="auto" w:sz="4" w:space="0"/>
              <w:left w:val="single" w:color="auto" w:sz="4" w:space="0"/>
              <w:bottom w:val="single" w:color="auto" w:sz="4" w:space="0"/>
              <w:right w:val="single" w:color="auto" w:sz="4" w:space="0"/>
            </w:tcBorders>
            <w:noWrap w:val="0"/>
            <w:vAlign w:val="center"/>
          </w:tcPr>
          <w:p w14:paraId="0E214773">
            <w:pPr>
              <w:spacing w:line="360" w:lineRule="auto"/>
              <w:rPr>
                <w:rFonts w:hint="eastAsia" w:ascii="宋体" w:hAnsi="宋体" w:eastAsia="宋体" w:cs="宋体"/>
                <w:color w:val="auto"/>
                <w:sz w:val="24"/>
                <w:highlight w:val="none"/>
              </w:rPr>
            </w:pPr>
          </w:p>
        </w:tc>
        <w:tc>
          <w:tcPr>
            <w:tcW w:w="552" w:type="dxa"/>
            <w:tcBorders>
              <w:top w:val="single" w:color="auto" w:sz="4" w:space="0"/>
              <w:left w:val="single" w:color="auto" w:sz="4" w:space="0"/>
              <w:bottom w:val="single" w:color="auto" w:sz="4" w:space="0"/>
              <w:right w:val="single" w:color="auto" w:sz="4" w:space="0"/>
            </w:tcBorders>
            <w:noWrap w:val="0"/>
            <w:vAlign w:val="top"/>
          </w:tcPr>
          <w:p w14:paraId="6FD5F913">
            <w:pPr>
              <w:spacing w:line="360" w:lineRule="auto"/>
              <w:rPr>
                <w:rFonts w:hint="eastAsia" w:ascii="宋体" w:hAnsi="宋体" w:eastAsia="宋体" w:cs="宋体"/>
                <w:color w:val="auto"/>
                <w:sz w:val="24"/>
                <w:highlight w:val="none"/>
              </w:rPr>
            </w:pPr>
          </w:p>
        </w:tc>
        <w:tc>
          <w:tcPr>
            <w:tcW w:w="552" w:type="dxa"/>
            <w:tcBorders>
              <w:top w:val="single" w:color="auto" w:sz="4" w:space="0"/>
              <w:left w:val="single" w:color="auto" w:sz="4" w:space="0"/>
              <w:bottom w:val="single" w:color="auto" w:sz="4" w:space="0"/>
              <w:right w:val="single" w:color="auto" w:sz="4" w:space="0"/>
            </w:tcBorders>
            <w:noWrap w:val="0"/>
            <w:vAlign w:val="top"/>
          </w:tcPr>
          <w:p w14:paraId="0A365E17">
            <w:pPr>
              <w:spacing w:line="360" w:lineRule="auto"/>
              <w:rPr>
                <w:rFonts w:hint="eastAsia" w:ascii="宋体" w:hAnsi="宋体" w:eastAsia="宋体" w:cs="宋体"/>
                <w:color w:val="auto"/>
                <w:sz w:val="24"/>
                <w:highlight w:val="none"/>
              </w:rPr>
            </w:pPr>
          </w:p>
        </w:tc>
        <w:tc>
          <w:tcPr>
            <w:tcW w:w="552" w:type="dxa"/>
            <w:tcBorders>
              <w:top w:val="single" w:color="auto" w:sz="4" w:space="0"/>
              <w:left w:val="single" w:color="auto" w:sz="4" w:space="0"/>
              <w:bottom w:val="single" w:color="auto" w:sz="4" w:space="0"/>
              <w:right w:val="single" w:color="auto" w:sz="4" w:space="0"/>
            </w:tcBorders>
            <w:noWrap w:val="0"/>
            <w:vAlign w:val="top"/>
          </w:tcPr>
          <w:p w14:paraId="13379982">
            <w:pPr>
              <w:spacing w:line="360" w:lineRule="auto"/>
              <w:rPr>
                <w:rFonts w:hint="eastAsia" w:ascii="宋体" w:hAnsi="宋体" w:eastAsia="宋体" w:cs="宋体"/>
                <w:color w:val="auto"/>
                <w:sz w:val="24"/>
                <w:highlight w:val="none"/>
              </w:rPr>
            </w:pPr>
          </w:p>
        </w:tc>
        <w:tc>
          <w:tcPr>
            <w:tcW w:w="552" w:type="dxa"/>
            <w:tcBorders>
              <w:top w:val="single" w:color="auto" w:sz="4" w:space="0"/>
              <w:left w:val="single" w:color="auto" w:sz="4" w:space="0"/>
              <w:bottom w:val="single" w:color="auto" w:sz="4" w:space="0"/>
              <w:right w:val="single" w:color="auto" w:sz="4" w:space="0"/>
            </w:tcBorders>
            <w:noWrap w:val="0"/>
            <w:vAlign w:val="top"/>
          </w:tcPr>
          <w:p w14:paraId="79C07041">
            <w:pPr>
              <w:spacing w:line="360" w:lineRule="auto"/>
              <w:rPr>
                <w:rFonts w:hint="eastAsia" w:ascii="宋体" w:hAnsi="宋体" w:eastAsia="宋体" w:cs="宋体"/>
                <w:color w:val="auto"/>
                <w:sz w:val="24"/>
                <w:highlight w:val="none"/>
              </w:rPr>
            </w:pPr>
          </w:p>
        </w:tc>
        <w:tc>
          <w:tcPr>
            <w:tcW w:w="552" w:type="dxa"/>
            <w:tcBorders>
              <w:top w:val="single" w:color="auto" w:sz="4" w:space="0"/>
              <w:left w:val="single" w:color="auto" w:sz="4" w:space="0"/>
              <w:bottom w:val="single" w:color="auto" w:sz="4" w:space="0"/>
              <w:right w:val="single" w:color="auto" w:sz="4" w:space="0"/>
            </w:tcBorders>
            <w:noWrap w:val="0"/>
            <w:vAlign w:val="top"/>
          </w:tcPr>
          <w:p w14:paraId="27F453AB">
            <w:pPr>
              <w:spacing w:line="360" w:lineRule="auto"/>
              <w:rPr>
                <w:rFonts w:hint="eastAsia" w:ascii="宋体" w:hAnsi="宋体" w:eastAsia="宋体" w:cs="宋体"/>
                <w:color w:val="auto"/>
                <w:sz w:val="24"/>
                <w:highlight w:val="none"/>
              </w:rPr>
            </w:pPr>
          </w:p>
        </w:tc>
        <w:tc>
          <w:tcPr>
            <w:tcW w:w="552" w:type="dxa"/>
            <w:tcBorders>
              <w:top w:val="single" w:color="auto" w:sz="4" w:space="0"/>
              <w:left w:val="single" w:color="auto" w:sz="4" w:space="0"/>
              <w:bottom w:val="single" w:color="auto" w:sz="4" w:space="0"/>
              <w:right w:val="single" w:color="auto" w:sz="4" w:space="0"/>
            </w:tcBorders>
            <w:noWrap w:val="0"/>
            <w:vAlign w:val="top"/>
          </w:tcPr>
          <w:p w14:paraId="7E1CC8C1">
            <w:pPr>
              <w:spacing w:line="360" w:lineRule="auto"/>
              <w:rPr>
                <w:rFonts w:hint="eastAsia" w:ascii="宋体" w:hAnsi="宋体" w:eastAsia="宋体" w:cs="宋体"/>
                <w:color w:val="auto"/>
                <w:sz w:val="24"/>
                <w:highlight w:val="none"/>
              </w:rPr>
            </w:pPr>
          </w:p>
        </w:tc>
        <w:tc>
          <w:tcPr>
            <w:tcW w:w="553" w:type="dxa"/>
            <w:tcBorders>
              <w:top w:val="single" w:color="auto" w:sz="4" w:space="0"/>
              <w:left w:val="single" w:color="auto" w:sz="4" w:space="0"/>
              <w:bottom w:val="single" w:color="auto" w:sz="4" w:space="0"/>
              <w:right w:val="single" w:color="auto" w:sz="4" w:space="0"/>
            </w:tcBorders>
            <w:noWrap w:val="0"/>
            <w:vAlign w:val="top"/>
          </w:tcPr>
          <w:p w14:paraId="1CA1E060">
            <w:pPr>
              <w:spacing w:line="360" w:lineRule="auto"/>
              <w:rPr>
                <w:rFonts w:hint="eastAsia" w:ascii="宋体" w:hAnsi="宋体" w:eastAsia="宋体" w:cs="宋体"/>
                <w:color w:val="auto"/>
                <w:sz w:val="24"/>
                <w:highlight w:val="none"/>
              </w:rPr>
            </w:pPr>
          </w:p>
        </w:tc>
        <w:tc>
          <w:tcPr>
            <w:tcW w:w="553" w:type="dxa"/>
            <w:tcBorders>
              <w:top w:val="single" w:color="auto" w:sz="4" w:space="0"/>
              <w:left w:val="single" w:color="auto" w:sz="4" w:space="0"/>
              <w:bottom w:val="single" w:color="auto" w:sz="4" w:space="0"/>
              <w:right w:val="single" w:color="auto" w:sz="4" w:space="0"/>
            </w:tcBorders>
            <w:noWrap w:val="0"/>
            <w:vAlign w:val="top"/>
          </w:tcPr>
          <w:p w14:paraId="77583948">
            <w:pPr>
              <w:spacing w:line="360" w:lineRule="auto"/>
              <w:rPr>
                <w:rFonts w:hint="eastAsia" w:ascii="宋体" w:hAnsi="宋体" w:eastAsia="宋体" w:cs="宋体"/>
                <w:color w:val="auto"/>
                <w:sz w:val="24"/>
                <w:highlight w:val="none"/>
              </w:rPr>
            </w:pPr>
          </w:p>
        </w:tc>
        <w:tc>
          <w:tcPr>
            <w:tcW w:w="553" w:type="dxa"/>
            <w:tcBorders>
              <w:top w:val="single" w:color="auto" w:sz="4" w:space="0"/>
              <w:left w:val="single" w:color="auto" w:sz="4" w:space="0"/>
              <w:bottom w:val="single" w:color="auto" w:sz="4" w:space="0"/>
              <w:right w:val="single" w:color="auto" w:sz="4" w:space="0"/>
            </w:tcBorders>
            <w:noWrap w:val="0"/>
            <w:vAlign w:val="top"/>
          </w:tcPr>
          <w:p w14:paraId="209FEA5B">
            <w:pPr>
              <w:spacing w:line="360" w:lineRule="auto"/>
              <w:rPr>
                <w:rFonts w:hint="eastAsia" w:ascii="宋体" w:hAnsi="宋体" w:eastAsia="宋体" w:cs="宋体"/>
                <w:color w:val="auto"/>
                <w:sz w:val="24"/>
                <w:highlight w:val="none"/>
              </w:rPr>
            </w:pPr>
          </w:p>
        </w:tc>
        <w:tc>
          <w:tcPr>
            <w:tcW w:w="553" w:type="dxa"/>
            <w:tcBorders>
              <w:top w:val="single" w:color="auto" w:sz="4" w:space="0"/>
              <w:left w:val="single" w:color="auto" w:sz="4" w:space="0"/>
              <w:bottom w:val="single" w:color="auto" w:sz="4" w:space="0"/>
              <w:right w:val="single" w:color="auto" w:sz="4" w:space="0"/>
            </w:tcBorders>
            <w:noWrap w:val="0"/>
            <w:vAlign w:val="top"/>
          </w:tcPr>
          <w:p w14:paraId="12F8EB51">
            <w:pPr>
              <w:spacing w:line="360" w:lineRule="auto"/>
              <w:rPr>
                <w:rFonts w:hint="eastAsia" w:ascii="宋体" w:hAnsi="宋体" w:eastAsia="宋体" w:cs="宋体"/>
                <w:color w:val="auto"/>
                <w:sz w:val="24"/>
                <w:highlight w:val="none"/>
              </w:rPr>
            </w:pPr>
          </w:p>
        </w:tc>
        <w:tc>
          <w:tcPr>
            <w:tcW w:w="553" w:type="dxa"/>
            <w:tcBorders>
              <w:top w:val="single" w:color="auto" w:sz="4" w:space="0"/>
              <w:left w:val="single" w:color="auto" w:sz="4" w:space="0"/>
              <w:bottom w:val="single" w:color="auto" w:sz="4" w:space="0"/>
              <w:right w:val="single" w:color="auto" w:sz="4" w:space="0"/>
            </w:tcBorders>
            <w:noWrap w:val="0"/>
            <w:vAlign w:val="top"/>
          </w:tcPr>
          <w:p w14:paraId="41384EAA">
            <w:pPr>
              <w:spacing w:line="360" w:lineRule="auto"/>
              <w:rPr>
                <w:rFonts w:hint="eastAsia" w:ascii="宋体" w:hAnsi="宋体" w:eastAsia="宋体" w:cs="宋体"/>
                <w:color w:val="auto"/>
                <w:sz w:val="24"/>
                <w:highlight w:val="none"/>
              </w:rPr>
            </w:pPr>
          </w:p>
        </w:tc>
        <w:tc>
          <w:tcPr>
            <w:tcW w:w="553" w:type="dxa"/>
            <w:tcBorders>
              <w:top w:val="single" w:color="auto" w:sz="4" w:space="0"/>
              <w:left w:val="single" w:color="auto" w:sz="4" w:space="0"/>
              <w:bottom w:val="single" w:color="auto" w:sz="4" w:space="0"/>
              <w:right w:val="single" w:color="auto" w:sz="4" w:space="0"/>
            </w:tcBorders>
            <w:noWrap w:val="0"/>
            <w:vAlign w:val="top"/>
          </w:tcPr>
          <w:p w14:paraId="38F79EA6">
            <w:pPr>
              <w:spacing w:line="360" w:lineRule="auto"/>
              <w:rPr>
                <w:rFonts w:hint="eastAsia" w:ascii="宋体" w:hAnsi="宋体" w:eastAsia="宋体" w:cs="宋体"/>
                <w:color w:val="auto"/>
                <w:sz w:val="24"/>
                <w:highlight w:val="none"/>
              </w:rPr>
            </w:pPr>
          </w:p>
        </w:tc>
        <w:tc>
          <w:tcPr>
            <w:tcW w:w="553" w:type="dxa"/>
            <w:tcBorders>
              <w:top w:val="single" w:color="auto" w:sz="4" w:space="0"/>
              <w:left w:val="single" w:color="auto" w:sz="4" w:space="0"/>
              <w:bottom w:val="single" w:color="auto" w:sz="4" w:space="0"/>
              <w:right w:val="single" w:color="auto" w:sz="4" w:space="0"/>
            </w:tcBorders>
            <w:noWrap w:val="0"/>
            <w:vAlign w:val="top"/>
          </w:tcPr>
          <w:p w14:paraId="534E33C0">
            <w:pPr>
              <w:spacing w:line="360" w:lineRule="auto"/>
              <w:rPr>
                <w:rFonts w:hint="eastAsia" w:ascii="宋体" w:hAnsi="宋体" w:eastAsia="宋体" w:cs="宋体"/>
                <w:color w:val="auto"/>
                <w:sz w:val="24"/>
                <w:highlight w:val="none"/>
              </w:rPr>
            </w:pPr>
          </w:p>
        </w:tc>
        <w:tc>
          <w:tcPr>
            <w:tcW w:w="553" w:type="dxa"/>
            <w:tcBorders>
              <w:top w:val="single" w:color="auto" w:sz="4" w:space="0"/>
              <w:left w:val="single" w:color="auto" w:sz="4" w:space="0"/>
              <w:bottom w:val="single" w:color="auto" w:sz="4" w:space="0"/>
              <w:right w:val="single" w:color="auto" w:sz="4" w:space="0"/>
            </w:tcBorders>
            <w:noWrap w:val="0"/>
            <w:vAlign w:val="top"/>
          </w:tcPr>
          <w:p w14:paraId="4C308CEF">
            <w:pPr>
              <w:spacing w:line="360" w:lineRule="auto"/>
              <w:rPr>
                <w:rFonts w:hint="eastAsia" w:ascii="宋体" w:hAnsi="宋体" w:eastAsia="宋体" w:cs="宋体"/>
                <w:color w:val="auto"/>
                <w:sz w:val="24"/>
                <w:highlight w:val="none"/>
              </w:rPr>
            </w:pPr>
          </w:p>
        </w:tc>
        <w:tc>
          <w:tcPr>
            <w:tcW w:w="553" w:type="dxa"/>
            <w:tcBorders>
              <w:top w:val="single" w:color="auto" w:sz="4" w:space="0"/>
              <w:left w:val="single" w:color="auto" w:sz="4" w:space="0"/>
              <w:bottom w:val="single" w:color="auto" w:sz="4" w:space="0"/>
              <w:right w:val="single" w:color="auto" w:sz="4" w:space="0"/>
            </w:tcBorders>
            <w:noWrap w:val="0"/>
            <w:vAlign w:val="top"/>
          </w:tcPr>
          <w:p w14:paraId="0CA60B9E">
            <w:pPr>
              <w:spacing w:line="360" w:lineRule="auto"/>
              <w:rPr>
                <w:rFonts w:hint="eastAsia" w:ascii="宋体" w:hAnsi="宋体" w:eastAsia="宋体" w:cs="宋体"/>
                <w:color w:val="auto"/>
                <w:sz w:val="24"/>
                <w:highlight w:val="none"/>
              </w:rPr>
            </w:pPr>
          </w:p>
        </w:tc>
        <w:tc>
          <w:tcPr>
            <w:tcW w:w="553" w:type="dxa"/>
            <w:tcBorders>
              <w:top w:val="single" w:color="auto" w:sz="4" w:space="0"/>
              <w:left w:val="single" w:color="auto" w:sz="4" w:space="0"/>
              <w:bottom w:val="single" w:color="auto" w:sz="4" w:space="0"/>
              <w:right w:val="single" w:color="auto" w:sz="4" w:space="0"/>
            </w:tcBorders>
            <w:noWrap w:val="0"/>
            <w:vAlign w:val="top"/>
          </w:tcPr>
          <w:p w14:paraId="1E264893">
            <w:pPr>
              <w:spacing w:line="360" w:lineRule="auto"/>
              <w:rPr>
                <w:rFonts w:hint="eastAsia" w:ascii="宋体" w:hAnsi="宋体" w:eastAsia="宋体" w:cs="宋体"/>
                <w:color w:val="auto"/>
                <w:sz w:val="24"/>
                <w:highlight w:val="none"/>
              </w:rPr>
            </w:pPr>
          </w:p>
        </w:tc>
      </w:tr>
      <w:tr w14:paraId="445110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tcBorders>
              <w:top w:val="single" w:color="auto" w:sz="4" w:space="0"/>
              <w:left w:val="single" w:color="auto" w:sz="4" w:space="0"/>
              <w:bottom w:val="single" w:color="auto" w:sz="4" w:space="0"/>
              <w:right w:val="single" w:color="auto" w:sz="4" w:space="0"/>
            </w:tcBorders>
            <w:noWrap w:val="0"/>
            <w:vAlign w:val="center"/>
          </w:tcPr>
          <w:p w14:paraId="6C8E40BD">
            <w:pPr>
              <w:spacing w:line="360" w:lineRule="auto"/>
              <w:rPr>
                <w:rFonts w:hint="eastAsia" w:ascii="宋体" w:hAnsi="宋体" w:eastAsia="宋体" w:cs="宋体"/>
                <w:color w:val="auto"/>
                <w:sz w:val="24"/>
                <w:highlight w:val="none"/>
              </w:rPr>
            </w:pPr>
          </w:p>
        </w:tc>
        <w:tc>
          <w:tcPr>
            <w:tcW w:w="552" w:type="dxa"/>
            <w:tcBorders>
              <w:top w:val="single" w:color="auto" w:sz="4" w:space="0"/>
              <w:left w:val="single" w:color="auto" w:sz="4" w:space="0"/>
              <w:bottom w:val="single" w:color="auto" w:sz="4" w:space="0"/>
              <w:right w:val="single" w:color="auto" w:sz="4" w:space="0"/>
            </w:tcBorders>
            <w:noWrap w:val="0"/>
            <w:vAlign w:val="top"/>
          </w:tcPr>
          <w:p w14:paraId="23D3C94B">
            <w:pPr>
              <w:spacing w:line="360" w:lineRule="auto"/>
              <w:rPr>
                <w:rFonts w:hint="eastAsia" w:ascii="宋体" w:hAnsi="宋体" w:eastAsia="宋体" w:cs="宋体"/>
                <w:color w:val="auto"/>
                <w:sz w:val="24"/>
                <w:highlight w:val="none"/>
              </w:rPr>
            </w:pPr>
          </w:p>
        </w:tc>
        <w:tc>
          <w:tcPr>
            <w:tcW w:w="552" w:type="dxa"/>
            <w:tcBorders>
              <w:top w:val="single" w:color="auto" w:sz="4" w:space="0"/>
              <w:left w:val="single" w:color="auto" w:sz="4" w:space="0"/>
              <w:bottom w:val="single" w:color="auto" w:sz="4" w:space="0"/>
              <w:right w:val="single" w:color="auto" w:sz="4" w:space="0"/>
            </w:tcBorders>
            <w:noWrap w:val="0"/>
            <w:vAlign w:val="top"/>
          </w:tcPr>
          <w:p w14:paraId="254010AB">
            <w:pPr>
              <w:spacing w:line="360" w:lineRule="auto"/>
              <w:rPr>
                <w:rFonts w:hint="eastAsia" w:ascii="宋体" w:hAnsi="宋体" w:eastAsia="宋体" w:cs="宋体"/>
                <w:color w:val="auto"/>
                <w:sz w:val="24"/>
                <w:highlight w:val="none"/>
              </w:rPr>
            </w:pPr>
          </w:p>
        </w:tc>
        <w:tc>
          <w:tcPr>
            <w:tcW w:w="552" w:type="dxa"/>
            <w:tcBorders>
              <w:top w:val="single" w:color="auto" w:sz="4" w:space="0"/>
              <w:left w:val="single" w:color="auto" w:sz="4" w:space="0"/>
              <w:bottom w:val="single" w:color="auto" w:sz="4" w:space="0"/>
              <w:right w:val="single" w:color="auto" w:sz="4" w:space="0"/>
            </w:tcBorders>
            <w:noWrap w:val="0"/>
            <w:vAlign w:val="top"/>
          </w:tcPr>
          <w:p w14:paraId="0FDE5BEA">
            <w:pPr>
              <w:spacing w:line="360" w:lineRule="auto"/>
              <w:rPr>
                <w:rFonts w:hint="eastAsia" w:ascii="宋体" w:hAnsi="宋体" w:eastAsia="宋体" w:cs="宋体"/>
                <w:color w:val="auto"/>
                <w:sz w:val="24"/>
                <w:highlight w:val="none"/>
              </w:rPr>
            </w:pPr>
          </w:p>
        </w:tc>
        <w:tc>
          <w:tcPr>
            <w:tcW w:w="552" w:type="dxa"/>
            <w:tcBorders>
              <w:top w:val="single" w:color="auto" w:sz="4" w:space="0"/>
              <w:left w:val="single" w:color="auto" w:sz="4" w:space="0"/>
              <w:bottom w:val="single" w:color="auto" w:sz="4" w:space="0"/>
              <w:right w:val="single" w:color="auto" w:sz="4" w:space="0"/>
            </w:tcBorders>
            <w:noWrap w:val="0"/>
            <w:vAlign w:val="top"/>
          </w:tcPr>
          <w:p w14:paraId="09223E5E">
            <w:pPr>
              <w:spacing w:line="360" w:lineRule="auto"/>
              <w:rPr>
                <w:rFonts w:hint="eastAsia" w:ascii="宋体" w:hAnsi="宋体" w:eastAsia="宋体" w:cs="宋体"/>
                <w:color w:val="auto"/>
                <w:sz w:val="24"/>
                <w:highlight w:val="none"/>
              </w:rPr>
            </w:pPr>
          </w:p>
        </w:tc>
        <w:tc>
          <w:tcPr>
            <w:tcW w:w="552" w:type="dxa"/>
            <w:tcBorders>
              <w:top w:val="single" w:color="auto" w:sz="4" w:space="0"/>
              <w:left w:val="single" w:color="auto" w:sz="4" w:space="0"/>
              <w:bottom w:val="single" w:color="auto" w:sz="4" w:space="0"/>
              <w:right w:val="single" w:color="auto" w:sz="4" w:space="0"/>
            </w:tcBorders>
            <w:noWrap w:val="0"/>
            <w:vAlign w:val="top"/>
          </w:tcPr>
          <w:p w14:paraId="2A8E8252">
            <w:pPr>
              <w:spacing w:line="360" w:lineRule="auto"/>
              <w:rPr>
                <w:rFonts w:hint="eastAsia" w:ascii="宋体" w:hAnsi="宋体" w:eastAsia="宋体" w:cs="宋体"/>
                <w:color w:val="auto"/>
                <w:sz w:val="24"/>
                <w:highlight w:val="none"/>
              </w:rPr>
            </w:pPr>
          </w:p>
        </w:tc>
        <w:tc>
          <w:tcPr>
            <w:tcW w:w="552" w:type="dxa"/>
            <w:tcBorders>
              <w:top w:val="single" w:color="auto" w:sz="4" w:space="0"/>
              <w:left w:val="single" w:color="auto" w:sz="4" w:space="0"/>
              <w:bottom w:val="single" w:color="auto" w:sz="4" w:space="0"/>
              <w:right w:val="single" w:color="auto" w:sz="4" w:space="0"/>
            </w:tcBorders>
            <w:noWrap w:val="0"/>
            <w:vAlign w:val="top"/>
          </w:tcPr>
          <w:p w14:paraId="70E76430">
            <w:pPr>
              <w:spacing w:line="360" w:lineRule="auto"/>
              <w:rPr>
                <w:rFonts w:hint="eastAsia" w:ascii="宋体" w:hAnsi="宋体" w:eastAsia="宋体" w:cs="宋体"/>
                <w:color w:val="auto"/>
                <w:sz w:val="24"/>
                <w:highlight w:val="none"/>
              </w:rPr>
            </w:pPr>
          </w:p>
        </w:tc>
        <w:tc>
          <w:tcPr>
            <w:tcW w:w="553" w:type="dxa"/>
            <w:tcBorders>
              <w:top w:val="single" w:color="auto" w:sz="4" w:space="0"/>
              <w:left w:val="single" w:color="auto" w:sz="4" w:space="0"/>
              <w:bottom w:val="single" w:color="auto" w:sz="4" w:space="0"/>
              <w:right w:val="single" w:color="auto" w:sz="4" w:space="0"/>
            </w:tcBorders>
            <w:noWrap w:val="0"/>
            <w:vAlign w:val="top"/>
          </w:tcPr>
          <w:p w14:paraId="55440F9B">
            <w:pPr>
              <w:spacing w:line="360" w:lineRule="auto"/>
              <w:rPr>
                <w:rFonts w:hint="eastAsia" w:ascii="宋体" w:hAnsi="宋体" w:eastAsia="宋体" w:cs="宋体"/>
                <w:color w:val="auto"/>
                <w:sz w:val="24"/>
                <w:highlight w:val="none"/>
              </w:rPr>
            </w:pPr>
          </w:p>
        </w:tc>
        <w:tc>
          <w:tcPr>
            <w:tcW w:w="553" w:type="dxa"/>
            <w:tcBorders>
              <w:top w:val="single" w:color="auto" w:sz="4" w:space="0"/>
              <w:left w:val="single" w:color="auto" w:sz="4" w:space="0"/>
              <w:bottom w:val="single" w:color="auto" w:sz="4" w:space="0"/>
              <w:right w:val="single" w:color="auto" w:sz="4" w:space="0"/>
            </w:tcBorders>
            <w:noWrap w:val="0"/>
            <w:vAlign w:val="top"/>
          </w:tcPr>
          <w:p w14:paraId="15966307">
            <w:pPr>
              <w:spacing w:line="360" w:lineRule="auto"/>
              <w:rPr>
                <w:rFonts w:hint="eastAsia" w:ascii="宋体" w:hAnsi="宋体" w:eastAsia="宋体" w:cs="宋体"/>
                <w:color w:val="auto"/>
                <w:sz w:val="24"/>
                <w:highlight w:val="none"/>
              </w:rPr>
            </w:pPr>
          </w:p>
        </w:tc>
        <w:tc>
          <w:tcPr>
            <w:tcW w:w="553" w:type="dxa"/>
            <w:tcBorders>
              <w:top w:val="single" w:color="auto" w:sz="4" w:space="0"/>
              <w:left w:val="single" w:color="auto" w:sz="4" w:space="0"/>
              <w:bottom w:val="single" w:color="auto" w:sz="4" w:space="0"/>
              <w:right w:val="single" w:color="auto" w:sz="4" w:space="0"/>
            </w:tcBorders>
            <w:noWrap w:val="0"/>
            <w:vAlign w:val="top"/>
          </w:tcPr>
          <w:p w14:paraId="1E4D89CD">
            <w:pPr>
              <w:spacing w:line="360" w:lineRule="auto"/>
              <w:rPr>
                <w:rFonts w:hint="eastAsia" w:ascii="宋体" w:hAnsi="宋体" w:eastAsia="宋体" w:cs="宋体"/>
                <w:color w:val="auto"/>
                <w:sz w:val="24"/>
                <w:highlight w:val="none"/>
              </w:rPr>
            </w:pPr>
          </w:p>
        </w:tc>
        <w:tc>
          <w:tcPr>
            <w:tcW w:w="553" w:type="dxa"/>
            <w:tcBorders>
              <w:top w:val="single" w:color="auto" w:sz="4" w:space="0"/>
              <w:left w:val="single" w:color="auto" w:sz="4" w:space="0"/>
              <w:bottom w:val="single" w:color="auto" w:sz="4" w:space="0"/>
              <w:right w:val="single" w:color="auto" w:sz="4" w:space="0"/>
            </w:tcBorders>
            <w:noWrap w:val="0"/>
            <w:vAlign w:val="top"/>
          </w:tcPr>
          <w:p w14:paraId="0A31A8FD">
            <w:pPr>
              <w:spacing w:line="360" w:lineRule="auto"/>
              <w:rPr>
                <w:rFonts w:hint="eastAsia" w:ascii="宋体" w:hAnsi="宋体" w:eastAsia="宋体" w:cs="宋体"/>
                <w:color w:val="auto"/>
                <w:sz w:val="24"/>
                <w:highlight w:val="none"/>
              </w:rPr>
            </w:pPr>
          </w:p>
        </w:tc>
        <w:tc>
          <w:tcPr>
            <w:tcW w:w="553" w:type="dxa"/>
            <w:tcBorders>
              <w:top w:val="single" w:color="auto" w:sz="4" w:space="0"/>
              <w:left w:val="single" w:color="auto" w:sz="4" w:space="0"/>
              <w:bottom w:val="single" w:color="auto" w:sz="4" w:space="0"/>
              <w:right w:val="single" w:color="auto" w:sz="4" w:space="0"/>
            </w:tcBorders>
            <w:noWrap w:val="0"/>
            <w:vAlign w:val="top"/>
          </w:tcPr>
          <w:p w14:paraId="1DEC9A9C">
            <w:pPr>
              <w:spacing w:line="360" w:lineRule="auto"/>
              <w:rPr>
                <w:rFonts w:hint="eastAsia" w:ascii="宋体" w:hAnsi="宋体" w:eastAsia="宋体" w:cs="宋体"/>
                <w:color w:val="auto"/>
                <w:sz w:val="24"/>
                <w:highlight w:val="none"/>
              </w:rPr>
            </w:pPr>
          </w:p>
        </w:tc>
        <w:tc>
          <w:tcPr>
            <w:tcW w:w="553" w:type="dxa"/>
            <w:tcBorders>
              <w:top w:val="single" w:color="auto" w:sz="4" w:space="0"/>
              <w:left w:val="single" w:color="auto" w:sz="4" w:space="0"/>
              <w:bottom w:val="single" w:color="auto" w:sz="4" w:space="0"/>
              <w:right w:val="single" w:color="auto" w:sz="4" w:space="0"/>
            </w:tcBorders>
            <w:noWrap w:val="0"/>
            <w:vAlign w:val="top"/>
          </w:tcPr>
          <w:p w14:paraId="4BF76A85">
            <w:pPr>
              <w:spacing w:line="360" w:lineRule="auto"/>
              <w:rPr>
                <w:rFonts w:hint="eastAsia" w:ascii="宋体" w:hAnsi="宋体" w:eastAsia="宋体" w:cs="宋体"/>
                <w:color w:val="auto"/>
                <w:sz w:val="24"/>
                <w:highlight w:val="none"/>
              </w:rPr>
            </w:pPr>
          </w:p>
        </w:tc>
        <w:tc>
          <w:tcPr>
            <w:tcW w:w="553" w:type="dxa"/>
            <w:tcBorders>
              <w:top w:val="single" w:color="auto" w:sz="4" w:space="0"/>
              <w:left w:val="single" w:color="auto" w:sz="4" w:space="0"/>
              <w:bottom w:val="single" w:color="auto" w:sz="4" w:space="0"/>
              <w:right w:val="single" w:color="auto" w:sz="4" w:space="0"/>
            </w:tcBorders>
            <w:noWrap w:val="0"/>
            <w:vAlign w:val="top"/>
          </w:tcPr>
          <w:p w14:paraId="6FE70BCF">
            <w:pPr>
              <w:spacing w:line="360" w:lineRule="auto"/>
              <w:rPr>
                <w:rFonts w:hint="eastAsia" w:ascii="宋体" w:hAnsi="宋体" w:eastAsia="宋体" w:cs="宋体"/>
                <w:color w:val="auto"/>
                <w:sz w:val="24"/>
                <w:highlight w:val="none"/>
              </w:rPr>
            </w:pPr>
          </w:p>
        </w:tc>
        <w:tc>
          <w:tcPr>
            <w:tcW w:w="553" w:type="dxa"/>
            <w:tcBorders>
              <w:top w:val="single" w:color="auto" w:sz="4" w:space="0"/>
              <w:left w:val="single" w:color="auto" w:sz="4" w:space="0"/>
              <w:bottom w:val="single" w:color="auto" w:sz="4" w:space="0"/>
              <w:right w:val="single" w:color="auto" w:sz="4" w:space="0"/>
            </w:tcBorders>
            <w:noWrap w:val="0"/>
            <w:vAlign w:val="top"/>
          </w:tcPr>
          <w:p w14:paraId="21DCB5B4">
            <w:pPr>
              <w:spacing w:line="360" w:lineRule="auto"/>
              <w:rPr>
                <w:rFonts w:hint="eastAsia" w:ascii="宋体" w:hAnsi="宋体" w:eastAsia="宋体" w:cs="宋体"/>
                <w:color w:val="auto"/>
                <w:sz w:val="24"/>
                <w:highlight w:val="none"/>
              </w:rPr>
            </w:pPr>
          </w:p>
        </w:tc>
        <w:tc>
          <w:tcPr>
            <w:tcW w:w="553" w:type="dxa"/>
            <w:tcBorders>
              <w:top w:val="single" w:color="auto" w:sz="4" w:space="0"/>
              <w:left w:val="single" w:color="auto" w:sz="4" w:space="0"/>
              <w:bottom w:val="single" w:color="auto" w:sz="4" w:space="0"/>
              <w:right w:val="single" w:color="auto" w:sz="4" w:space="0"/>
            </w:tcBorders>
            <w:noWrap w:val="0"/>
            <w:vAlign w:val="top"/>
          </w:tcPr>
          <w:p w14:paraId="01E5A09B">
            <w:pPr>
              <w:spacing w:line="360" w:lineRule="auto"/>
              <w:rPr>
                <w:rFonts w:hint="eastAsia" w:ascii="宋体" w:hAnsi="宋体" w:eastAsia="宋体" w:cs="宋体"/>
                <w:color w:val="auto"/>
                <w:sz w:val="24"/>
                <w:highlight w:val="none"/>
              </w:rPr>
            </w:pPr>
          </w:p>
        </w:tc>
        <w:tc>
          <w:tcPr>
            <w:tcW w:w="553" w:type="dxa"/>
            <w:tcBorders>
              <w:top w:val="single" w:color="auto" w:sz="4" w:space="0"/>
              <w:left w:val="single" w:color="auto" w:sz="4" w:space="0"/>
              <w:bottom w:val="single" w:color="auto" w:sz="4" w:space="0"/>
              <w:right w:val="single" w:color="auto" w:sz="4" w:space="0"/>
            </w:tcBorders>
            <w:noWrap w:val="0"/>
            <w:vAlign w:val="top"/>
          </w:tcPr>
          <w:p w14:paraId="30017457">
            <w:pPr>
              <w:spacing w:line="360" w:lineRule="auto"/>
              <w:rPr>
                <w:rFonts w:hint="eastAsia" w:ascii="宋体" w:hAnsi="宋体" w:eastAsia="宋体" w:cs="宋体"/>
                <w:color w:val="auto"/>
                <w:sz w:val="24"/>
                <w:highlight w:val="none"/>
              </w:rPr>
            </w:pPr>
          </w:p>
        </w:tc>
      </w:tr>
      <w:tr w14:paraId="53D051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tcBorders>
              <w:top w:val="single" w:color="auto" w:sz="4" w:space="0"/>
              <w:left w:val="single" w:color="auto" w:sz="4" w:space="0"/>
              <w:bottom w:val="single" w:color="auto" w:sz="4" w:space="0"/>
              <w:right w:val="single" w:color="auto" w:sz="4" w:space="0"/>
            </w:tcBorders>
            <w:noWrap w:val="0"/>
            <w:vAlign w:val="center"/>
          </w:tcPr>
          <w:p w14:paraId="39F6B5CA">
            <w:pPr>
              <w:spacing w:line="360" w:lineRule="auto"/>
              <w:rPr>
                <w:rFonts w:hint="eastAsia" w:ascii="宋体" w:hAnsi="宋体" w:eastAsia="宋体" w:cs="宋体"/>
                <w:color w:val="auto"/>
                <w:sz w:val="24"/>
                <w:highlight w:val="none"/>
              </w:rPr>
            </w:pPr>
          </w:p>
        </w:tc>
        <w:tc>
          <w:tcPr>
            <w:tcW w:w="552" w:type="dxa"/>
            <w:tcBorders>
              <w:top w:val="single" w:color="auto" w:sz="4" w:space="0"/>
              <w:left w:val="single" w:color="auto" w:sz="4" w:space="0"/>
              <w:bottom w:val="single" w:color="auto" w:sz="4" w:space="0"/>
              <w:right w:val="single" w:color="auto" w:sz="4" w:space="0"/>
            </w:tcBorders>
            <w:noWrap w:val="0"/>
            <w:vAlign w:val="top"/>
          </w:tcPr>
          <w:p w14:paraId="73852CBE">
            <w:pPr>
              <w:spacing w:line="360" w:lineRule="auto"/>
              <w:rPr>
                <w:rFonts w:hint="eastAsia" w:ascii="宋体" w:hAnsi="宋体" w:eastAsia="宋体" w:cs="宋体"/>
                <w:color w:val="auto"/>
                <w:sz w:val="24"/>
                <w:highlight w:val="none"/>
              </w:rPr>
            </w:pPr>
          </w:p>
        </w:tc>
        <w:tc>
          <w:tcPr>
            <w:tcW w:w="552" w:type="dxa"/>
            <w:tcBorders>
              <w:top w:val="single" w:color="auto" w:sz="4" w:space="0"/>
              <w:left w:val="single" w:color="auto" w:sz="4" w:space="0"/>
              <w:bottom w:val="single" w:color="auto" w:sz="4" w:space="0"/>
              <w:right w:val="single" w:color="auto" w:sz="4" w:space="0"/>
            </w:tcBorders>
            <w:noWrap w:val="0"/>
            <w:vAlign w:val="top"/>
          </w:tcPr>
          <w:p w14:paraId="09A5BF60">
            <w:pPr>
              <w:spacing w:line="360" w:lineRule="auto"/>
              <w:rPr>
                <w:rFonts w:hint="eastAsia" w:ascii="宋体" w:hAnsi="宋体" w:eastAsia="宋体" w:cs="宋体"/>
                <w:color w:val="auto"/>
                <w:sz w:val="24"/>
                <w:highlight w:val="none"/>
              </w:rPr>
            </w:pPr>
          </w:p>
        </w:tc>
        <w:tc>
          <w:tcPr>
            <w:tcW w:w="552" w:type="dxa"/>
            <w:tcBorders>
              <w:top w:val="single" w:color="auto" w:sz="4" w:space="0"/>
              <w:left w:val="single" w:color="auto" w:sz="4" w:space="0"/>
              <w:bottom w:val="single" w:color="auto" w:sz="4" w:space="0"/>
              <w:right w:val="single" w:color="auto" w:sz="4" w:space="0"/>
            </w:tcBorders>
            <w:noWrap w:val="0"/>
            <w:vAlign w:val="top"/>
          </w:tcPr>
          <w:p w14:paraId="6B408351">
            <w:pPr>
              <w:spacing w:line="360" w:lineRule="auto"/>
              <w:rPr>
                <w:rFonts w:hint="eastAsia" w:ascii="宋体" w:hAnsi="宋体" w:eastAsia="宋体" w:cs="宋体"/>
                <w:color w:val="auto"/>
                <w:sz w:val="24"/>
                <w:highlight w:val="none"/>
              </w:rPr>
            </w:pPr>
          </w:p>
        </w:tc>
        <w:tc>
          <w:tcPr>
            <w:tcW w:w="552" w:type="dxa"/>
            <w:tcBorders>
              <w:top w:val="single" w:color="auto" w:sz="4" w:space="0"/>
              <w:left w:val="single" w:color="auto" w:sz="4" w:space="0"/>
              <w:bottom w:val="single" w:color="auto" w:sz="4" w:space="0"/>
              <w:right w:val="single" w:color="auto" w:sz="4" w:space="0"/>
            </w:tcBorders>
            <w:noWrap w:val="0"/>
            <w:vAlign w:val="top"/>
          </w:tcPr>
          <w:p w14:paraId="2ABD202C">
            <w:pPr>
              <w:spacing w:line="360" w:lineRule="auto"/>
              <w:rPr>
                <w:rFonts w:hint="eastAsia" w:ascii="宋体" w:hAnsi="宋体" w:eastAsia="宋体" w:cs="宋体"/>
                <w:color w:val="auto"/>
                <w:sz w:val="24"/>
                <w:highlight w:val="none"/>
              </w:rPr>
            </w:pPr>
          </w:p>
        </w:tc>
        <w:tc>
          <w:tcPr>
            <w:tcW w:w="552" w:type="dxa"/>
            <w:tcBorders>
              <w:top w:val="single" w:color="auto" w:sz="4" w:space="0"/>
              <w:left w:val="single" w:color="auto" w:sz="4" w:space="0"/>
              <w:bottom w:val="single" w:color="auto" w:sz="4" w:space="0"/>
              <w:right w:val="single" w:color="auto" w:sz="4" w:space="0"/>
            </w:tcBorders>
            <w:noWrap w:val="0"/>
            <w:vAlign w:val="top"/>
          </w:tcPr>
          <w:p w14:paraId="0C0A76E0">
            <w:pPr>
              <w:spacing w:line="360" w:lineRule="auto"/>
              <w:rPr>
                <w:rFonts w:hint="eastAsia" w:ascii="宋体" w:hAnsi="宋体" w:eastAsia="宋体" w:cs="宋体"/>
                <w:color w:val="auto"/>
                <w:sz w:val="24"/>
                <w:highlight w:val="none"/>
              </w:rPr>
            </w:pPr>
          </w:p>
        </w:tc>
        <w:tc>
          <w:tcPr>
            <w:tcW w:w="552" w:type="dxa"/>
            <w:tcBorders>
              <w:top w:val="single" w:color="auto" w:sz="4" w:space="0"/>
              <w:left w:val="single" w:color="auto" w:sz="4" w:space="0"/>
              <w:bottom w:val="single" w:color="auto" w:sz="4" w:space="0"/>
              <w:right w:val="single" w:color="auto" w:sz="4" w:space="0"/>
            </w:tcBorders>
            <w:noWrap w:val="0"/>
            <w:vAlign w:val="top"/>
          </w:tcPr>
          <w:p w14:paraId="3CD74CC4">
            <w:pPr>
              <w:spacing w:line="360" w:lineRule="auto"/>
              <w:rPr>
                <w:rFonts w:hint="eastAsia" w:ascii="宋体" w:hAnsi="宋体" w:eastAsia="宋体" w:cs="宋体"/>
                <w:color w:val="auto"/>
                <w:sz w:val="24"/>
                <w:highlight w:val="none"/>
              </w:rPr>
            </w:pPr>
          </w:p>
        </w:tc>
        <w:tc>
          <w:tcPr>
            <w:tcW w:w="553" w:type="dxa"/>
            <w:tcBorders>
              <w:top w:val="single" w:color="auto" w:sz="4" w:space="0"/>
              <w:left w:val="single" w:color="auto" w:sz="4" w:space="0"/>
              <w:bottom w:val="single" w:color="auto" w:sz="4" w:space="0"/>
              <w:right w:val="single" w:color="auto" w:sz="4" w:space="0"/>
            </w:tcBorders>
            <w:noWrap w:val="0"/>
            <w:vAlign w:val="top"/>
          </w:tcPr>
          <w:p w14:paraId="45D776C0">
            <w:pPr>
              <w:spacing w:line="360" w:lineRule="auto"/>
              <w:rPr>
                <w:rFonts w:hint="eastAsia" w:ascii="宋体" w:hAnsi="宋体" w:eastAsia="宋体" w:cs="宋体"/>
                <w:color w:val="auto"/>
                <w:sz w:val="24"/>
                <w:highlight w:val="none"/>
              </w:rPr>
            </w:pPr>
          </w:p>
        </w:tc>
        <w:tc>
          <w:tcPr>
            <w:tcW w:w="553" w:type="dxa"/>
            <w:tcBorders>
              <w:top w:val="single" w:color="auto" w:sz="4" w:space="0"/>
              <w:left w:val="single" w:color="auto" w:sz="4" w:space="0"/>
              <w:bottom w:val="single" w:color="auto" w:sz="4" w:space="0"/>
              <w:right w:val="single" w:color="auto" w:sz="4" w:space="0"/>
            </w:tcBorders>
            <w:noWrap w:val="0"/>
            <w:vAlign w:val="top"/>
          </w:tcPr>
          <w:p w14:paraId="2D57A8D9">
            <w:pPr>
              <w:spacing w:line="360" w:lineRule="auto"/>
              <w:rPr>
                <w:rFonts w:hint="eastAsia" w:ascii="宋体" w:hAnsi="宋体" w:eastAsia="宋体" w:cs="宋体"/>
                <w:color w:val="auto"/>
                <w:sz w:val="24"/>
                <w:highlight w:val="none"/>
              </w:rPr>
            </w:pPr>
          </w:p>
        </w:tc>
        <w:tc>
          <w:tcPr>
            <w:tcW w:w="553" w:type="dxa"/>
            <w:tcBorders>
              <w:top w:val="single" w:color="auto" w:sz="4" w:space="0"/>
              <w:left w:val="single" w:color="auto" w:sz="4" w:space="0"/>
              <w:bottom w:val="single" w:color="auto" w:sz="4" w:space="0"/>
              <w:right w:val="single" w:color="auto" w:sz="4" w:space="0"/>
            </w:tcBorders>
            <w:noWrap w:val="0"/>
            <w:vAlign w:val="top"/>
          </w:tcPr>
          <w:p w14:paraId="70647E2E">
            <w:pPr>
              <w:spacing w:line="360" w:lineRule="auto"/>
              <w:rPr>
                <w:rFonts w:hint="eastAsia" w:ascii="宋体" w:hAnsi="宋体" w:eastAsia="宋体" w:cs="宋体"/>
                <w:color w:val="auto"/>
                <w:sz w:val="24"/>
                <w:highlight w:val="none"/>
              </w:rPr>
            </w:pPr>
          </w:p>
        </w:tc>
        <w:tc>
          <w:tcPr>
            <w:tcW w:w="553" w:type="dxa"/>
            <w:tcBorders>
              <w:top w:val="single" w:color="auto" w:sz="4" w:space="0"/>
              <w:left w:val="single" w:color="auto" w:sz="4" w:space="0"/>
              <w:bottom w:val="single" w:color="auto" w:sz="4" w:space="0"/>
              <w:right w:val="single" w:color="auto" w:sz="4" w:space="0"/>
            </w:tcBorders>
            <w:noWrap w:val="0"/>
            <w:vAlign w:val="top"/>
          </w:tcPr>
          <w:p w14:paraId="60862593">
            <w:pPr>
              <w:spacing w:line="360" w:lineRule="auto"/>
              <w:rPr>
                <w:rFonts w:hint="eastAsia" w:ascii="宋体" w:hAnsi="宋体" w:eastAsia="宋体" w:cs="宋体"/>
                <w:color w:val="auto"/>
                <w:sz w:val="24"/>
                <w:highlight w:val="none"/>
              </w:rPr>
            </w:pPr>
          </w:p>
        </w:tc>
        <w:tc>
          <w:tcPr>
            <w:tcW w:w="553" w:type="dxa"/>
            <w:tcBorders>
              <w:top w:val="single" w:color="auto" w:sz="4" w:space="0"/>
              <w:left w:val="single" w:color="auto" w:sz="4" w:space="0"/>
              <w:bottom w:val="single" w:color="auto" w:sz="4" w:space="0"/>
              <w:right w:val="single" w:color="auto" w:sz="4" w:space="0"/>
            </w:tcBorders>
            <w:noWrap w:val="0"/>
            <w:vAlign w:val="top"/>
          </w:tcPr>
          <w:p w14:paraId="66A339FE">
            <w:pPr>
              <w:spacing w:line="360" w:lineRule="auto"/>
              <w:rPr>
                <w:rFonts w:hint="eastAsia" w:ascii="宋体" w:hAnsi="宋体" w:eastAsia="宋体" w:cs="宋体"/>
                <w:color w:val="auto"/>
                <w:sz w:val="24"/>
                <w:highlight w:val="none"/>
              </w:rPr>
            </w:pPr>
          </w:p>
        </w:tc>
        <w:tc>
          <w:tcPr>
            <w:tcW w:w="553" w:type="dxa"/>
            <w:tcBorders>
              <w:top w:val="single" w:color="auto" w:sz="4" w:space="0"/>
              <w:left w:val="single" w:color="auto" w:sz="4" w:space="0"/>
              <w:bottom w:val="single" w:color="auto" w:sz="4" w:space="0"/>
              <w:right w:val="single" w:color="auto" w:sz="4" w:space="0"/>
            </w:tcBorders>
            <w:noWrap w:val="0"/>
            <w:vAlign w:val="top"/>
          </w:tcPr>
          <w:p w14:paraId="4F73ED04">
            <w:pPr>
              <w:spacing w:line="360" w:lineRule="auto"/>
              <w:rPr>
                <w:rFonts w:hint="eastAsia" w:ascii="宋体" w:hAnsi="宋体" w:eastAsia="宋体" w:cs="宋体"/>
                <w:color w:val="auto"/>
                <w:sz w:val="24"/>
                <w:highlight w:val="none"/>
              </w:rPr>
            </w:pPr>
          </w:p>
        </w:tc>
        <w:tc>
          <w:tcPr>
            <w:tcW w:w="553" w:type="dxa"/>
            <w:tcBorders>
              <w:top w:val="single" w:color="auto" w:sz="4" w:space="0"/>
              <w:left w:val="single" w:color="auto" w:sz="4" w:space="0"/>
              <w:bottom w:val="single" w:color="auto" w:sz="4" w:space="0"/>
              <w:right w:val="single" w:color="auto" w:sz="4" w:space="0"/>
            </w:tcBorders>
            <w:noWrap w:val="0"/>
            <w:vAlign w:val="top"/>
          </w:tcPr>
          <w:p w14:paraId="4D9560BB">
            <w:pPr>
              <w:spacing w:line="360" w:lineRule="auto"/>
              <w:rPr>
                <w:rFonts w:hint="eastAsia" w:ascii="宋体" w:hAnsi="宋体" w:eastAsia="宋体" w:cs="宋体"/>
                <w:color w:val="auto"/>
                <w:sz w:val="24"/>
                <w:highlight w:val="none"/>
              </w:rPr>
            </w:pPr>
          </w:p>
        </w:tc>
        <w:tc>
          <w:tcPr>
            <w:tcW w:w="553" w:type="dxa"/>
            <w:tcBorders>
              <w:top w:val="single" w:color="auto" w:sz="4" w:space="0"/>
              <w:left w:val="single" w:color="auto" w:sz="4" w:space="0"/>
              <w:bottom w:val="single" w:color="auto" w:sz="4" w:space="0"/>
              <w:right w:val="single" w:color="auto" w:sz="4" w:space="0"/>
            </w:tcBorders>
            <w:noWrap w:val="0"/>
            <w:vAlign w:val="top"/>
          </w:tcPr>
          <w:p w14:paraId="5244BEA8">
            <w:pPr>
              <w:spacing w:line="360" w:lineRule="auto"/>
              <w:rPr>
                <w:rFonts w:hint="eastAsia" w:ascii="宋体" w:hAnsi="宋体" w:eastAsia="宋体" w:cs="宋体"/>
                <w:color w:val="auto"/>
                <w:sz w:val="24"/>
                <w:highlight w:val="none"/>
              </w:rPr>
            </w:pPr>
          </w:p>
        </w:tc>
        <w:tc>
          <w:tcPr>
            <w:tcW w:w="553" w:type="dxa"/>
            <w:tcBorders>
              <w:top w:val="single" w:color="auto" w:sz="4" w:space="0"/>
              <w:left w:val="single" w:color="auto" w:sz="4" w:space="0"/>
              <w:bottom w:val="single" w:color="auto" w:sz="4" w:space="0"/>
              <w:right w:val="single" w:color="auto" w:sz="4" w:space="0"/>
            </w:tcBorders>
            <w:noWrap w:val="0"/>
            <w:vAlign w:val="top"/>
          </w:tcPr>
          <w:p w14:paraId="7C5B169A">
            <w:pPr>
              <w:spacing w:line="360" w:lineRule="auto"/>
              <w:rPr>
                <w:rFonts w:hint="eastAsia" w:ascii="宋体" w:hAnsi="宋体" w:eastAsia="宋体" w:cs="宋体"/>
                <w:color w:val="auto"/>
                <w:sz w:val="24"/>
                <w:highlight w:val="none"/>
              </w:rPr>
            </w:pPr>
          </w:p>
        </w:tc>
        <w:tc>
          <w:tcPr>
            <w:tcW w:w="553" w:type="dxa"/>
            <w:tcBorders>
              <w:top w:val="single" w:color="auto" w:sz="4" w:space="0"/>
              <w:left w:val="single" w:color="auto" w:sz="4" w:space="0"/>
              <w:bottom w:val="single" w:color="auto" w:sz="4" w:space="0"/>
              <w:right w:val="single" w:color="auto" w:sz="4" w:space="0"/>
            </w:tcBorders>
            <w:noWrap w:val="0"/>
            <w:vAlign w:val="top"/>
          </w:tcPr>
          <w:p w14:paraId="43ED7619">
            <w:pPr>
              <w:spacing w:line="360" w:lineRule="auto"/>
              <w:rPr>
                <w:rFonts w:hint="eastAsia" w:ascii="宋体" w:hAnsi="宋体" w:eastAsia="宋体" w:cs="宋体"/>
                <w:color w:val="auto"/>
                <w:sz w:val="24"/>
                <w:highlight w:val="none"/>
              </w:rPr>
            </w:pPr>
          </w:p>
        </w:tc>
      </w:tr>
      <w:tr w14:paraId="5B4A5A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tcBorders>
              <w:top w:val="single" w:color="auto" w:sz="4" w:space="0"/>
              <w:left w:val="single" w:color="auto" w:sz="4" w:space="0"/>
              <w:bottom w:val="single" w:color="auto" w:sz="4" w:space="0"/>
              <w:right w:val="single" w:color="auto" w:sz="4" w:space="0"/>
            </w:tcBorders>
            <w:noWrap w:val="0"/>
            <w:vAlign w:val="center"/>
          </w:tcPr>
          <w:p w14:paraId="094FCFE7">
            <w:pPr>
              <w:spacing w:line="360" w:lineRule="auto"/>
              <w:rPr>
                <w:rFonts w:hint="eastAsia" w:ascii="宋体" w:hAnsi="宋体" w:eastAsia="宋体" w:cs="宋体"/>
                <w:color w:val="auto"/>
                <w:sz w:val="24"/>
                <w:highlight w:val="none"/>
              </w:rPr>
            </w:pPr>
          </w:p>
        </w:tc>
        <w:tc>
          <w:tcPr>
            <w:tcW w:w="552" w:type="dxa"/>
            <w:tcBorders>
              <w:top w:val="single" w:color="auto" w:sz="4" w:space="0"/>
              <w:left w:val="single" w:color="auto" w:sz="4" w:space="0"/>
              <w:bottom w:val="single" w:color="auto" w:sz="4" w:space="0"/>
              <w:right w:val="single" w:color="auto" w:sz="4" w:space="0"/>
            </w:tcBorders>
            <w:noWrap w:val="0"/>
            <w:vAlign w:val="top"/>
          </w:tcPr>
          <w:p w14:paraId="24403920">
            <w:pPr>
              <w:spacing w:line="360" w:lineRule="auto"/>
              <w:rPr>
                <w:rFonts w:hint="eastAsia" w:ascii="宋体" w:hAnsi="宋体" w:eastAsia="宋体" w:cs="宋体"/>
                <w:color w:val="auto"/>
                <w:sz w:val="24"/>
                <w:highlight w:val="none"/>
              </w:rPr>
            </w:pPr>
          </w:p>
        </w:tc>
        <w:tc>
          <w:tcPr>
            <w:tcW w:w="552" w:type="dxa"/>
            <w:tcBorders>
              <w:top w:val="single" w:color="auto" w:sz="4" w:space="0"/>
              <w:left w:val="single" w:color="auto" w:sz="4" w:space="0"/>
              <w:bottom w:val="single" w:color="auto" w:sz="4" w:space="0"/>
              <w:right w:val="single" w:color="auto" w:sz="4" w:space="0"/>
            </w:tcBorders>
            <w:noWrap w:val="0"/>
            <w:vAlign w:val="top"/>
          </w:tcPr>
          <w:p w14:paraId="4BBE6A50">
            <w:pPr>
              <w:spacing w:line="360" w:lineRule="auto"/>
              <w:rPr>
                <w:rFonts w:hint="eastAsia" w:ascii="宋体" w:hAnsi="宋体" w:eastAsia="宋体" w:cs="宋体"/>
                <w:color w:val="auto"/>
                <w:sz w:val="24"/>
                <w:highlight w:val="none"/>
              </w:rPr>
            </w:pPr>
          </w:p>
        </w:tc>
        <w:tc>
          <w:tcPr>
            <w:tcW w:w="552" w:type="dxa"/>
            <w:tcBorders>
              <w:top w:val="single" w:color="auto" w:sz="4" w:space="0"/>
              <w:left w:val="single" w:color="auto" w:sz="4" w:space="0"/>
              <w:bottom w:val="single" w:color="auto" w:sz="4" w:space="0"/>
              <w:right w:val="single" w:color="auto" w:sz="4" w:space="0"/>
            </w:tcBorders>
            <w:noWrap w:val="0"/>
            <w:vAlign w:val="top"/>
          </w:tcPr>
          <w:p w14:paraId="4F516114">
            <w:pPr>
              <w:spacing w:line="360" w:lineRule="auto"/>
              <w:rPr>
                <w:rFonts w:hint="eastAsia" w:ascii="宋体" w:hAnsi="宋体" w:eastAsia="宋体" w:cs="宋体"/>
                <w:color w:val="auto"/>
                <w:sz w:val="24"/>
                <w:highlight w:val="none"/>
              </w:rPr>
            </w:pPr>
          </w:p>
        </w:tc>
        <w:tc>
          <w:tcPr>
            <w:tcW w:w="552" w:type="dxa"/>
            <w:tcBorders>
              <w:top w:val="single" w:color="auto" w:sz="4" w:space="0"/>
              <w:left w:val="single" w:color="auto" w:sz="4" w:space="0"/>
              <w:bottom w:val="single" w:color="auto" w:sz="4" w:space="0"/>
              <w:right w:val="single" w:color="auto" w:sz="4" w:space="0"/>
            </w:tcBorders>
            <w:noWrap w:val="0"/>
            <w:vAlign w:val="top"/>
          </w:tcPr>
          <w:p w14:paraId="0F88EF60">
            <w:pPr>
              <w:spacing w:line="360" w:lineRule="auto"/>
              <w:rPr>
                <w:rFonts w:hint="eastAsia" w:ascii="宋体" w:hAnsi="宋体" w:eastAsia="宋体" w:cs="宋体"/>
                <w:color w:val="auto"/>
                <w:sz w:val="24"/>
                <w:highlight w:val="none"/>
              </w:rPr>
            </w:pPr>
          </w:p>
        </w:tc>
        <w:tc>
          <w:tcPr>
            <w:tcW w:w="552" w:type="dxa"/>
            <w:tcBorders>
              <w:top w:val="single" w:color="auto" w:sz="4" w:space="0"/>
              <w:left w:val="single" w:color="auto" w:sz="4" w:space="0"/>
              <w:bottom w:val="single" w:color="auto" w:sz="4" w:space="0"/>
              <w:right w:val="single" w:color="auto" w:sz="4" w:space="0"/>
            </w:tcBorders>
            <w:noWrap w:val="0"/>
            <w:vAlign w:val="top"/>
          </w:tcPr>
          <w:p w14:paraId="17B7D899">
            <w:pPr>
              <w:spacing w:line="360" w:lineRule="auto"/>
              <w:rPr>
                <w:rFonts w:hint="eastAsia" w:ascii="宋体" w:hAnsi="宋体" w:eastAsia="宋体" w:cs="宋体"/>
                <w:color w:val="auto"/>
                <w:sz w:val="24"/>
                <w:highlight w:val="none"/>
              </w:rPr>
            </w:pPr>
          </w:p>
        </w:tc>
        <w:tc>
          <w:tcPr>
            <w:tcW w:w="552" w:type="dxa"/>
            <w:tcBorders>
              <w:top w:val="single" w:color="auto" w:sz="4" w:space="0"/>
              <w:left w:val="single" w:color="auto" w:sz="4" w:space="0"/>
              <w:bottom w:val="single" w:color="auto" w:sz="4" w:space="0"/>
              <w:right w:val="single" w:color="auto" w:sz="4" w:space="0"/>
            </w:tcBorders>
            <w:noWrap w:val="0"/>
            <w:vAlign w:val="top"/>
          </w:tcPr>
          <w:p w14:paraId="20CB8000">
            <w:pPr>
              <w:spacing w:line="360" w:lineRule="auto"/>
              <w:rPr>
                <w:rFonts w:hint="eastAsia" w:ascii="宋体" w:hAnsi="宋体" w:eastAsia="宋体" w:cs="宋体"/>
                <w:color w:val="auto"/>
                <w:sz w:val="24"/>
                <w:highlight w:val="none"/>
              </w:rPr>
            </w:pPr>
          </w:p>
        </w:tc>
        <w:tc>
          <w:tcPr>
            <w:tcW w:w="553" w:type="dxa"/>
            <w:tcBorders>
              <w:top w:val="single" w:color="auto" w:sz="4" w:space="0"/>
              <w:left w:val="single" w:color="auto" w:sz="4" w:space="0"/>
              <w:bottom w:val="single" w:color="auto" w:sz="4" w:space="0"/>
              <w:right w:val="single" w:color="auto" w:sz="4" w:space="0"/>
            </w:tcBorders>
            <w:noWrap w:val="0"/>
            <w:vAlign w:val="top"/>
          </w:tcPr>
          <w:p w14:paraId="0A5C4071">
            <w:pPr>
              <w:spacing w:line="360" w:lineRule="auto"/>
              <w:rPr>
                <w:rFonts w:hint="eastAsia" w:ascii="宋体" w:hAnsi="宋体" w:eastAsia="宋体" w:cs="宋体"/>
                <w:color w:val="auto"/>
                <w:sz w:val="24"/>
                <w:highlight w:val="none"/>
              </w:rPr>
            </w:pPr>
          </w:p>
        </w:tc>
        <w:tc>
          <w:tcPr>
            <w:tcW w:w="553" w:type="dxa"/>
            <w:tcBorders>
              <w:top w:val="single" w:color="auto" w:sz="4" w:space="0"/>
              <w:left w:val="single" w:color="auto" w:sz="4" w:space="0"/>
              <w:bottom w:val="single" w:color="auto" w:sz="4" w:space="0"/>
              <w:right w:val="single" w:color="auto" w:sz="4" w:space="0"/>
            </w:tcBorders>
            <w:noWrap w:val="0"/>
            <w:vAlign w:val="top"/>
          </w:tcPr>
          <w:p w14:paraId="2021BD80">
            <w:pPr>
              <w:spacing w:line="360" w:lineRule="auto"/>
              <w:rPr>
                <w:rFonts w:hint="eastAsia" w:ascii="宋体" w:hAnsi="宋体" w:eastAsia="宋体" w:cs="宋体"/>
                <w:color w:val="auto"/>
                <w:sz w:val="24"/>
                <w:highlight w:val="none"/>
              </w:rPr>
            </w:pPr>
          </w:p>
        </w:tc>
        <w:tc>
          <w:tcPr>
            <w:tcW w:w="553" w:type="dxa"/>
            <w:tcBorders>
              <w:top w:val="single" w:color="auto" w:sz="4" w:space="0"/>
              <w:left w:val="single" w:color="auto" w:sz="4" w:space="0"/>
              <w:bottom w:val="single" w:color="auto" w:sz="4" w:space="0"/>
              <w:right w:val="single" w:color="auto" w:sz="4" w:space="0"/>
            </w:tcBorders>
            <w:noWrap w:val="0"/>
            <w:vAlign w:val="top"/>
          </w:tcPr>
          <w:p w14:paraId="560B9383">
            <w:pPr>
              <w:spacing w:line="360" w:lineRule="auto"/>
              <w:rPr>
                <w:rFonts w:hint="eastAsia" w:ascii="宋体" w:hAnsi="宋体" w:eastAsia="宋体" w:cs="宋体"/>
                <w:color w:val="auto"/>
                <w:sz w:val="24"/>
                <w:highlight w:val="none"/>
              </w:rPr>
            </w:pPr>
          </w:p>
        </w:tc>
        <w:tc>
          <w:tcPr>
            <w:tcW w:w="553" w:type="dxa"/>
            <w:tcBorders>
              <w:top w:val="single" w:color="auto" w:sz="4" w:space="0"/>
              <w:left w:val="single" w:color="auto" w:sz="4" w:space="0"/>
              <w:bottom w:val="single" w:color="auto" w:sz="4" w:space="0"/>
              <w:right w:val="single" w:color="auto" w:sz="4" w:space="0"/>
            </w:tcBorders>
            <w:noWrap w:val="0"/>
            <w:vAlign w:val="top"/>
          </w:tcPr>
          <w:p w14:paraId="14D8A369">
            <w:pPr>
              <w:spacing w:line="360" w:lineRule="auto"/>
              <w:rPr>
                <w:rFonts w:hint="eastAsia" w:ascii="宋体" w:hAnsi="宋体" w:eastAsia="宋体" w:cs="宋体"/>
                <w:color w:val="auto"/>
                <w:sz w:val="24"/>
                <w:highlight w:val="none"/>
              </w:rPr>
            </w:pPr>
          </w:p>
        </w:tc>
        <w:tc>
          <w:tcPr>
            <w:tcW w:w="553" w:type="dxa"/>
            <w:tcBorders>
              <w:top w:val="single" w:color="auto" w:sz="4" w:space="0"/>
              <w:left w:val="single" w:color="auto" w:sz="4" w:space="0"/>
              <w:bottom w:val="single" w:color="auto" w:sz="4" w:space="0"/>
              <w:right w:val="single" w:color="auto" w:sz="4" w:space="0"/>
            </w:tcBorders>
            <w:noWrap w:val="0"/>
            <w:vAlign w:val="top"/>
          </w:tcPr>
          <w:p w14:paraId="05B65605">
            <w:pPr>
              <w:spacing w:line="360" w:lineRule="auto"/>
              <w:rPr>
                <w:rFonts w:hint="eastAsia" w:ascii="宋体" w:hAnsi="宋体" w:eastAsia="宋体" w:cs="宋体"/>
                <w:color w:val="auto"/>
                <w:sz w:val="24"/>
                <w:highlight w:val="none"/>
              </w:rPr>
            </w:pPr>
          </w:p>
        </w:tc>
        <w:tc>
          <w:tcPr>
            <w:tcW w:w="553" w:type="dxa"/>
            <w:tcBorders>
              <w:top w:val="single" w:color="auto" w:sz="4" w:space="0"/>
              <w:left w:val="single" w:color="auto" w:sz="4" w:space="0"/>
              <w:bottom w:val="single" w:color="auto" w:sz="4" w:space="0"/>
              <w:right w:val="single" w:color="auto" w:sz="4" w:space="0"/>
            </w:tcBorders>
            <w:noWrap w:val="0"/>
            <w:vAlign w:val="top"/>
          </w:tcPr>
          <w:p w14:paraId="71B3EAE9">
            <w:pPr>
              <w:spacing w:line="360" w:lineRule="auto"/>
              <w:rPr>
                <w:rFonts w:hint="eastAsia" w:ascii="宋体" w:hAnsi="宋体" w:eastAsia="宋体" w:cs="宋体"/>
                <w:color w:val="auto"/>
                <w:sz w:val="24"/>
                <w:highlight w:val="none"/>
              </w:rPr>
            </w:pPr>
          </w:p>
        </w:tc>
        <w:tc>
          <w:tcPr>
            <w:tcW w:w="553" w:type="dxa"/>
            <w:tcBorders>
              <w:top w:val="single" w:color="auto" w:sz="4" w:space="0"/>
              <w:left w:val="single" w:color="auto" w:sz="4" w:space="0"/>
              <w:bottom w:val="single" w:color="auto" w:sz="4" w:space="0"/>
              <w:right w:val="single" w:color="auto" w:sz="4" w:space="0"/>
            </w:tcBorders>
            <w:noWrap w:val="0"/>
            <w:vAlign w:val="top"/>
          </w:tcPr>
          <w:p w14:paraId="789D67BC">
            <w:pPr>
              <w:spacing w:line="360" w:lineRule="auto"/>
              <w:rPr>
                <w:rFonts w:hint="eastAsia" w:ascii="宋体" w:hAnsi="宋体" w:eastAsia="宋体" w:cs="宋体"/>
                <w:color w:val="auto"/>
                <w:sz w:val="24"/>
                <w:highlight w:val="none"/>
              </w:rPr>
            </w:pPr>
          </w:p>
        </w:tc>
        <w:tc>
          <w:tcPr>
            <w:tcW w:w="553" w:type="dxa"/>
            <w:tcBorders>
              <w:top w:val="single" w:color="auto" w:sz="4" w:space="0"/>
              <w:left w:val="single" w:color="auto" w:sz="4" w:space="0"/>
              <w:bottom w:val="single" w:color="auto" w:sz="4" w:space="0"/>
              <w:right w:val="single" w:color="auto" w:sz="4" w:space="0"/>
            </w:tcBorders>
            <w:noWrap w:val="0"/>
            <w:vAlign w:val="top"/>
          </w:tcPr>
          <w:p w14:paraId="70417103">
            <w:pPr>
              <w:spacing w:line="360" w:lineRule="auto"/>
              <w:rPr>
                <w:rFonts w:hint="eastAsia" w:ascii="宋体" w:hAnsi="宋体" w:eastAsia="宋体" w:cs="宋体"/>
                <w:color w:val="auto"/>
                <w:sz w:val="24"/>
                <w:highlight w:val="none"/>
              </w:rPr>
            </w:pPr>
          </w:p>
        </w:tc>
        <w:tc>
          <w:tcPr>
            <w:tcW w:w="553" w:type="dxa"/>
            <w:tcBorders>
              <w:top w:val="single" w:color="auto" w:sz="4" w:space="0"/>
              <w:left w:val="single" w:color="auto" w:sz="4" w:space="0"/>
              <w:bottom w:val="single" w:color="auto" w:sz="4" w:space="0"/>
              <w:right w:val="single" w:color="auto" w:sz="4" w:space="0"/>
            </w:tcBorders>
            <w:noWrap w:val="0"/>
            <w:vAlign w:val="top"/>
          </w:tcPr>
          <w:p w14:paraId="0E94E868">
            <w:pPr>
              <w:spacing w:line="360" w:lineRule="auto"/>
              <w:rPr>
                <w:rFonts w:hint="eastAsia" w:ascii="宋体" w:hAnsi="宋体" w:eastAsia="宋体" w:cs="宋体"/>
                <w:color w:val="auto"/>
                <w:sz w:val="24"/>
                <w:highlight w:val="none"/>
              </w:rPr>
            </w:pPr>
          </w:p>
        </w:tc>
        <w:tc>
          <w:tcPr>
            <w:tcW w:w="553" w:type="dxa"/>
            <w:tcBorders>
              <w:top w:val="single" w:color="auto" w:sz="4" w:space="0"/>
              <w:left w:val="single" w:color="auto" w:sz="4" w:space="0"/>
              <w:bottom w:val="single" w:color="auto" w:sz="4" w:space="0"/>
              <w:right w:val="single" w:color="auto" w:sz="4" w:space="0"/>
            </w:tcBorders>
            <w:noWrap w:val="0"/>
            <w:vAlign w:val="top"/>
          </w:tcPr>
          <w:p w14:paraId="2D50AEC5">
            <w:pPr>
              <w:spacing w:line="360" w:lineRule="auto"/>
              <w:rPr>
                <w:rFonts w:hint="eastAsia" w:ascii="宋体" w:hAnsi="宋体" w:eastAsia="宋体" w:cs="宋体"/>
                <w:color w:val="auto"/>
                <w:sz w:val="24"/>
                <w:highlight w:val="none"/>
              </w:rPr>
            </w:pPr>
          </w:p>
        </w:tc>
      </w:tr>
      <w:tr w14:paraId="3266ED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tcBorders>
              <w:top w:val="single" w:color="auto" w:sz="4" w:space="0"/>
              <w:left w:val="single" w:color="auto" w:sz="4" w:space="0"/>
              <w:bottom w:val="single" w:color="auto" w:sz="4" w:space="0"/>
              <w:right w:val="single" w:color="auto" w:sz="4" w:space="0"/>
            </w:tcBorders>
            <w:noWrap w:val="0"/>
            <w:vAlign w:val="center"/>
          </w:tcPr>
          <w:p w14:paraId="76818589">
            <w:pPr>
              <w:spacing w:line="360" w:lineRule="auto"/>
              <w:rPr>
                <w:rFonts w:hint="eastAsia" w:ascii="宋体" w:hAnsi="宋体" w:eastAsia="宋体" w:cs="宋体"/>
                <w:color w:val="auto"/>
                <w:sz w:val="24"/>
                <w:highlight w:val="none"/>
              </w:rPr>
            </w:pPr>
          </w:p>
        </w:tc>
        <w:tc>
          <w:tcPr>
            <w:tcW w:w="552" w:type="dxa"/>
            <w:tcBorders>
              <w:top w:val="single" w:color="auto" w:sz="4" w:space="0"/>
              <w:left w:val="single" w:color="auto" w:sz="4" w:space="0"/>
              <w:bottom w:val="single" w:color="auto" w:sz="4" w:space="0"/>
              <w:right w:val="single" w:color="auto" w:sz="4" w:space="0"/>
            </w:tcBorders>
            <w:noWrap w:val="0"/>
            <w:vAlign w:val="top"/>
          </w:tcPr>
          <w:p w14:paraId="7AF08AA7">
            <w:pPr>
              <w:spacing w:line="360" w:lineRule="auto"/>
              <w:rPr>
                <w:rFonts w:hint="eastAsia" w:ascii="宋体" w:hAnsi="宋体" w:eastAsia="宋体" w:cs="宋体"/>
                <w:color w:val="auto"/>
                <w:sz w:val="24"/>
                <w:highlight w:val="none"/>
              </w:rPr>
            </w:pPr>
          </w:p>
        </w:tc>
        <w:tc>
          <w:tcPr>
            <w:tcW w:w="552" w:type="dxa"/>
            <w:tcBorders>
              <w:top w:val="single" w:color="auto" w:sz="4" w:space="0"/>
              <w:left w:val="single" w:color="auto" w:sz="4" w:space="0"/>
              <w:bottom w:val="single" w:color="auto" w:sz="4" w:space="0"/>
              <w:right w:val="single" w:color="auto" w:sz="4" w:space="0"/>
            </w:tcBorders>
            <w:noWrap w:val="0"/>
            <w:vAlign w:val="top"/>
          </w:tcPr>
          <w:p w14:paraId="0EEA0030">
            <w:pPr>
              <w:spacing w:line="360" w:lineRule="auto"/>
              <w:rPr>
                <w:rFonts w:hint="eastAsia" w:ascii="宋体" w:hAnsi="宋体" w:eastAsia="宋体" w:cs="宋体"/>
                <w:color w:val="auto"/>
                <w:sz w:val="24"/>
                <w:highlight w:val="none"/>
              </w:rPr>
            </w:pPr>
          </w:p>
        </w:tc>
        <w:tc>
          <w:tcPr>
            <w:tcW w:w="552" w:type="dxa"/>
            <w:tcBorders>
              <w:top w:val="single" w:color="auto" w:sz="4" w:space="0"/>
              <w:left w:val="single" w:color="auto" w:sz="4" w:space="0"/>
              <w:bottom w:val="single" w:color="auto" w:sz="4" w:space="0"/>
              <w:right w:val="single" w:color="auto" w:sz="4" w:space="0"/>
            </w:tcBorders>
            <w:noWrap w:val="0"/>
            <w:vAlign w:val="top"/>
          </w:tcPr>
          <w:p w14:paraId="444672E7">
            <w:pPr>
              <w:spacing w:line="360" w:lineRule="auto"/>
              <w:rPr>
                <w:rFonts w:hint="eastAsia" w:ascii="宋体" w:hAnsi="宋体" w:eastAsia="宋体" w:cs="宋体"/>
                <w:color w:val="auto"/>
                <w:sz w:val="24"/>
                <w:highlight w:val="none"/>
              </w:rPr>
            </w:pPr>
          </w:p>
        </w:tc>
        <w:tc>
          <w:tcPr>
            <w:tcW w:w="552" w:type="dxa"/>
            <w:tcBorders>
              <w:top w:val="single" w:color="auto" w:sz="4" w:space="0"/>
              <w:left w:val="single" w:color="auto" w:sz="4" w:space="0"/>
              <w:bottom w:val="single" w:color="auto" w:sz="4" w:space="0"/>
              <w:right w:val="single" w:color="auto" w:sz="4" w:space="0"/>
            </w:tcBorders>
            <w:noWrap w:val="0"/>
            <w:vAlign w:val="top"/>
          </w:tcPr>
          <w:p w14:paraId="2D50B2F9">
            <w:pPr>
              <w:spacing w:line="360" w:lineRule="auto"/>
              <w:rPr>
                <w:rFonts w:hint="eastAsia" w:ascii="宋体" w:hAnsi="宋体" w:eastAsia="宋体" w:cs="宋体"/>
                <w:color w:val="auto"/>
                <w:sz w:val="24"/>
                <w:highlight w:val="none"/>
              </w:rPr>
            </w:pPr>
          </w:p>
        </w:tc>
        <w:tc>
          <w:tcPr>
            <w:tcW w:w="552" w:type="dxa"/>
            <w:tcBorders>
              <w:top w:val="single" w:color="auto" w:sz="4" w:space="0"/>
              <w:left w:val="single" w:color="auto" w:sz="4" w:space="0"/>
              <w:bottom w:val="single" w:color="auto" w:sz="4" w:space="0"/>
              <w:right w:val="single" w:color="auto" w:sz="4" w:space="0"/>
            </w:tcBorders>
            <w:noWrap w:val="0"/>
            <w:vAlign w:val="top"/>
          </w:tcPr>
          <w:p w14:paraId="1E96E4D8">
            <w:pPr>
              <w:spacing w:line="360" w:lineRule="auto"/>
              <w:rPr>
                <w:rFonts w:hint="eastAsia" w:ascii="宋体" w:hAnsi="宋体" w:eastAsia="宋体" w:cs="宋体"/>
                <w:color w:val="auto"/>
                <w:sz w:val="24"/>
                <w:highlight w:val="none"/>
              </w:rPr>
            </w:pPr>
          </w:p>
        </w:tc>
        <w:tc>
          <w:tcPr>
            <w:tcW w:w="552" w:type="dxa"/>
            <w:tcBorders>
              <w:top w:val="single" w:color="auto" w:sz="4" w:space="0"/>
              <w:left w:val="single" w:color="auto" w:sz="4" w:space="0"/>
              <w:bottom w:val="single" w:color="auto" w:sz="4" w:space="0"/>
              <w:right w:val="single" w:color="auto" w:sz="4" w:space="0"/>
            </w:tcBorders>
            <w:noWrap w:val="0"/>
            <w:vAlign w:val="top"/>
          </w:tcPr>
          <w:p w14:paraId="18ACABC1">
            <w:pPr>
              <w:spacing w:line="360" w:lineRule="auto"/>
              <w:rPr>
                <w:rFonts w:hint="eastAsia" w:ascii="宋体" w:hAnsi="宋体" w:eastAsia="宋体" w:cs="宋体"/>
                <w:color w:val="auto"/>
                <w:sz w:val="24"/>
                <w:highlight w:val="none"/>
              </w:rPr>
            </w:pPr>
          </w:p>
        </w:tc>
        <w:tc>
          <w:tcPr>
            <w:tcW w:w="553" w:type="dxa"/>
            <w:tcBorders>
              <w:top w:val="single" w:color="auto" w:sz="4" w:space="0"/>
              <w:left w:val="single" w:color="auto" w:sz="4" w:space="0"/>
              <w:bottom w:val="single" w:color="auto" w:sz="4" w:space="0"/>
              <w:right w:val="single" w:color="auto" w:sz="4" w:space="0"/>
            </w:tcBorders>
            <w:noWrap w:val="0"/>
            <w:vAlign w:val="top"/>
          </w:tcPr>
          <w:p w14:paraId="6EC7F215">
            <w:pPr>
              <w:spacing w:line="360" w:lineRule="auto"/>
              <w:rPr>
                <w:rFonts w:hint="eastAsia" w:ascii="宋体" w:hAnsi="宋体" w:eastAsia="宋体" w:cs="宋体"/>
                <w:color w:val="auto"/>
                <w:sz w:val="24"/>
                <w:highlight w:val="none"/>
              </w:rPr>
            </w:pPr>
          </w:p>
        </w:tc>
        <w:tc>
          <w:tcPr>
            <w:tcW w:w="553" w:type="dxa"/>
            <w:tcBorders>
              <w:top w:val="single" w:color="auto" w:sz="4" w:space="0"/>
              <w:left w:val="single" w:color="auto" w:sz="4" w:space="0"/>
              <w:bottom w:val="single" w:color="auto" w:sz="4" w:space="0"/>
              <w:right w:val="single" w:color="auto" w:sz="4" w:space="0"/>
            </w:tcBorders>
            <w:noWrap w:val="0"/>
            <w:vAlign w:val="top"/>
          </w:tcPr>
          <w:p w14:paraId="4A04D531">
            <w:pPr>
              <w:spacing w:line="360" w:lineRule="auto"/>
              <w:rPr>
                <w:rFonts w:hint="eastAsia" w:ascii="宋体" w:hAnsi="宋体" w:eastAsia="宋体" w:cs="宋体"/>
                <w:color w:val="auto"/>
                <w:sz w:val="24"/>
                <w:highlight w:val="none"/>
              </w:rPr>
            </w:pPr>
          </w:p>
        </w:tc>
        <w:tc>
          <w:tcPr>
            <w:tcW w:w="553" w:type="dxa"/>
            <w:tcBorders>
              <w:top w:val="single" w:color="auto" w:sz="4" w:space="0"/>
              <w:left w:val="single" w:color="auto" w:sz="4" w:space="0"/>
              <w:bottom w:val="single" w:color="auto" w:sz="4" w:space="0"/>
              <w:right w:val="single" w:color="auto" w:sz="4" w:space="0"/>
            </w:tcBorders>
            <w:noWrap w:val="0"/>
            <w:vAlign w:val="top"/>
          </w:tcPr>
          <w:p w14:paraId="435FE230">
            <w:pPr>
              <w:spacing w:line="360" w:lineRule="auto"/>
              <w:rPr>
                <w:rFonts w:hint="eastAsia" w:ascii="宋体" w:hAnsi="宋体" w:eastAsia="宋体" w:cs="宋体"/>
                <w:color w:val="auto"/>
                <w:sz w:val="24"/>
                <w:highlight w:val="none"/>
              </w:rPr>
            </w:pPr>
          </w:p>
        </w:tc>
        <w:tc>
          <w:tcPr>
            <w:tcW w:w="553" w:type="dxa"/>
            <w:tcBorders>
              <w:top w:val="single" w:color="auto" w:sz="4" w:space="0"/>
              <w:left w:val="single" w:color="auto" w:sz="4" w:space="0"/>
              <w:bottom w:val="single" w:color="auto" w:sz="4" w:space="0"/>
              <w:right w:val="single" w:color="auto" w:sz="4" w:space="0"/>
            </w:tcBorders>
            <w:noWrap w:val="0"/>
            <w:vAlign w:val="top"/>
          </w:tcPr>
          <w:p w14:paraId="3161009A">
            <w:pPr>
              <w:spacing w:line="360" w:lineRule="auto"/>
              <w:rPr>
                <w:rFonts w:hint="eastAsia" w:ascii="宋体" w:hAnsi="宋体" w:eastAsia="宋体" w:cs="宋体"/>
                <w:color w:val="auto"/>
                <w:sz w:val="24"/>
                <w:highlight w:val="none"/>
              </w:rPr>
            </w:pPr>
          </w:p>
        </w:tc>
        <w:tc>
          <w:tcPr>
            <w:tcW w:w="553" w:type="dxa"/>
            <w:tcBorders>
              <w:top w:val="single" w:color="auto" w:sz="4" w:space="0"/>
              <w:left w:val="single" w:color="auto" w:sz="4" w:space="0"/>
              <w:bottom w:val="single" w:color="auto" w:sz="4" w:space="0"/>
              <w:right w:val="single" w:color="auto" w:sz="4" w:space="0"/>
            </w:tcBorders>
            <w:noWrap w:val="0"/>
            <w:vAlign w:val="top"/>
          </w:tcPr>
          <w:p w14:paraId="586829ED">
            <w:pPr>
              <w:spacing w:line="360" w:lineRule="auto"/>
              <w:rPr>
                <w:rFonts w:hint="eastAsia" w:ascii="宋体" w:hAnsi="宋体" w:eastAsia="宋体" w:cs="宋体"/>
                <w:color w:val="auto"/>
                <w:sz w:val="24"/>
                <w:highlight w:val="none"/>
              </w:rPr>
            </w:pPr>
          </w:p>
        </w:tc>
        <w:tc>
          <w:tcPr>
            <w:tcW w:w="553" w:type="dxa"/>
            <w:tcBorders>
              <w:top w:val="single" w:color="auto" w:sz="4" w:space="0"/>
              <w:left w:val="single" w:color="auto" w:sz="4" w:space="0"/>
              <w:bottom w:val="single" w:color="auto" w:sz="4" w:space="0"/>
              <w:right w:val="single" w:color="auto" w:sz="4" w:space="0"/>
            </w:tcBorders>
            <w:noWrap w:val="0"/>
            <w:vAlign w:val="top"/>
          </w:tcPr>
          <w:p w14:paraId="62EDDDBC">
            <w:pPr>
              <w:spacing w:line="360" w:lineRule="auto"/>
              <w:rPr>
                <w:rFonts w:hint="eastAsia" w:ascii="宋体" w:hAnsi="宋体" w:eastAsia="宋体" w:cs="宋体"/>
                <w:color w:val="auto"/>
                <w:sz w:val="24"/>
                <w:highlight w:val="none"/>
              </w:rPr>
            </w:pPr>
          </w:p>
        </w:tc>
        <w:tc>
          <w:tcPr>
            <w:tcW w:w="553" w:type="dxa"/>
            <w:tcBorders>
              <w:top w:val="single" w:color="auto" w:sz="4" w:space="0"/>
              <w:left w:val="single" w:color="auto" w:sz="4" w:space="0"/>
              <w:bottom w:val="single" w:color="auto" w:sz="4" w:space="0"/>
              <w:right w:val="single" w:color="auto" w:sz="4" w:space="0"/>
            </w:tcBorders>
            <w:noWrap w:val="0"/>
            <w:vAlign w:val="top"/>
          </w:tcPr>
          <w:p w14:paraId="23D1399B">
            <w:pPr>
              <w:spacing w:line="360" w:lineRule="auto"/>
              <w:rPr>
                <w:rFonts w:hint="eastAsia" w:ascii="宋体" w:hAnsi="宋体" w:eastAsia="宋体" w:cs="宋体"/>
                <w:color w:val="auto"/>
                <w:sz w:val="24"/>
                <w:highlight w:val="none"/>
              </w:rPr>
            </w:pPr>
          </w:p>
        </w:tc>
        <w:tc>
          <w:tcPr>
            <w:tcW w:w="553" w:type="dxa"/>
            <w:tcBorders>
              <w:top w:val="single" w:color="auto" w:sz="4" w:space="0"/>
              <w:left w:val="single" w:color="auto" w:sz="4" w:space="0"/>
              <w:bottom w:val="single" w:color="auto" w:sz="4" w:space="0"/>
              <w:right w:val="single" w:color="auto" w:sz="4" w:space="0"/>
            </w:tcBorders>
            <w:noWrap w:val="0"/>
            <w:vAlign w:val="top"/>
          </w:tcPr>
          <w:p w14:paraId="0F31D14F">
            <w:pPr>
              <w:spacing w:line="360" w:lineRule="auto"/>
              <w:rPr>
                <w:rFonts w:hint="eastAsia" w:ascii="宋体" w:hAnsi="宋体" w:eastAsia="宋体" w:cs="宋体"/>
                <w:color w:val="auto"/>
                <w:sz w:val="24"/>
                <w:highlight w:val="none"/>
              </w:rPr>
            </w:pPr>
          </w:p>
        </w:tc>
        <w:tc>
          <w:tcPr>
            <w:tcW w:w="553" w:type="dxa"/>
            <w:tcBorders>
              <w:top w:val="single" w:color="auto" w:sz="4" w:space="0"/>
              <w:left w:val="single" w:color="auto" w:sz="4" w:space="0"/>
              <w:bottom w:val="single" w:color="auto" w:sz="4" w:space="0"/>
              <w:right w:val="single" w:color="auto" w:sz="4" w:space="0"/>
            </w:tcBorders>
            <w:noWrap w:val="0"/>
            <w:vAlign w:val="top"/>
          </w:tcPr>
          <w:p w14:paraId="421F4779">
            <w:pPr>
              <w:spacing w:line="360" w:lineRule="auto"/>
              <w:rPr>
                <w:rFonts w:hint="eastAsia" w:ascii="宋体" w:hAnsi="宋体" w:eastAsia="宋体" w:cs="宋体"/>
                <w:color w:val="auto"/>
                <w:sz w:val="24"/>
                <w:highlight w:val="none"/>
              </w:rPr>
            </w:pPr>
          </w:p>
        </w:tc>
        <w:tc>
          <w:tcPr>
            <w:tcW w:w="553" w:type="dxa"/>
            <w:tcBorders>
              <w:top w:val="single" w:color="auto" w:sz="4" w:space="0"/>
              <w:left w:val="single" w:color="auto" w:sz="4" w:space="0"/>
              <w:bottom w:val="single" w:color="auto" w:sz="4" w:space="0"/>
              <w:right w:val="single" w:color="auto" w:sz="4" w:space="0"/>
            </w:tcBorders>
            <w:noWrap w:val="0"/>
            <w:vAlign w:val="top"/>
          </w:tcPr>
          <w:p w14:paraId="4BD813DA">
            <w:pPr>
              <w:spacing w:line="360" w:lineRule="auto"/>
              <w:rPr>
                <w:rFonts w:hint="eastAsia" w:ascii="宋体" w:hAnsi="宋体" w:eastAsia="宋体" w:cs="宋体"/>
                <w:color w:val="auto"/>
                <w:sz w:val="24"/>
                <w:highlight w:val="none"/>
              </w:rPr>
            </w:pPr>
          </w:p>
        </w:tc>
      </w:tr>
      <w:tr w14:paraId="62EFFF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tcBorders>
              <w:top w:val="single" w:color="auto" w:sz="4" w:space="0"/>
              <w:left w:val="single" w:color="auto" w:sz="4" w:space="0"/>
              <w:bottom w:val="single" w:color="auto" w:sz="4" w:space="0"/>
              <w:right w:val="single" w:color="auto" w:sz="4" w:space="0"/>
            </w:tcBorders>
            <w:noWrap w:val="0"/>
            <w:vAlign w:val="center"/>
          </w:tcPr>
          <w:p w14:paraId="57BD1F8A">
            <w:pPr>
              <w:spacing w:line="360" w:lineRule="auto"/>
              <w:rPr>
                <w:rFonts w:hint="eastAsia" w:ascii="宋体" w:hAnsi="宋体" w:eastAsia="宋体" w:cs="宋体"/>
                <w:color w:val="auto"/>
                <w:sz w:val="24"/>
                <w:highlight w:val="none"/>
              </w:rPr>
            </w:pPr>
          </w:p>
        </w:tc>
        <w:tc>
          <w:tcPr>
            <w:tcW w:w="552" w:type="dxa"/>
            <w:tcBorders>
              <w:top w:val="single" w:color="auto" w:sz="4" w:space="0"/>
              <w:left w:val="single" w:color="auto" w:sz="4" w:space="0"/>
              <w:bottom w:val="single" w:color="auto" w:sz="4" w:space="0"/>
              <w:right w:val="single" w:color="auto" w:sz="4" w:space="0"/>
            </w:tcBorders>
            <w:noWrap w:val="0"/>
            <w:vAlign w:val="top"/>
          </w:tcPr>
          <w:p w14:paraId="49BC259C">
            <w:pPr>
              <w:spacing w:line="360" w:lineRule="auto"/>
              <w:rPr>
                <w:rFonts w:hint="eastAsia" w:ascii="宋体" w:hAnsi="宋体" w:eastAsia="宋体" w:cs="宋体"/>
                <w:color w:val="auto"/>
                <w:sz w:val="24"/>
                <w:highlight w:val="none"/>
              </w:rPr>
            </w:pPr>
          </w:p>
        </w:tc>
        <w:tc>
          <w:tcPr>
            <w:tcW w:w="552" w:type="dxa"/>
            <w:tcBorders>
              <w:top w:val="single" w:color="auto" w:sz="4" w:space="0"/>
              <w:left w:val="single" w:color="auto" w:sz="4" w:space="0"/>
              <w:bottom w:val="single" w:color="auto" w:sz="4" w:space="0"/>
              <w:right w:val="single" w:color="auto" w:sz="4" w:space="0"/>
            </w:tcBorders>
            <w:noWrap w:val="0"/>
            <w:vAlign w:val="top"/>
          </w:tcPr>
          <w:p w14:paraId="14A0D898">
            <w:pPr>
              <w:spacing w:line="360" w:lineRule="auto"/>
              <w:rPr>
                <w:rFonts w:hint="eastAsia" w:ascii="宋体" w:hAnsi="宋体" w:eastAsia="宋体" w:cs="宋体"/>
                <w:color w:val="auto"/>
                <w:sz w:val="24"/>
                <w:highlight w:val="none"/>
              </w:rPr>
            </w:pPr>
          </w:p>
        </w:tc>
        <w:tc>
          <w:tcPr>
            <w:tcW w:w="552" w:type="dxa"/>
            <w:tcBorders>
              <w:top w:val="single" w:color="auto" w:sz="4" w:space="0"/>
              <w:left w:val="single" w:color="auto" w:sz="4" w:space="0"/>
              <w:bottom w:val="single" w:color="auto" w:sz="4" w:space="0"/>
              <w:right w:val="single" w:color="auto" w:sz="4" w:space="0"/>
            </w:tcBorders>
            <w:noWrap w:val="0"/>
            <w:vAlign w:val="top"/>
          </w:tcPr>
          <w:p w14:paraId="41D27A29">
            <w:pPr>
              <w:spacing w:line="360" w:lineRule="auto"/>
              <w:rPr>
                <w:rFonts w:hint="eastAsia" w:ascii="宋体" w:hAnsi="宋体" w:eastAsia="宋体" w:cs="宋体"/>
                <w:color w:val="auto"/>
                <w:sz w:val="24"/>
                <w:highlight w:val="none"/>
              </w:rPr>
            </w:pPr>
          </w:p>
        </w:tc>
        <w:tc>
          <w:tcPr>
            <w:tcW w:w="552" w:type="dxa"/>
            <w:tcBorders>
              <w:top w:val="single" w:color="auto" w:sz="4" w:space="0"/>
              <w:left w:val="single" w:color="auto" w:sz="4" w:space="0"/>
              <w:bottom w:val="single" w:color="auto" w:sz="4" w:space="0"/>
              <w:right w:val="single" w:color="auto" w:sz="4" w:space="0"/>
            </w:tcBorders>
            <w:noWrap w:val="0"/>
            <w:vAlign w:val="top"/>
          </w:tcPr>
          <w:p w14:paraId="130C381C">
            <w:pPr>
              <w:spacing w:line="360" w:lineRule="auto"/>
              <w:rPr>
                <w:rFonts w:hint="eastAsia" w:ascii="宋体" w:hAnsi="宋体" w:eastAsia="宋体" w:cs="宋体"/>
                <w:color w:val="auto"/>
                <w:sz w:val="24"/>
                <w:highlight w:val="none"/>
              </w:rPr>
            </w:pPr>
          </w:p>
        </w:tc>
        <w:tc>
          <w:tcPr>
            <w:tcW w:w="552" w:type="dxa"/>
            <w:tcBorders>
              <w:top w:val="single" w:color="auto" w:sz="4" w:space="0"/>
              <w:left w:val="single" w:color="auto" w:sz="4" w:space="0"/>
              <w:bottom w:val="single" w:color="auto" w:sz="4" w:space="0"/>
              <w:right w:val="single" w:color="auto" w:sz="4" w:space="0"/>
            </w:tcBorders>
            <w:noWrap w:val="0"/>
            <w:vAlign w:val="top"/>
          </w:tcPr>
          <w:p w14:paraId="151E8119">
            <w:pPr>
              <w:spacing w:line="360" w:lineRule="auto"/>
              <w:rPr>
                <w:rFonts w:hint="eastAsia" w:ascii="宋体" w:hAnsi="宋体" w:eastAsia="宋体" w:cs="宋体"/>
                <w:color w:val="auto"/>
                <w:sz w:val="24"/>
                <w:highlight w:val="none"/>
              </w:rPr>
            </w:pPr>
          </w:p>
        </w:tc>
        <w:tc>
          <w:tcPr>
            <w:tcW w:w="552" w:type="dxa"/>
            <w:tcBorders>
              <w:top w:val="single" w:color="auto" w:sz="4" w:space="0"/>
              <w:left w:val="single" w:color="auto" w:sz="4" w:space="0"/>
              <w:bottom w:val="single" w:color="auto" w:sz="4" w:space="0"/>
              <w:right w:val="single" w:color="auto" w:sz="4" w:space="0"/>
            </w:tcBorders>
            <w:noWrap w:val="0"/>
            <w:vAlign w:val="top"/>
          </w:tcPr>
          <w:p w14:paraId="0C700E69">
            <w:pPr>
              <w:spacing w:line="360" w:lineRule="auto"/>
              <w:rPr>
                <w:rFonts w:hint="eastAsia" w:ascii="宋体" w:hAnsi="宋体" w:eastAsia="宋体" w:cs="宋体"/>
                <w:color w:val="auto"/>
                <w:sz w:val="24"/>
                <w:highlight w:val="none"/>
              </w:rPr>
            </w:pPr>
          </w:p>
        </w:tc>
        <w:tc>
          <w:tcPr>
            <w:tcW w:w="553" w:type="dxa"/>
            <w:tcBorders>
              <w:top w:val="single" w:color="auto" w:sz="4" w:space="0"/>
              <w:left w:val="single" w:color="auto" w:sz="4" w:space="0"/>
              <w:bottom w:val="single" w:color="auto" w:sz="4" w:space="0"/>
              <w:right w:val="single" w:color="auto" w:sz="4" w:space="0"/>
            </w:tcBorders>
            <w:noWrap w:val="0"/>
            <w:vAlign w:val="top"/>
          </w:tcPr>
          <w:p w14:paraId="266A4F5C">
            <w:pPr>
              <w:spacing w:line="360" w:lineRule="auto"/>
              <w:rPr>
                <w:rFonts w:hint="eastAsia" w:ascii="宋体" w:hAnsi="宋体" w:eastAsia="宋体" w:cs="宋体"/>
                <w:color w:val="auto"/>
                <w:sz w:val="24"/>
                <w:highlight w:val="none"/>
              </w:rPr>
            </w:pPr>
          </w:p>
        </w:tc>
        <w:tc>
          <w:tcPr>
            <w:tcW w:w="553" w:type="dxa"/>
            <w:tcBorders>
              <w:top w:val="single" w:color="auto" w:sz="4" w:space="0"/>
              <w:left w:val="single" w:color="auto" w:sz="4" w:space="0"/>
              <w:bottom w:val="single" w:color="auto" w:sz="4" w:space="0"/>
              <w:right w:val="single" w:color="auto" w:sz="4" w:space="0"/>
            </w:tcBorders>
            <w:noWrap w:val="0"/>
            <w:vAlign w:val="top"/>
          </w:tcPr>
          <w:p w14:paraId="689D6538">
            <w:pPr>
              <w:spacing w:line="360" w:lineRule="auto"/>
              <w:rPr>
                <w:rFonts w:hint="eastAsia" w:ascii="宋体" w:hAnsi="宋体" w:eastAsia="宋体" w:cs="宋体"/>
                <w:color w:val="auto"/>
                <w:sz w:val="24"/>
                <w:highlight w:val="none"/>
              </w:rPr>
            </w:pPr>
          </w:p>
        </w:tc>
        <w:tc>
          <w:tcPr>
            <w:tcW w:w="553" w:type="dxa"/>
            <w:tcBorders>
              <w:top w:val="single" w:color="auto" w:sz="4" w:space="0"/>
              <w:left w:val="single" w:color="auto" w:sz="4" w:space="0"/>
              <w:bottom w:val="single" w:color="auto" w:sz="4" w:space="0"/>
              <w:right w:val="single" w:color="auto" w:sz="4" w:space="0"/>
            </w:tcBorders>
            <w:noWrap w:val="0"/>
            <w:vAlign w:val="top"/>
          </w:tcPr>
          <w:p w14:paraId="68917DF1">
            <w:pPr>
              <w:spacing w:line="360" w:lineRule="auto"/>
              <w:rPr>
                <w:rFonts w:hint="eastAsia" w:ascii="宋体" w:hAnsi="宋体" w:eastAsia="宋体" w:cs="宋体"/>
                <w:color w:val="auto"/>
                <w:sz w:val="24"/>
                <w:highlight w:val="none"/>
              </w:rPr>
            </w:pPr>
          </w:p>
        </w:tc>
        <w:tc>
          <w:tcPr>
            <w:tcW w:w="553" w:type="dxa"/>
            <w:tcBorders>
              <w:top w:val="single" w:color="auto" w:sz="4" w:space="0"/>
              <w:left w:val="single" w:color="auto" w:sz="4" w:space="0"/>
              <w:bottom w:val="single" w:color="auto" w:sz="4" w:space="0"/>
              <w:right w:val="single" w:color="auto" w:sz="4" w:space="0"/>
            </w:tcBorders>
            <w:noWrap w:val="0"/>
            <w:vAlign w:val="top"/>
          </w:tcPr>
          <w:p w14:paraId="72AD3C18">
            <w:pPr>
              <w:spacing w:line="360" w:lineRule="auto"/>
              <w:rPr>
                <w:rFonts w:hint="eastAsia" w:ascii="宋体" w:hAnsi="宋体" w:eastAsia="宋体" w:cs="宋体"/>
                <w:color w:val="auto"/>
                <w:sz w:val="24"/>
                <w:highlight w:val="none"/>
              </w:rPr>
            </w:pPr>
          </w:p>
        </w:tc>
        <w:tc>
          <w:tcPr>
            <w:tcW w:w="553" w:type="dxa"/>
            <w:tcBorders>
              <w:top w:val="single" w:color="auto" w:sz="4" w:space="0"/>
              <w:left w:val="single" w:color="auto" w:sz="4" w:space="0"/>
              <w:bottom w:val="single" w:color="auto" w:sz="4" w:space="0"/>
              <w:right w:val="single" w:color="auto" w:sz="4" w:space="0"/>
            </w:tcBorders>
            <w:noWrap w:val="0"/>
            <w:vAlign w:val="top"/>
          </w:tcPr>
          <w:p w14:paraId="45EC5DE3">
            <w:pPr>
              <w:spacing w:line="360" w:lineRule="auto"/>
              <w:rPr>
                <w:rFonts w:hint="eastAsia" w:ascii="宋体" w:hAnsi="宋体" w:eastAsia="宋体" w:cs="宋体"/>
                <w:color w:val="auto"/>
                <w:sz w:val="24"/>
                <w:highlight w:val="none"/>
              </w:rPr>
            </w:pPr>
          </w:p>
        </w:tc>
        <w:tc>
          <w:tcPr>
            <w:tcW w:w="553" w:type="dxa"/>
            <w:tcBorders>
              <w:top w:val="single" w:color="auto" w:sz="4" w:space="0"/>
              <w:left w:val="single" w:color="auto" w:sz="4" w:space="0"/>
              <w:bottom w:val="single" w:color="auto" w:sz="4" w:space="0"/>
              <w:right w:val="single" w:color="auto" w:sz="4" w:space="0"/>
            </w:tcBorders>
            <w:noWrap w:val="0"/>
            <w:vAlign w:val="top"/>
          </w:tcPr>
          <w:p w14:paraId="7CE5DB8C">
            <w:pPr>
              <w:spacing w:line="360" w:lineRule="auto"/>
              <w:rPr>
                <w:rFonts w:hint="eastAsia" w:ascii="宋体" w:hAnsi="宋体" w:eastAsia="宋体" w:cs="宋体"/>
                <w:color w:val="auto"/>
                <w:sz w:val="24"/>
                <w:highlight w:val="none"/>
              </w:rPr>
            </w:pPr>
          </w:p>
        </w:tc>
        <w:tc>
          <w:tcPr>
            <w:tcW w:w="553" w:type="dxa"/>
            <w:tcBorders>
              <w:top w:val="single" w:color="auto" w:sz="4" w:space="0"/>
              <w:left w:val="single" w:color="auto" w:sz="4" w:space="0"/>
              <w:bottom w:val="single" w:color="auto" w:sz="4" w:space="0"/>
              <w:right w:val="single" w:color="auto" w:sz="4" w:space="0"/>
            </w:tcBorders>
            <w:noWrap w:val="0"/>
            <w:vAlign w:val="top"/>
          </w:tcPr>
          <w:p w14:paraId="1F9295A3">
            <w:pPr>
              <w:spacing w:line="360" w:lineRule="auto"/>
              <w:rPr>
                <w:rFonts w:hint="eastAsia" w:ascii="宋体" w:hAnsi="宋体" w:eastAsia="宋体" w:cs="宋体"/>
                <w:color w:val="auto"/>
                <w:sz w:val="24"/>
                <w:highlight w:val="none"/>
              </w:rPr>
            </w:pPr>
          </w:p>
        </w:tc>
        <w:tc>
          <w:tcPr>
            <w:tcW w:w="553" w:type="dxa"/>
            <w:tcBorders>
              <w:top w:val="single" w:color="auto" w:sz="4" w:space="0"/>
              <w:left w:val="single" w:color="auto" w:sz="4" w:space="0"/>
              <w:bottom w:val="single" w:color="auto" w:sz="4" w:space="0"/>
              <w:right w:val="single" w:color="auto" w:sz="4" w:space="0"/>
            </w:tcBorders>
            <w:noWrap w:val="0"/>
            <w:vAlign w:val="top"/>
          </w:tcPr>
          <w:p w14:paraId="220C874A">
            <w:pPr>
              <w:spacing w:line="360" w:lineRule="auto"/>
              <w:rPr>
                <w:rFonts w:hint="eastAsia" w:ascii="宋体" w:hAnsi="宋体" w:eastAsia="宋体" w:cs="宋体"/>
                <w:color w:val="auto"/>
                <w:sz w:val="24"/>
                <w:highlight w:val="none"/>
              </w:rPr>
            </w:pPr>
          </w:p>
        </w:tc>
        <w:tc>
          <w:tcPr>
            <w:tcW w:w="553" w:type="dxa"/>
            <w:tcBorders>
              <w:top w:val="single" w:color="auto" w:sz="4" w:space="0"/>
              <w:left w:val="single" w:color="auto" w:sz="4" w:space="0"/>
              <w:bottom w:val="single" w:color="auto" w:sz="4" w:space="0"/>
              <w:right w:val="single" w:color="auto" w:sz="4" w:space="0"/>
            </w:tcBorders>
            <w:noWrap w:val="0"/>
            <w:vAlign w:val="top"/>
          </w:tcPr>
          <w:p w14:paraId="15B0B8D0">
            <w:pPr>
              <w:spacing w:line="360" w:lineRule="auto"/>
              <w:rPr>
                <w:rFonts w:hint="eastAsia" w:ascii="宋体" w:hAnsi="宋体" w:eastAsia="宋体" w:cs="宋体"/>
                <w:color w:val="auto"/>
                <w:sz w:val="24"/>
                <w:highlight w:val="none"/>
              </w:rPr>
            </w:pPr>
          </w:p>
        </w:tc>
        <w:tc>
          <w:tcPr>
            <w:tcW w:w="553" w:type="dxa"/>
            <w:tcBorders>
              <w:top w:val="single" w:color="auto" w:sz="4" w:space="0"/>
              <w:left w:val="single" w:color="auto" w:sz="4" w:space="0"/>
              <w:bottom w:val="single" w:color="auto" w:sz="4" w:space="0"/>
              <w:right w:val="single" w:color="auto" w:sz="4" w:space="0"/>
            </w:tcBorders>
            <w:noWrap w:val="0"/>
            <w:vAlign w:val="top"/>
          </w:tcPr>
          <w:p w14:paraId="351AC32C">
            <w:pPr>
              <w:spacing w:line="360" w:lineRule="auto"/>
              <w:rPr>
                <w:rFonts w:hint="eastAsia" w:ascii="宋体" w:hAnsi="宋体" w:eastAsia="宋体" w:cs="宋体"/>
                <w:color w:val="auto"/>
                <w:sz w:val="24"/>
                <w:highlight w:val="none"/>
              </w:rPr>
            </w:pPr>
          </w:p>
        </w:tc>
      </w:tr>
      <w:tr w14:paraId="20EFC3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tcBorders>
              <w:top w:val="single" w:color="auto" w:sz="4" w:space="0"/>
              <w:left w:val="single" w:color="auto" w:sz="4" w:space="0"/>
              <w:bottom w:val="single" w:color="auto" w:sz="4" w:space="0"/>
              <w:right w:val="single" w:color="auto" w:sz="4" w:space="0"/>
            </w:tcBorders>
            <w:noWrap w:val="0"/>
            <w:vAlign w:val="center"/>
          </w:tcPr>
          <w:p w14:paraId="105DD642">
            <w:pPr>
              <w:spacing w:line="360" w:lineRule="auto"/>
              <w:rPr>
                <w:rFonts w:hint="eastAsia" w:ascii="宋体" w:hAnsi="宋体" w:eastAsia="宋体" w:cs="宋体"/>
                <w:color w:val="auto"/>
                <w:sz w:val="24"/>
                <w:highlight w:val="none"/>
              </w:rPr>
            </w:pPr>
          </w:p>
        </w:tc>
        <w:tc>
          <w:tcPr>
            <w:tcW w:w="552" w:type="dxa"/>
            <w:tcBorders>
              <w:top w:val="single" w:color="auto" w:sz="4" w:space="0"/>
              <w:left w:val="single" w:color="auto" w:sz="4" w:space="0"/>
              <w:bottom w:val="single" w:color="auto" w:sz="4" w:space="0"/>
              <w:right w:val="single" w:color="auto" w:sz="4" w:space="0"/>
            </w:tcBorders>
            <w:noWrap w:val="0"/>
            <w:vAlign w:val="top"/>
          </w:tcPr>
          <w:p w14:paraId="027D10CF">
            <w:pPr>
              <w:spacing w:line="360" w:lineRule="auto"/>
              <w:rPr>
                <w:rFonts w:hint="eastAsia" w:ascii="宋体" w:hAnsi="宋体" w:eastAsia="宋体" w:cs="宋体"/>
                <w:color w:val="auto"/>
                <w:sz w:val="24"/>
                <w:highlight w:val="none"/>
              </w:rPr>
            </w:pPr>
          </w:p>
        </w:tc>
        <w:tc>
          <w:tcPr>
            <w:tcW w:w="552" w:type="dxa"/>
            <w:tcBorders>
              <w:top w:val="single" w:color="auto" w:sz="4" w:space="0"/>
              <w:left w:val="single" w:color="auto" w:sz="4" w:space="0"/>
              <w:bottom w:val="single" w:color="auto" w:sz="4" w:space="0"/>
              <w:right w:val="single" w:color="auto" w:sz="4" w:space="0"/>
            </w:tcBorders>
            <w:noWrap w:val="0"/>
            <w:vAlign w:val="top"/>
          </w:tcPr>
          <w:p w14:paraId="04B308AC">
            <w:pPr>
              <w:spacing w:line="360" w:lineRule="auto"/>
              <w:rPr>
                <w:rFonts w:hint="eastAsia" w:ascii="宋体" w:hAnsi="宋体" w:eastAsia="宋体" w:cs="宋体"/>
                <w:color w:val="auto"/>
                <w:sz w:val="24"/>
                <w:highlight w:val="none"/>
              </w:rPr>
            </w:pPr>
          </w:p>
        </w:tc>
        <w:tc>
          <w:tcPr>
            <w:tcW w:w="552" w:type="dxa"/>
            <w:tcBorders>
              <w:top w:val="single" w:color="auto" w:sz="4" w:space="0"/>
              <w:left w:val="single" w:color="auto" w:sz="4" w:space="0"/>
              <w:bottom w:val="single" w:color="auto" w:sz="4" w:space="0"/>
              <w:right w:val="single" w:color="auto" w:sz="4" w:space="0"/>
            </w:tcBorders>
            <w:noWrap w:val="0"/>
            <w:vAlign w:val="top"/>
          </w:tcPr>
          <w:p w14:paraId="0E544E68">
            <w:pPr>
              <w:spacing w:line="360" w:lineRule="auto"/>
              <w:rPr>
                <w:rFonts w:hint="eastAsia" w:ascii="宋体" w:hAnsi="宋体" w:eastAsia="宋体" w:cs="宋体"/>
                <w:color w:val="auto"/>
                <w:sz w:val="24"/>
                <w:highlight w:val="none"/>
              </w:rPr>
            </w:pPr>
          </w:p>
        </w:tc>
        <w:tc>
          <w:tcPr>
            <w:tcW w:w="552" w:type="dxa"/>
            <w:tcBorders>
              <w:top w:val="single" w:color="auto" w:sz="4" w:space="0"/>
              <w:left w:val="single" w:color="auto" w:sz="4" w:space="0"/>
              <w:bottom w:val="single" w:color="auto" w:sz="4" w:space="0"/>
              <w:right w:val="single" w:color="auto" w:sz="4" w:space="0"/>
            </w:tcBorders>
            <w:noWrap w:val="0"/>
            <w:vAlign w:val="top"/>
          </w:tcPr>
          <w:p w14:paraId="56D6D904">
            <w:pPr>
              <w:spacing w:line="360" w:lineRule="auto"/>
              <w:rPr>
                <w:rFonts w:hint="eastAsia" w:ascii="宋体" w:hAnsi="宋体" w:eastAsia="宋体" w:cs="宋体"/>
                <w:color w:val="auto"/>
                <w:sz w:val="24"/>
                <w:highlight w:val="none"/>
              </w:rPr>
            </w:pPr>
          </w:p>
        </w:tc>
        <w:tc>
          <w:tcPr>
            <w:tcW w:w="552" w:type="dxa"/>
            <w:tcBorders>
              <w:top w:val="single" w:color="auto" w:sz="4" w:space="0"/>
              <w:left w:val="single" w:color="auto" w:sz="4" w:space="0"/>
              <w:bottom w:val="single" w:color="auto" w:sz="4" w:space="0"/>
              <w:right w:val="single" w:color="auto" w:sz="4" w:space="0"/>
            </w:tcBorders>
            <w:noWrap w:val="0"/>
            <w:vAlign w:val="top"/>
          </w:tcPr>
          <w:p w14:paraId="6D6CC5E0">
            <w:pPr>
              <w:spacing w:line="360" w:lineRule="auto"/>
              <w:rPr>
                <w:rFonts w:hint="eastAsia" w:ascii="宋体" w:hAnsi="宋体" w:eastAsia="宋体" w:cs="宋体"/>
                <w:color w:val="auto"/>
                <w:sz w:val="24"/>
                <w:highlight w:val="none"/>
              </w:rPr>
            </w:pPr>
          </w:p>
        </w:tc>
        <w:tc>
          <w:tcPr>
            <w:tcW w:w="552" w:type="dxa"/>
            <w:tcBorders>
              <w:top w:val="single" w:color="auto" w:sz="4" w:space="0"/>
              <w:left w:val="single" w:color="auto" w:sz="4" w:space="0"/>
              <w:bottom w:val="single" w:color="auto" w:sz="4" w:space="0"/>
              <w:right w:val="single" w:color="auto" w:sz="4" w:space="0"/>
            </w:tcBorders>
            <w:noWrap w:val="0"/>
            <w:vAlign w:val="top"/>
          </w:tcPr>
          <w:p w14:paraId="7B3E7524">
            <w:pPr>
              <w:spacing w:line="360" w:lineRule="auto"/>
              <w:rPr>
                <w:rFonts w:hint="eastAsia" w:ascii="宋体" w:hAnsi="宋体" w:eastAsia="宋体" w:cs="宋体"/>
                <w:color w:val="auto"/>
                <w:sz w:val="24"/>
                <w:highlight w:val="none"/>
              </w:rPr>
            </w:pPr>
          </w:p>
        </w:tc>
        <w:tc>
          <w:tcPr>
            <w:tcW w:w="553" w:type="dxa"/>
            <w:tcBorders>
              <w:top w:val="single" w:color="auto" w:sz="4" w:space="0"/>
              <w:left w:val="single" w:color="auto" w:sz="4" w:space="0"/>
              <w:bottom w:val="single" w:color="auto" w:sz="4" w:space="0"/>
              <w:right w:val="single" w:color="auto" w:sz="4" w:space="0"/>
            </w:tcBorders>
            <w:noWrap w:val="0"/>
            <w:vAlign w:val="top"/>
          </w:tcPr>
          <w:p w14:paraId="181313ED">
            <w:pPr>
              <w:spacing w:line="360" w:lineRule="auto"/>
              <w:rPr>
                <w:rFonts w:hint="eastAsia" w:ascii="宋体" w:hAnsi="宋体" w:eastAsia="宋体" w:cs="宋体"/>
                <w:color w:val="auto"/>
                <w:sz w:val="24"/>
                <w:highlight w:val="none"/>
              </w:rPr>
            </w:pPr>
          </w:p>
        </w:tc>
        <w:tc>
          <w:tcPr>
            <w:tcW w:w="553" w:type="dxa"/>
            <w:tcBorders>
              <w:top w:val="single" w:color="auto" w:sz="4" w:space="0"/>
              <w:left w:val="single" w:color="auto" w:sz="4" w:space="0"/>
              <w:bottom w:val="single" w:color="auto" w:sz="4" w:space="0"/>
              <w:right w:val="single" w:color="auto" w:sz="4" w:space="0"/>
            </w:tcBorders>
            <w:noWrap w:val="0"/>
            <w:vAlign w:val="top"/>
          </w:tcPr>
          <w:p w14:paraId="7D464160">
            <w:pPr>
              <w:spacing w:line="360" w:lineRule="auto"/>
              <w:rPr>
                <w:rFonts w:hint="eastAsia" w:ascii="宋体" w:hAnsi="宋体" w:eastAsia="宋体" w:cs="宋体"/>
                <w:color w:val="auto"/>
                <w:sz w:val="24"/>
                <w:highlight w:val="none"/>
              </w:rPr>
            </w:pPr>
          </w:p>
        </w:tc>
        <w:tc>
          <w:tcPr>
            <w:tcW w:w="553" w:type="dxa"/>
            <w:tcBorders>
              <w:top w:val="single" w:color="auto" w:sz="4" w:space="0"/>
              <w:left w:val="single" w:color="auto" w:sz="4" w:space="0"/>
              <w:bottom w:val="single" w:color="auto" w:sz="4" w:space="0"/>
              <w:right w:val="single" w:color="auto" w:sz="4" w:space="0"/>
            </w:tcBorders>
            <w:noWrap w:val="0"/>
            <w:vAlign w:val="top"/>
          </w:tcPr>
          <w:p w14:paraId="3E8B2E4C">
            <w:pPr>
              <w:spacing w:line="360" w:lineRule="auto"/>
              <w:rPr>
                <w:rFonts w:hint="eastAsia" w:ascii="宋体" w:hAnsi="宋体" w:eastAsia="宋体" w:cs="宋体"/>
                <w:color w:val="auto"/>
                <w:sz w:val="24"/>
                <w:highlight w:val="none"/>
              </w:rPr>
            </w:pPr>
          </w:p>
        </w:tc>
        <w:tc>
          <w:tcPr>
            <w:tcW w:w="553" w:type="dxa"/>
            <w:tcBorders>
              <w:top w:val="single" w:color="auto" w:sz="4" w:space="0"/>
              <w:left w:val="single" w:color="auto" w:sz="4" w:space="0"/>
              <w:bottom w:val="single" w:color="auto" w:sz="4" w:space="0"/>
              <w:right w:val="single" w:color="auto" w:sz="4" w:space="0"/>
            </w:tcBorders>
            <w:noWrap w:val="0"/>
            <w:vAlign w:val="top"/>
          </w:tcPr>
          <w:p w14:paraId="27B2940F">
            <w:pPr>
              <w:spacing w:line="360" w:lineRule="auto"/>
              <w:rPr>
                <w:rFonts w:hint="eastAsia" w:ascii="宋体" w:hAnsi="宋体" w:eastAsia="宋体" w:cs="宋体"/>
                <w:color w:val="auto"/>
                <w:sz w:val="24"/>
                <w:highlight w:val="none"/>
              </w:rPr>
            </w:pPr>
          </w:p>
        </w:tc>
        <w:tc>
          <w:tcPr>
            <w:tcW w:w="553" w:type="dxa"/>
            <w:tcBorders>
              <w:top w:val="single" w:color="auto" w:sz="4" w:space="0"/>
              <w:left w:val="single" w:color="auto" w:sz="4" w:space="0"/>
              <w:bottom w:val="single" w:color="auto" w:sz="4" w:space="0"/>
              <w:right w:val="single" w:color="auto" w:sz="4" w:space="0"/>
            </w:tcBorders>
            <w:noWrap w:val="0"/>
            <w:vAlign w:val="top"/>
          </w:tcPr>
          <w:p w14:paraId="2B63D718">
            <w:pPr>
              <w:spacing w:line="360" w:lineRule="auto"/>
              <w:rPr>
                <w:rFonts w:hint="eastAsia" w:ascii="宋体" w:hAnsi="宋体" w:eastAsia="宋体" w:cs="宋体"/>
                <w:color w:val="auto"/>
                <w:sz w:val="24"/>
                <w:highlight w:val="none"/>
              </w:rPr>
            </w:pPr>
          </w:p>
        </w:tc>
        <w:tc>
          <w:tcPr>
            <w:tcW w:w="553" w:type="dxa"/>
            <w:tcBorders>
              <w:top w:val="single" w:color="auto" w:sz="4" w:space="0"/>
              <w:left w:val="single" w:color="auto" w:sz="4" w:space="0"/>
              <w:bottom w:val="single" w:color="auto" w:sz="4" w:space="0"/>
              <w:right w:val="single" w:color="auto" w:sz="4" w:space="0"/>
            </w:tcBorders>
            <w:noWrap w:val="0"/>
            <w:vAlign w:val="top"/>
          </w:tcPr>
          <w:p w14:paraId="4E5E2D61">
            <w:pPr>
              <w:spacing w:line="360" w:lineRule="auto"/>
              <w:rPr>
                <w:rFonts w:hint="eastAsia" w:ascii="宋体" w:hAnsi="宋体" w:eastAsia="宋体" w:cs="宋体"/>
                <w:color w:val="auto"/>
                <w:sz w:val="24"/>
                <w:highlight w:val="none"/>
              </w:rPr>
            </w:pPr>
          </w:p>
        </w:tc>
        <w:tc>
          <w:tcPr>
            <w:tcW w:w="553" w:type="dxa"/>
            <w:tcBorders>
              <w:top w:val="single" w:color="auto" w:sz="4" w:space="0"/>
              <w:left w:val="single" w:color="auto" w:sz="4" w:space="0"/>
              <w:bottom w:val="single" w:color="auto" w:sz="4" w:space="0"/>
              <w:right w:val="single" w:color="auto" w:sz="4" w:space="0"/>
            </w:tcBorders>
            <w:noWrap w:val="0"/>
            <w:vAlign w:val="top"/>
          </w:tcPr>
          <w:p w14:paraId="434C005C">
            <w:pPr>
              <w:spacing w:line="360" w:lineRule="auto"/>
              <w:rPr>
                <w:rFonts w:hint="eastAsia" w:ascii="宋体" w:hAnsi="宋体" w:eastAsia="宋体" w:cs="宋体"/>
                <w:color w:val="auto"/>
                <w:sz w:val="24"/>
                <w:highlight w:val="none"/>
              </w:rPr>
            </w:pPr>
          </w:p>
        </w:tc>
        <w:tc>
          <w:tcPr>
            <w:tcW w:w="553" w:type="dxa"/>
            <w:tcBorders>
              <w:top w:val="single" w:color="auto" w:sz="4" w:space="0"/>
              <w:left w:val="single" w:color="auto" w:sz="4" w:space="0"/>
              <w:bottom w:val="single" w:color="auto" w:sz="4" w:space="0"/>
              <w:right w:val="single" w:color="auto" w:sz="4" w:space="0"/>
            </w:tcBorders>
            <w:noWrap w:val="0"/>
            <w:vAlign w:val="top"/>
          </w:tcPr>
          <w:p w14:paraId="332EDEB6">
            <w:pPr>
              <w:spacing w:line="360" w:lineRule="auto"/>
              <w:rPr>
                <w:rFonts w:hint="eastAsia" w:ascii="宋体" w:hAnsi="宋体" w:eastAsia="宋体" w:cs="宋体"/>
                <w:color w:val="auto"/>
                <w:sz w:val="24"/>
                <w:highlight w:val="none"/>
              </w:rPr>
            </w:pPr>
          </w:p>
        </w:tc>
        <w:tc>
          <w:tcPr>
            <w:tcW w:w="553" w:type="dxa"/>
            <w:tcBorders>
              <w:top w:val="single" w:color="auto" w:sz="4" w:space="0"/>
              <w:left w:val="single" w:color="auto" w:sz="4" w:space="0"/>
              <w:bottom w:val="single" w:color="auto" w:sz="4" w:space="0"/>
              <w:right w:val="single" w:color="auto" w:sz="4" w:space="0"/>
            </w:tcBorders>
            <w:noWrap w:val="0"/>
            <w:vAlign w:val="top"/>
          </w:tcPr>
          <w:p w14:paraId="45CB1AA0">
            <w:pPr>
              <w:spacing w:line="360" w:lineRule="auto"/>
              <w:rPr>
                <w:rFonts w:hint="eastAsia" w:ascii="宋体" w:hAnsi="宋体" w:eastAsia="宋体" w:cs="宋体"/>
                <w:color w:val="auto"/>
                <w:sz w:val="24"/>
                <w:highlight w:val="none"/>
              </w:rPr>
            </w:pPr>
          </w:p>
        </w:tc>
        <w:tc>
          <w:tcPr>
            <w:tcW w:w="553" w:type="dxa"/>
            <w:tcBorders>
              <w:top w:val="single" w:color="auto" w:sz="4" w:space="0"/>
              <w:left w:val="single" w:color="auto" w:sz="4" w:space="0"/>
              <w:bottom w:val="single" w:color="auto" w:sz="4" w:space="0"/>
              <w:right w:val="single" w:color="auto" w:sz="4" w:space="0"/>
            </w:tcBorders>
            <w:noWrap w:val="0"/>
            <w:vAlign w:val="top"/>
          </w:tcPr>
          <w:p w14:paraId="080B92E5">
            <w:pPr>
              <w:spacing w:line="360" w:lineRule="auto"/>
              <w:rPr>
                <w:rFonts w:hint="eastAsia" w:ascii="宋体" w:hAnsi="宋体" w:eastAsia="宋体" w:cs="宋体"/>
                <w:color w:val="auto"/>
                <w:sz w:val="24"/>
                <w:highlight w:val="none"/>
              </w:rPr>
            </w:pPr>
          </w:p>
        </w:tc>
      </w:tr>
    </w:tbl>
    <w:p w14:paraId="186A5192">
      <w:pPr>
        <w:autoSpaceDE w:val="0"/>
        <w:autoSpaceDN w:val="0"/>
        <w:spacing w:line="360" w:lineRule="auto"/>
        <w:rPr>
          <w:rFonts w:hint="eastAsia" w:ascii="宋体" w:hAnsi="宋体" w:eastAsia="宋体" w:cs="宋体"/>
          <w:color w:val="auto"/>
          <w:kern w:val="0"/>
          <w:sz w:val="24"/>
          <w:highlight w:val="none"/>
        </w:rPr>
      </w:pPr>
      <w:r>
        <w:rPr>
          <w:rFonts w:hint="eastAsia" w:ascii="宋体" w:hAnsi="宋体" w:eastAsia="宋体" w:cs="宋体"/>
          <w:b/>
          <w:color w:val="auto"/>
          <w:sz w:val="24"/>
          <w:highlight w:val="none"/>
        </w:rPr>
        <w:t>注：投标人可按上述时间表的格式自行编制切合实际的具体时间表。</w:t>
      </w:r>
    </w:p>
    <w:p w14:paraId="0198E9A5">
      <w:pPr>
        <w:autoSpaceDE w:val="0"/>
        <w:autoSpaceDN w:val="0"/>
        <w:spacing w:line="360" w:lineRule="auto"/>
        <w:ind w:firstLine="4440" w:firstLineChars="1850"/>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投标人名称（电子签章）：</w:t>
      </w:r>
    </w:p>
    <w:p w14:paraId="51C863B9">
      <w:pPr>
        <w:autoSpaceDE w:val="0"/>
        <w:autoSpaceDN w:val="0"/>
        <w:spacing w:line="360" w:lineRule="auto"/>
        <w:rPr>
          <w:rFonts w:hint="eastAsia" w:ascii="宋体" w:hAnsi="宋体" w:eastAsia="宋体" w:cs="宋体"/>
          <w:b/>
          <w:bCs/>
          <w:color w:val="auto"/>
          <w:sz w:val="32"/>
          <w:szCs w:val="32"/>
          <w:highlight w:val="none"/>
        </w:rPr>
      </w:pPr>
      <w:r>
        <w:rPr>
          <w:rFonts w:hint="eastAsia" w:ascii="宋体" w:hAnsi="宋体" w:eastAsia="宋体" w:cs="宋体"/>
          <w:color w:val="auto"/>
          <w:kern w:val="0"/>
          <w:sz w:val="24"/>
          <w:highlight w:val="none"/>
          <w:lang w:val="zh-CN"/>
        </w:rPr>
        <w:t>日期：年月日</w:t>
      </w:r>
    </w:p>
    <w:p w14:paraId="46F49C15">
      <w:pPr>
        <w:snapToGrid w:val="0"/>
        <w:spacing w:line="360" w:lineRule="auto"/>
        <w:ind w:firstLine="4935" w:firstLineChars="2350"/>
        <w:rPr>
          <w:rFonts w:hint="eastAsia" w:ascii="宋体" w:hAnsi="宋体" w:eastAsia="宋体" w:cs="宋体"/>
          <w:color w:val="auto"/>
          <w:szCs w:val="21"/>
          <w:highlight w:val="none"/>
          <w:lang w:eastAsia="zh-CN"/>
        </w:rPr>
      </w:pPr>
    </w:p>
    <w:p w14:paraId="7FFFD4E8">
      <w:pPr>
        <w:snapToGrid w:val="0"/>
        <w:spacing w:before="165" w:beforeLines="50" w:after="50"/>
        <w:jc w:val="center"/>
        <w:rPr>
          <w:rFonts w:hint="eastAsia" w:ascii="宋体" w:hAnsi="宋体" w:eastAsia="宋体" w:cs="宋体"/>
          <w:b/>
          <w:bCs/>
          <w:color w:val="auto"/>
          <w:sz w:val="30"/>
          <w:szCs w:val="30"/>
          <w:highlight w:val="none"/>
        </w:rPr>
      </w:pPr>
      <w:r>
        <w:rPr>
          <w:rFonts w:hint="eastAsia" w:ascii="宋体" w:hAnsi="宋体" w:eastAsia="宋体" w:cs="宋体"/>
          <w:b/>
          <w:bCs/>
          <w:color w:val="auto"/>
          <w:sz w:val="30"/>
          <w:szCs w:val="30"/>
          <w:highlight w:val="none"/>
        </w:rPr>
        <w:t>三、</w:t>
      </w:r>
      <w:r>
        <w:rPr>
          <w:rFonts w:hint="eastAsia" w:ascii="宋体" w:hAnsi="宋体" w:eastAsia="宋体" w:cs="宋体"/>
          <w:b/>
          <w:bCs/>
          <w:color w:val="auto"/>
          <w:sz w:val="30"/>
          <w:szCs w:val="30"/>
          <w:highlight w:val="none"/>
          <w:lang w:val="en-US" w:eastAsia="zh-CN"/>
        </w:rPr>
        <w:t>售后</w:t>
      </w:r>
      <w:r>
        <w:rPr>
          <w:rFonts w:hint="eastAsia" w:ascii="宋体" w:hAnsi="宋体" w:eastAsia="宋体" w:cs="宋体"/>
          <w:b/>
          <w:bCs/>
          <w:color w:val="auto"/>
          <w:sz w:val="30"/>
          <w:szCs w:val="30"/>
          <w:highlight w:val="none"/>
        </w:rPr>
        <w:t>服务方案</w:t>
      </w:r>
    </w:p>
    <w:p w14:paraId="4683DD8C">
      <w:pPr>
        <w:autoSpaceDE w:val="0"/>
        <w:autoSpaceDN w:val="0"/>
        <w:spacing w:line="360" w:lineRule="auto"/>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（由投标人根据采购需求及招标文件要求编制）</w:t>
      </w:r>
    </w:p>
    <w:p w14:paraId="6E190009">
      <w:pPr>
        <w:snapToGrid w:val="0"/>
        <w:spacing w:before="165" w:beforeLines="50" w:after="50"/>
        <w:ind w:left="142"/>
        <w:jc w:val="center"/>
        <w:rPr>
          <w:rFonts w:hint="eastAsia" w:ascii="宋体" w:hAnsi="宋体" w:eastAsia="宋体" w:cs="宋体"/>
          <w:b/>
          <w:color w:val="auto"/>
          <w:sz w:val="32"/>
          <w:szCs w:val="32"/>
          <w:highlight w:val="none"/>
        </w:rPr>
      </w:pPr>
      <w:r>
        <w:rPr>
          <w:rFonts w:hint="eastAsia" w:ascii="宋体" w:hAnsi="宋体" w:eastAsia="宋体" w:cs="宋体"/>
          <w:b/>
          <w:color w:val="auto"/>
          <w:sz w:val="32"/>
          <w:szCs w:val="32"/>
          <w:highlight w:val="none"/>
        </w:rPr>
        <w:t>1、</w:t>
      </w:r>
      <w:r>
        <w:rPr>
          <w:rFonts w:hint="eastAsia" w:ascii="宋体" w:hAnsi="宋体" w:eastAsia="宋体" w:cs="宋体"/>
          <w:b/>
          <w:color w:val="auto"/>
          <w:sz w:val="32"/>
          <w:szCs w:val="32"/>
          <w:highlight w:val="none"/>
          <w:lang w:val="en-US" w:eastAsia="zh-CN"/>
        </w:rPr>
        <w:t>售后</w:t>
      </w:r>
      <w:r>
        <w:rPr>
          <w:rFonts w:hint="eastAsia" w:ascii="宋体" w:hAnsi="宋体" w:eastAsia="宋体" w:cs="宋体"/>
          <w:b/>
          <w:color w:val="auto"/>
          <w:sz w:val="32"/>
          <w:szCs w:val="32"/>
          <w:highlight w:val="none"/>
        </w:rPr>
        <w:t>服务承诺</w:t>
      </w:r>
    </w:p>
    <w:p w14:paraId="65517388">
      <w:pPr>
        <w:autoSpaceDE w:val="0"/>
        <w:autoSpaceDN w:val="0"/>
        <w:spacing w:line="360" w:lineRule="auto"/>
        <w:rPr>
          <w:rFonts w:hint="eastAsia" w:ascii="宋体" w:hAnsi="宋体" w:eastAsia="宋体" w:cs="宋体"/>
          <w:b/>
          <w:color w:val="auto"/>
          <w:sz w:val="24"/>
          <w:highlight w:val="none"/>
        </w:rPr>
      </w:pPr>
      <w:r>
        <w:rPr>
          <w:rFonts w:hint="eastAsia" w:ascii="宋体" w:hAnsi="宋体" w:eastAsia="宋体" w:cs="宋体"/>
          <w:b/>
          <w:color w:val="auto"/>
          <w:sz w:val="24"/>
          <w:highlight w:val="none"/>
        </w:rPr>
        <w:t>附表A:</w:t>
      </w:r>
      <w:r>
        <w:rPr>
          <w:rFonts w:hint="eastAsia" w:ascii="宋体" w:hAnsi="宋体" w:eastAsia="宋体" w:cs="宋体"/>
          <w:b/>
          <w:color w:val="auto"/>
          <w:sz w:val="24"/>
          <w:highlight w:val="none"/>
          <w:lang w:val="en-US" w:eastAsia="zh-CN"/>
        </w:rPr>
        <w:t>运维</w:t>
      </w:r>
      <w:r>
        <w:rPr>
          <w:rFonts w:hint="eastAsia" w:ascii="宋体" w:hAnsi="宋体" w:eastAsia="宋体" w:cs="宋体"/>
          <w:b/>
          <w:color w:val="auto"/>
          <w:sz w:val="24"/>
          <w:highlight w:val="none"/>
        </w:rPr>
        <w:t>服务机构情况表</w:t>
      </w:r>
      <w:r>
        <w:rPr>
          <w:rFonts w:hint="eastAsia" w:ascii="宋体" w:hAnsi="宋体" w:eastAsia="宋体" w:cs="宋体"/>
          <w:color w:val="auto"/>
          <w:sz w:val="24"/>
          <w:highlight w:val="none"/>
        </w:rPr>
        <w:t>（按此格式自制）</w:t>
      </w:r>
    </w:p>
    <w:tbl>
      <w:tblPr>
        <w:tblStyle w:val="35"/>
        <w:tblW w:w="0" w:type="auto"/>
        <w:tblInd w:w="11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8"/>
        <w:gridCol w:w="2340"/>
        <w:gridCol w:w="1095"/>
        <w:gridCol w:w="1245"/>
        <w:gridCol w:w="1980"/>
        <w:gridCol w:w="1260"/>
      </w:tblGrid>
      <w:tr w14:paraId="0C55BC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tcBorders>
              <w:top w:val="single" w:color="auto" w:sz="4" w:space="0"/>
              <w:left w:val="single" w:color="auto" w:sz="4" w:space="0"/>
              <w:bottom w:val="single" w:color="auto" w:sz="4" w:space="0"/>
              <w:right w:val="single" w:color="auto" w:sz="4" w:space="0"/>
            </w:tcBorders>
            <w:noWrap w:val="0"/>
            <w:vAlign w:val="top"/>
          </w:tcPr>
          <w:p w14:paraId="778304D8">
            <w:pPr>
              <w:autoSpaceDE w:val="0"/>
              <w:autoSpaceDN w:val="0"/>
              <w:spacing w:line="360" w:lineRule="auto"/>
              <w:jc w:val="center"/>
              <w:rPr>
                <w:rFonts w:hint="eastAsia" w:ascii="宋体" w:hAnsi="宋体" w:eastAsia="宋体" w:cs="宋体"/>
                <w:b/>
                <w:color w:val="auto"/>
                <w:sz w:val="24"/>
                <w:highlight w:val="none"/>
              </w:rPr>
            </w:pPr>
            <w:r>
              <w:rPr>
                <w:rFonts w:hint="eastAsia" w:ascii="宋体" w:hAnsi="宋体" w:eastAsia="宋体" w:cs="宋体"/>
                <w:b/>
                <w:color w:val="auto"/>
                <w:sz w:val="24"/>
                <w:highlight w:val="none"/>
              </w:rPr>
              <w:t>序号</w:t>
            </w:r>
          </w:p>
        </w:tc>
        <w:tc>
          <w:tcPr>
            <w:tcW w:w="2340" w:type="dxa"/>
            <w:tcBorders>
              <w:top w:val="single" w:color="auto" w:sz="4" w:space="0"/>
              <w:left w:val="single" w:color="auto" w:sz="4" w:space="0"/>
              <w:bottom w:val="single" w:color="auto" w:sz="4" w:space="0"/>
              <w:right w:val="single" w:color="auto" w:sz="4" w:space="0"/>
            </w:tcBorders>
            <w:noWrap w:val="0"/>
            <w:vAlign w:val="top"/>
          </w:tcPr>
          <w:p w14:paraId="19E01863">
            <w:pPr>
              <w:autoSpaceDE w:val="0"/>
              <w:autoSpaceDN w:val="0"/>
              <w:spacing w:line="360" w:lineRule="auto"/>
              <w:jc w:val="center"/>
              <w:rPr>
                <w:rFonts w:hint="eastAsia" w:ascii="宋体" w:hAnsi="宋体" w:eastAsia="宋体" w:cs="宋体"/>
                <w:b/>
                <w:color w:val="auto"/>
                <w:sz w:val="24"/>
                <w:highlight w:val="none"/>
              </w:rPr>
            </w:pPr>
            <w:r>
              <w:rPr>
                <w:rFonts w:hint="eastAsia" w:ascii="宋体" w:hAnsi="宋体" w:eastAsia="宋体" w:cs="宋体"/>
                <w:b/>
                <w:color w:val="auto"/>
                <w:sz w:val="24"/>
                <w:highlight w:val="none"/>
              </w:rPr>
              <w:t>机构名称</w:t>
            </w:r>
          </w:p>
        </w:tc>
        <w:tc>
          <w:tcPr>
            <w:tcW w:w="1095" w:type="dxa"/>
            <w:tcBorders>
              <w:top w:val="single" w:color="auto" w:sz="4" w:space="0"/>
              <w:left w:val="single" w:color="auto" w:sz="4" w:space="0"/>
              <w:bottom w:val="single" w:color="auto" w:sz="4" w:space="0"/>
              <w:right w:val="single" w:color="auto" w:sz="4" w:space="0"/>
            </w:tcBorders>
            <w:noWrap w:val="0"/>
            <w:vAlign w:val="top"/>
          </w:tcPr>
          <w:p w14:paraId="68755773">
            <w:pPr>
              <w:autoSpaceDE w:val="0"/>
              <w:autoSpaceDN w:val="0"/>
              <w:spacing w:line="360" w:lineRule="auto"/>
              <w:jc w:val="center"/>
              <w:rPr>
                <w:rFonts w:hint="eastAsia" w:ascii="宋体" w:hAnsi="宋体" w:eastAsia="宋体" w:cs="宋体"/>
                <w:b/>
                <w:color w:val="auto"/>
                <w:sz w:val="24"/>
                <w:highlight w:val="none"/>
              </w:rPr>
            </w:pPr>
            <w:r>
              <w:rPr>
                <w:rFonts w:hint="eastAsia" w:ascii="宋体" w:hAnsi="宋体" w:eastAsia="宋体" w:cs="宋体"/>
                <w:b/>
                <w:color w:val="auto"/>
                <w:sz w:val="24"/>
                <w:highlight w:val="none"/>
              </w:rPr>
              <w:t>机构性质</w:t>
            </w:r>
          </w:p>
        </w:tc>
        <w:tc>
          <w:tcPr>
            <w:tcW w:w="1245" w:type="dxa"/>
            <w:tcBorders>
              <w:top w:val="single" w:color="auto" w:sz="4" w:space="0"/>
              <w:left w:val="single" w:color="auto" w:sz="4" w:space="0"/>
              <w:bottom w:val="single" w:color="auto" w:sz="4" w:space="0"/>
              <w:right w:val="single" w:color="auto" w:sz="4" w:space="0"/>
            </w:tcBorders>
            <w:noWrap w:val="0"/>
            <w:vAlign w:val="top"/>
          </w:tcPr>
          <w:p w14:paraId="3AD6D6E4">
            <w:pPr>
              <w:autoSpaceDE w:val="0"/>
              <w:autoSpaceDN w:val="0"/>
              <w:spacing w:line="360" w:lineRule="auto"/>
              <w:jc w:val="center"/>
              <w:rPr>
                <w:rFonts w:hint="eastAsia" w:ascii="宋体" w:hAnsi="宋体" w:eastAsia="宋体" w:cs="宋体"/>
                <w:b/>
                <w:color w:val="auto"/>
                <w:sz w:val="24"/>
                <w:highlight w:val="none"/>
              </w:rPr>
            </w:pPr>
            <w:r>
              <w:rPr>
                <w:rFonts w:hint="eastAsia" w:ascii="宋体" w:hAnsi="宋体" w:eastAsia="宋体" w:cs="宋体"/>
                <w:b/>
                <w:color w:val="auto"/>
                <w:sz w:val="24"/>
                <w:highlight w:val="none"/>
              </w:rPr>
              <w:t>注册地址</w:t>
            </w:r>
          </w:p>
        </w:tc>
        <w:tc>
          <w:tcPr>
            <w:tcW w:w="1980" w:type="dxa"/>
            <w:tcBorders>
              <w:top w:val="single" w:color="auto" w:sz="4" w:space="0"/>
              <w:left w:val="single" w:color="auto" w:sz="4" w:space="0"/>
              <w:bottom w:val="single" w:color="auto" w:sz="4" w:space="0"/>
              <w:right w:val="single" w:color="auto" w:sz="4" w:space="0"/>
            </w:tcBorders>
            <w:noWrap w:val="0"/>
            <w:vAlign w:val="top"/>
          </w:tcPr>
          <w:p w14:paraId="07C6896B">
            <w:pPr>
              <w:autoSpaceDE w:val="0"/>
              <w:autoSpaceDN w:val="0"/>
              <w:spacing w:line="360" w:lineRule="auto"/>
              <w:jc w:val="center"/>
              <w:rPr>
                <w:rFonts w:hint="eastAsia" w:ascii="宋体" w:hAnsi="宋体" w:eastAsia="宋体" w:cs="宋体"/>
                <w:b/>
                <w:color w:val="auto"/>
                <w:sz w:val="24"/>
                <w:highlight w:val="none"/>
              </w:rPr>
            </w:pPr>
            <w:r>
              <w:rPr>
                <w:rFonts w:hint="eastAsia" w:ascii="宋体" w:hAnsi="宋体" w:eastAsia="宋体" w:cs="宋体"/>
                <w:b/>
                <w:color w:val="auto"/>
                <w:sz w:val="24"/>
                <w:highlight w:val="none"/>
              </w:rPr>
              <w:t>服务技术人员数量</w:t>
            </w:r>
          </w:p>
        </w:tc>
        <w:tc>
          <w:tcPr>
            <w:tcW w:w="1260" w:type="dxa"/>
            <w:tcBorders>
              <w:top w:val="single" w:color="auto" w:sz="4" w:space="0"/>
              <w:left w:val="single" w:color="auto" w:sz="4" w:space="0"/>
              <w:bottom w:val="single" w:color="auto" w:sz="4" w:space="0"/>
              <w:right w:val="single" w:color="auto" w:sz="4" w:space="0"/>
            </w:tcBorders>
            <w:noWrap w:val="0"/>
            <w:vAlign w:val="top"/>
          </w:tcPr>
          <w:p w14:paraId="3E8D9297">
            <w:pPr>
              <w:autoSpaceDE w:val="0"/>
              <w:autoSpaceDN w:val="0"/>
              <w:spacing w:line="360" w:lineRule="auto"/>
              <w:jc w:val="center"/>
              <w:rPr>
                <w:rFonts w:hint="eastAsia" w:ascii="宋体" w:hAnsi="宋体" w:eastAsia="宋体" w:cs="宋体"/>
                <w:b/>
                <w:color w:val="auto"/>
                <w:sz w:val="24"/>
                <w:highlight w:val="none"/>
              </w:rPr>
            </w:pPr>
            <w:r>
              <w:rPr>
                <w:rFonts w:hint="eastAsia" w:ascii="宋体" w:hAnsi="宋体" w:eastAsia="宋体" w:cs="宋体"/>
                <w:b/>
                <w:color w:val="auto"/>
                <w:sz w:val="24"/>
                <w:highlight w:val="none"/>
              </w:rPr>
              <w:t>联系电话</w:t>
            </w:r>
          </w:p>
        </w:tc>
      </w:tr>
      <w:tr w14:paraId="507498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tcBorders>
              <w:top w:val="single" w:color="auto" w:sz="4" w:space="0"/>
              <w:left w:val="single" w:color="auto" w:sz="4" w:space="0"/>
              <w:bottom w:val="single" w:color="auto" w:sz="4" w:space="0"/>
              <w:right w:val="single" w:color="auto" w:sz="4" w:space="0"/>
            </w:tcBorders>
            <w:noWrap w:val="0"/>
            <w:vAlign w:val="top"/>
          </w:tcPr>
          <w:p w14:paraId="0595606E">
            <w:pPr>
              <w:autoSpaceDE w:val="0"/>
              <w:autoSpaceDN w:val="0"/>
              <w:spacing w:line="360" w:lineRule="auto"/>
              <w:jc w:val="center"/>
              <w:rPr>
                <w:rFonts w:hint="eastAsia" w:ascii="宋体" w:hAnsi="宋体" w:eastAsia="宋体" w:cs="宋体"/>
                <w:color w:val="auto"/>
                <w:sz w:val="24"/>
                <w:highlight w:val="none"/>
              </w:rPr>
            </w:pPr>
          </w:p>
        </w:tc>
        <w:tc>
          <w:tcPr>
            <w:tcW w:w="2340" w:type="dxa"/>
            <w:tcBorders>
              <w:top w:val="single" w:color="auto" w:sz="4" w:space="0"/>
              <w:left w:val="single" w:color="auto" w:sz="4" w:space="0"/>
              <w:bottom w:val="single" w:color="auto" w:sz="4" w:space="0"/>
              <w:right w:val="single" w:color="auto" w:sz="4" w:space="0"/>
            </w:tcBorders>
            <w:noWrap w:val="0"/>
            <w:vAlign w:val="top"/>
          </w:tcPr>
          <w:p w14:paraId="5FD4CCAA">
            <w:pPr>
              <w:autoSpaceDE w:val="0"/>
              <w:autoSpaceDN w:val="0"/>
              <w:spacing w:line="360" w:lineRule="auto"/>
              <w:jc w:val="center"/>
              <w:rPr>
                <w:rFonts w:hint="eastAsia" w:ascii="宋体" w:hAnsi="宋体" w:eastAsia="宋体" w:cs="宋体"/>
                <w:color w:val="auto"/>
                <w:sz w:val="24"/>
                <w:highlight w:val="none"/>
              </w:rPr>
            </w:pPr>
          </w:p>
        </w:tc>
        <w:tc>
          <w:tcPr>
            <w:tcW w:w="1095" w:type="dxa"/>
            <w:tcBorders>
              <w:top w:val="single" w:color="auto" w:sz="4" w:space="0"/>
              <w:left w:val="single" w:color="auto" w:sz="4" w:space="0"/>
              <w:bottom w:val="single" w:color="auto" w:sz="4" w:space="0"/>
              <w:right w:val="single" w:color="auto" w:sz="4" w:space="0"/>
            </w:tcBorders>
            <w:noWrap w:val="0"/>
            <w:vAlign w:val="top"/>
          </w:tcPr>
          <w:p w14:paraId="7AE5FAC2">
            <w:pPr>
              <w:autoSpaceDE w:val="0"/>
              <w:autoSpaceDN w:val="0"/>
              <w:spacing w:line="360" w:lineRule="auto"/>
              <w:jc w:val="center"/>
              <w:rPr>
                <w:rFonts w:hint="eastAsia" w:ascii="宋体" w:hAnsi="宋体" w:eastAsia="宋体" w:cs="宋体"/>
                <w:color w:val="auto"/>
                <w:sz w:val="24"/>
                <w:highlight w:val="none"/>
              </w:rPr>
            </w:pPr>
          </w:p>
        </w:tc>
        <w:tc>
          <w:tcPr>
            <w:tcW w:w="1245" w:type="dxa"/>
            <w:tcBorders>
              <w:top w:val="single" w:color="auto" w:sz="4" w:space="0"/>
              <w:left w:val="single" w:color="auto" w:sz="4" w:space="0"/>
              <w:bottom w:val="single" w:color="auto" w:sz="4" w:space="0"/>
              <w:right w:val="single" w:color="auto" w:sz="4" w:space="0"/>
            </w:tcBorders>
            <w:noWrap w:val="0"/>
            <w:vAlign w:val="top"/>
          </w:tcPr>
          <w:p w14:paraId="611D3700">
            <w:pPr>
              <w:autoSpaceDE w:val="0"/>
              <w:autoSpaceDN w:val="0"/>
              <w:spacing w:line="360" w:lineRule="auto"/>
              <w:jc w:val="center"/>
              <w:rPr>
                <w:rFonts w:hint="eastAsia" w:ascii="宋体" w:hAnsi="宋体" w:eastAsia="宋体" w:cs="宋体"/>
                <w:color w:val="auto"/>
                <w:sz w:val="24"/>
                <w:highlight w:val="none"/>
              </w:rPr>
            </w:pPr>
          </w:p>
        </w:tc>
        <w:tc>
          <w:tcPr>
            <w:tcW w:w="1980" w:type="dxa"/>
            <w:tcBorders>
              <w:top w:val="single" w:color="auto" w:sz="4" w:space="0"/>
              <w:left w:val="single" w:color="auto" w:sz="4" w:space="0"/>
              <w:bottom w:val="single" w:color="auto" w:sz="4" w:space="0"/>
              <w:right w:val="single" w:color="auto" w:sz="4" w:space="0"/>
            </w:tcBorders>
            <w:noWrap w:val="0"/>
            <w:vAlign w:val="top"/>
          </w:tcPr>
          <w:p w14:paraId="7AE61FAB">
            <w:pPr>
              <w:autoSpaceDE w:val="0"/>
              <w:autoSpaceDN w:val="0"/>
              <w:spacing w:line="360" w:lineRule="auto"/>
              <w:jc w:val="center"/>
              <w:rPr>
                <w:rFonts w:hint="eastAsia" w:ascii="宋体" w:hAnsi="宋体" w:eastAsia="宋体" w:cs="宋体"/>
                <w:color w:val="auto"/>
                <w:sz w:val="24"/>
                <w:highlight w:val="none"/>
              </w:rPr>
            </w:pPr>
          </w:p>
        </w:tc>
        <w:tc>
          <w:tcPr>
            <w:tcW w:w="1260" w:type="dxa"/>
            <w:tcBorders>
              <w:top w:val="single" w:color="auto" w:sz="4" w:space="0"/>
              <w:left w:val="single" w:color="auto" w:sz="4" w:space="0"/>
              <w:bottom w:val="single" w:color="auto" w:sz="4" w:space="0"/>
              <w:right w:val="single" w:color="auto" w:sz="4" w:space="0"/>
            </w:tcBorders>
            <w:noWrap w:val="0"/>
            <w:vAlign w:val="top"/>
          </w:tcPr>
          <w:p w14:paraId="4D5B38F7">
            <w:pPr>
              <w:autoSpaceDE w:val="0"/>
              <w:autoSpaceDN w:val="0"/>
              <w:spacing w:line="360" w:lineRule="auto"/>
              <w:jc w:val="center"/>
              <w:rPr>
                <w:rFonts w:hint="eastAsia" w:ascii="宋体" w:hAnsi="宋体" w:eastAsia="宋体" w:cs="宋体"/>
                <w:color w:val="auto"/>
                <w:sz w:val="24"/>
                <w:highlight w:val="none"/>
              </w:rPr>
            </w:pPr>
          </w:p>
        </w:tc>
      </w:tr>
      <w:tr w14:paraId="2EDDD2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tcBorders>
              <w:top w:val="single" w:color="auto" w:sz="4" w:space="0"/>
              <w:left w:val="single" w:color="auto" w:sz="4" w:space="0"/>
              <w:bottom w:val="single" w:color="auto" w:sz="4" w:space="0"/>
              <w:right w:val="single" w:color="auto" w:sz="4" w:space="0"/>
            </w:tcBorders>
            <w:noWrap w:val="0"/>
            <w:vAlign w:val="top"/>
          </w:tcPr>
          <w:p w14:paraId="63A743CF">
            <w:pPr>
              <w:autoSpaceDE w:val="0"/>
              <w:autoSpaceDN w:val="0"/>
              <w:spacing w:line="360" w:lineRule="auto"/>
              <w:jc w:val="center"/>
              <w:rPr>
                <w:rFonts w:hint="eastAsia" w:ascii="宋体" w:hAnsi="宋体" w:eastAsia="宋体" w:cs="宋体"/>
                <w:color w:val="auto"/>
                <w:sz w:val="24"/>
                <w:highlight w:val="none"/>
              </w:rPr>
            </w:pPr>
          </w:p>
        </w:tc>
        <w:tc>
          <w:tcPr>
            <w:tcW w:w="2340" w:type="dxa"/>
            <w:tcBorders>
              <w:top w:val="single" w:color="auto" w:sz="4" w:space="0"/>
              <w:left w:val="single" w:color="auto" w:sz="4" w:space="0"/>
              <w:bottom w:val="single" w:color="auto" w:sz="4" w:space="0"/>
              <w:right w:val="single" w:color="auto" w:sz="4" w:space="0"/>
            </w:tcBorders>
            <w:noWrap w:val="0"/>
            <w:vAlign w:val="top"/>
          </w:tcPr>
          <w:p w14:paraId="7F56755C">
            <w:pPr>
              <w:autoSpaceDE w:val="0"/>
              <w:autoSpaceDN w:val="0"/>
              <w:spacing w:line="360" w:lineRule="auto"/>
              <w:jc w:val="center"/>
              <w:rPr>
                <w:rFonts w:hint="eastAsia" w:ascii="宋体" w:hAnsi="宋体" w:eastAsia="宋体" w:cs="宋体"/>
                <w:color w:val="auto"/>
                <w:sz w:val="24"/>
                <w:highlight w:val="none"/>
              </w:rPr>
            </w:pPr>
          </w:p>
        </w:tc>
        <w:tc>
          <w:tcPr>
            <w:tcW w:w="1095" w:type="dxa"/>
            <w:tcBorders>
              <w:top w:val="single" w:color="auto" w:sz="4" w:space="0"/>
              <w:left w:val="single" w:color="auto" w:sz="4" w:space="0"/>
              <w:bottom w:val="single" w:color="auto" w:sz="4" w:space="0"/>
              <w:right w:val="single" w:color="auto" w:sz="4" w:space="0"/>
            </w:tcBorders>
            <w:noWrap w:val="0"/>
            <w:vAlign w:val="top"/>
          </w:tcPr>
          <w:p w14:paraId="517E26C5">
            <w:pPr>
              <w:autoSpaceDE w:val="0"/>
              <w:autoSpaceDN w:val="0"/>
              <w:spacing w:line="360" w:lineRule="auto"/>
              <w:jc w:val="center"/>
              <w:rPr>
                <w:rFonts w:hint="eastAsia" w:ascii="宋体" w:hAnsi="宋体" w:eastAsia="宋体" w:cs="宋体"/>
                <w:color w:val="auto"/>
                <w:sz w:val="24"/>
                <w:highlight w:val="none"/>
              </w:rPr>
            </w:pPr>
          </w:p>
        </w:tc>
        <w:tc>
          <w:tcPr>
            <w:tcW w:w="1245" w:type="dxa"/>
            <w:tcBorders>
              <w:top w:val="single" w:color="auto" w:sz="4" w:space="0"/>
              <w:left w:val="single" w:color="auto" w:sz="4" w:space="0"/>
              <w:bottom w:val="single" w:color="auto" w:sz="4" w:space="0"/>
              <w:right w:val="single" w:color="auto" w:sz="4" w:space="0"/>
            </w:tcBorders>
            <w:noWrap w:val="0"/>
            <w:vAlign w:val="top"/>
          </w:tcPr>
          <w:p w14:paraId="3B6E4792">
            <w:pPr>
              <w:autoSpaceDE w:val="0"/>
              <w:autoSpaceDN w:val="0"/>
              <w:spacing w:line="360" w:lineRule="auto"/>
              <w:jc w:val="center"/>
              <w:rPr>
                <w:rFonts w:hint="eastAsia" w:ascii="宋体" w:hAnsi="宋体" w:eastAsia="宋体" w:cs="宋体"/>
                <w:color w:val="auto"/>
                <w:sz w:val="24"/>
                <w:highlight w:val="none"/>
              </w:rPr>
            </w:pPr>
          </w:p>
        </w:tc>
        <w:tc>
          <w:tcPr>
            <w:tcW w:w="1980" w:type="dxa"/>
            <w:tcBorders>
              <w:top w:val="single" w:color="auto" w:sz="4" w:space="0"/>
              <w:left w:val="single" w:color="auto" w:sz="4" w:space="0"/>
              <w:bottom w:val="single" w:color="auto" w:sz="4" w:space="0"/>
              <w:right w:val="single" w:color="auto" w:sz="4" w:space="0"/>
            </w:tcBorders>
            <w:noWrap w:val="0"/>
            <w:vAlign w:val="top"/>
          </w:tcPr>
          <w:p w14:paraId="6D47901B">
            <w:pPr>
              <w:autoSpaceDE w:val="0"/>
              <w:autoSpaceDN w:val="0"/>
              <w:spacing w:line="360" w:lineRule="auto"/>
              <w:jc w:val="center"/>
              <w:rPr>
                <w:rFonts w:hint="eastAsia" w:ascii="宋体" w:hAnsi="宋体" w:eastAsia="宋体" w:cs="宋体"/>
                <w:color w:val="auto"/>
                <w:sz w:val="24"/>
                <w:highlight w:val="none"/>
              </w:rPr>
            </w:pPr>
          </w:p>
        </w:tc>
        <w:tc>
          <w:tcPr>
            <w:tcW w:w="1260" w:type="dxa"/>
            <w:tcBorders>
              <w:top w:val="single" w:color="auto" w:sz="4" w:space="0"/>
              <w:left w:val="single" w:color="auto" w:sz="4" w:space="0"/>
              <w:bottom w:val="single" w:color="auto" w:sz="4" w:space="0"/>
              <w:right w:val="single" w:color="auto" w:sz="4" w:space="0"/>
            </w:tcBorders>
            <w:noWrap w:val="0"/>
            <w:vAlign w:val="top"/>
          </w:tcPr>
          <w:p w14:paraId="050DF70B">
            <w:pPr>
              <w:autoSpaceDE w:val="0"/>
              <w:autoSpaceDN w:val="0"/>
              <w:spacing w:line="360" w:lineRule="auto"/>
              <w:jc w:val="center"/>
              <w:rPr>
                <w:rFonts w:hint="eastAsia" w:ascii="宋体" w:hAnsi="宋体" w:eastAsia="宋体" w:cs="宋体"/>
                <w:color w:val="auto"/>
                <w:sz w:val="24"/>
                <w:highlight w:val="none"/>
              </w:rPr>
            </w:pPr>
          </w:p>
        </w:tc>
      </w:tr>
      <w:tr w14:paraId="361A92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tcBorders>
              <w:top w:val="single" w:color="auto" w:sz="4" w:space="0"/>
              <w:left w:val="single" w:color="auto" w:sz="4" w:space="0"/>
              <w:bottom w:val="single" w:color="auto" w:sz="4" w:space="0"/>
              <w:right w:val="single" w:color="auto" w:sz="4" w:space="0"/>
            </w:tcBorders>
            <w:noWrap w:val="0"/>
            <w:vAlign w:val="top"/>
          </w:tcPr>
          <w:p w14:paraId="3CBCF4A8">
            <w:pPr>
              <w:autoSpaceDE w:val="0"/>
              <w:autoSpaceDN w:val="0"/>
              <w:spacing w:line="360" w:lineRule="auto"/>
              <w:jc w:val="center"/>
              <w:rPr>
                <w:rFonts w:hint="eastAsia" w:ascii="宋体" w:hAnsi="宋体" w:eastAsia="宋体" w:cs="宋体"/>
                <w:color w:val="auto"/>
                <w:sz w:val="24"/>
                <w:highlight w:val="none"/>
              </w:rPr>
            </w:pPr>
          </w:p>
        </w:tc>
        <w:tc>
          <w:tcPr>
            <w:tcW w:w="2340" w:type="dxa"/>
            <w:tcBorders>
              <w:top w:val="single" w:color="auto" w:sz="4" w:space="0"/>
              <w:left w:val="single" w:color="auto" w:sz="4" w:space="0"/>
              <w:bottom w:val="single" w:color="auto" w:sz="4" w:space="0"/>
              <w:right w:val="single" w:color="auto" w:sz="4" w:space="0"/>
            </w:tcBorders>
            <w:noWrap w:val="0"/>
            <w:vAlign w:val="top"/>
          </w:tcPr>
          <w:p w14:paraId="4C11CC7F">
            <w:pPr>
              <w:autoSpaceDE w:val="0"/>
              <w:autoSpaceDN w:val="0"/>
              <w:spacing w:line="360" w:lineRule="auto"/>
              <w:jc w:val="center"/>
              <w:rPr>
                <w:rFonts w:hint="eastAsia" w:ascii="宋体" w:hAnsi="宋体" w:eastAsia="宋体" w:cs="宋体"/>
                <w:color w:val="auto"/>
                <w:sz w:val="24"/>
                <w:highlight w:val="none"/>
              </w:rPr>
            </w:pPr>
          </w:p>
        </w:tc>
        <w:tc>
          <w:tcPr>
            <w:tcW w:w="1095" w:type="dxa"/>
            <w:tcBorders>
              <w:top w:val="single" w:color="auto" w:sz="4" w:space="0"/>
              <w:left w:val="single" w:color="auto" w:sz="4" w:space="0"/>
              <w:bottom w:val="single" w:color="auto" w:sz="4" w:space="0"/>
              <w:right w:val="single" w:color="auto" w:sz="4" w:space="0"/>
            </w:tcBorders>
            <w:noWrap w:val="0"/>
            <w:vAlign w:val="top"/>
          </w:tcPr>
          <w:p w14:paraId="5AD60DA8">
            <w:pPr>
              <w:autoSpaceDE w:val="0"/>
              <w:autoSpaceDN w:val="0"/>
              <w:spacing w:line="360" w:lineRule="auto"/>
              <w:jc w:val="center"/>
              <w:rPr>
                <w:rFonts w:hint="eastAsia" w:ascii="宋体" w:hAnsi="宋体" w:eastAsia="宋体" w:cs="宋体"/>
                <w:color w:val="auto"/>
                <w:sz w:val="24"/>
                <w:highlight w:val="none"/>
              </w:rPr>
            </w:pPr>
          </w:p>
        </w:tc>
        <w:tc>
          <w:tcPr>
            <w:tcW w:w="1245" w:type="dxa"/>
            <w:tcBorders>
              <w:top w:val="single" w:color="auto" w:sz="4" w:space="0"/>
              <w:left w:val="single" w:color="auto" w:sz="4" w:space="0"/>
              <w:bottom w:val="single" w:color="auto" w:sz="4" w:space="0"/>
              <w:right w:val="single" w:color="auto" w:sz="4" w:space="0"/>
            </w:tcBorders>
            <w:noWrap w:val="0"/>
            <w:vAlign w:val="top"/>
          </w:tcPr>
          <w:p w14:paraId="6E198A7B">
            <w:pPr>
              <w:autoSpaceDE w:val="0"/>
              <w:autoSpaceDN w:val="0"/>
              <w:spacing w:line="360" w:lineRule="auto"/>
              <w:jc w:val="center"/>
              <w:rPr>
                <w:rFonts w:hint="eastAsia" w:ascii="宋体" w:hAnsi="宋体" w:eastAsia="宋体" w:cs="宋体"/>
                <w:color w:val="auto"/>
                <w:sz w:val="24"/>
                <w:highlight w:val="none"/>
              </w:rPr>
            </w:pPr>
          </w:p>
        </w:tc>
        <w:tc>
          <w:tcPr>
            <w:tcW w:w="1980" w:type="dxa"/>
            <w:tcBorders>
              <w:top w:val="single" w:color="auto" w:sz="4" w:space="0"/>
              <w:left w:val="single" w:color="auto" w:sz="4" w:space="0"/>
              <w:bottom w:val="single" w:color="auto" w:sz="4" w:space="0"/>
              <w:right w:val="single" w:color="auto" w:sz="4" w:space="0"/>
            </w:tcBorders>
            <w:noWrap w:val="0"/>
            <w:vAlign w:val="top"/>
          </w:tcPr>
          <w:p w14:paraId="4BDDB109">
            <w:pPr>
              <w:autoSpaceDE w:val="0"/>
              <w:autoSpaceDN w:val="0"/>
              <w:spacing w:line="360" w:lineRule="auto"/>
              <w:jc w:val="center"/>
              <w:rPr>
                <w:rFonts w:hint="eastAsia" w:ascii="宋体" w:hAnsi="宋体" w:eastAsia="宋体" w:cs="宋体"/>
                <w:color w:val="auto"/>
                <w:sz w:val="24"/>
                <w:highlight w:val="none"/>
              </w:rPr>
            </w:pPr>
          </w:p>
        </w:tc>
        <w:tc>
          <w:tcPr>
            <w:tcW w:w="1260" w:type="dxa"/>
            <w:tcBorders>
              <w:top w:val="single" w:color="auto" w:sz="4" w:space="0"/>
              <w:left w:val="single" w:color="auto" w:sz="4" w:space="0"/>
              <w:bottom w:val="single" w:color="auto" w:sz="4" w:space="0"/>
              <w:right w:val="single" w:color="auto" w:sz="4" w:space="0"/>
            </w:tcBorders>
            <w:noWrap w:val="0"/>
            <w:vAlign w:val="top"/>
          </w:tcPr>
          <w:p w14:paraId="51386360">
            <w:pPr>
              <w:autoSpaceDE w:val="0"/>
              <w:autoSpaceDN w:val="0"/>
              <w:spacing w:line="360" w:lineRule="auto"/>
              <w:jc w:val="center"/>
              <w:rPr>
                <w:rFonts w:hint="eastAsia" w:ascii="宋体" w:hAnsi="宋体" w:eastAsia="宋体" w:cs="宋体"/>
                <w:color w:val="auto"/>
                <w:sz w:val="24"/>
                <w:highlight w:val="none"/>
              </w:rPr>
            </w:pPr>
          </w:p>
        </w:tc>
      </w:tr>
    </w:tbl>
    <w:p w14:paraId="06813B49">
      <w:pPr>
        <w:autoSpaceDE w:val="0"/>
        <w:autoSpaceDN w:val="0"/>
        <w:spacing w:line="360" w:lineRule="auto"/>
        <w:rPr>
          <w:rFonts w:hint="eastAsia" w:ascii="宋体" w:hAnsi="宋体" w:eastAsia="宋体" w:cs="宋体"/>
          <w:b/>
          <w:color w:val="auto"/>
          <w:sz w:val="24"/>
          <w:highlight w:val="none"/>
        </w:rPr>
      </w:pPr>
      <w:r>
        <w:rPr>
          <w:rFonts w:hint="eastAsia" w:ascii="宋体" w:hAnsi="宋体" w:eastAsia="宋体" w:cs="宋体"/>
          <w:b/>
          <w:color w:val="auto"/>
          <w:sz w:val="24"/>
          <w:highlight w:val="none"/>
        </w:rPr>
        <w:t>注：关于项目涉及的所有</w:t>
      </w:r>
      <w:r>
        <w:rPr>
          <w:rFonts w:hint="eastAsia" w:ascii="宋体" w:hAnsi="宋体" w:eastAsia="宋体" w:cs="宋体"/>
          <w:b/>
          <w:color w:val="auto"/>
          <w:sz w:val="24"/>
          <w:highlight w:val="none"/>
          <w:lang w:val="en-US" w:eastAsia="zh-CN"/>
        </w:rPr>
        <w:t>运维</w:t>
      </w:r>
      <w:r>
        <w:rPr>
          <w:rFonts w:hint="eastAsia" w:ascii="宋体" w:hAnsi="宋体" w:eastAsia="宋体" w:cs="宋体"/>
          <w:b/>
          <w:color w:val="auto"/>
          <w:sz w:val="24"/>
          <w:highlight w:val="none"/>
        </w:rPr>
        <w:t>服务机构均在本表注明，包括投标人本单位和符合条件的第三方服务机构；</w:t>
      </w:r>
    </w:p>
    <w:p w14:paraId="2E44E0FE">
      <w:pPr>
        <w:autoSpaceDE w:val="0"/>
        <w:autoSpaceDN w:val="0"/>
        <w:spacing w:line="360" w:lineRule="auto"/>
        <w:rPr>
          <w:rFonts w:hint="eastAsia" w:ascii="宋体" w:hAnsi="宋体" w:eastAsia="宋体" w:cs="宋体"/>
          <w:color w:val="auto"/>
          <w:kern w:val="0"/>
          <w:sz w:val="24"/>
          <w:highlight w:val="none"/>
        </w:rPr>
      </w:pPr>
    </w:p>
    <w:p w14:paraId="2E4FD771">
      <w:pPr>
        <w:autoSpaceDE w:val="0"/>
        <w:autoSpaceDN w:val="0"/>
        <w:spacing w:line="360" w:lineRule="auto"/>
        <w:rPr>
          <w:rFonts w:hint="eastAsia" w:ascii="宋体" w:hAnsi="宋体" w:eastAsia="宋体" w:cs="宋体"/>
          <w:color w:val="auto"/>
          <w:kern w:val="0"/>
          <w:sz w:val="24"/>
          <w:highlight w:val="none"/>
        </w:rPr>
      </w:pPr>
      <w:r>
        <w:rPr>
          <w:rFonts w:hint="eastAsia" w:ascii="宋体" w:hAnsi="宋体" w:eastAsia="宋体" w:cs="宋体"/>
          <w:b/>
          <w:color w:val="auto"/>
          <w:kern w:val="0"/>
          <w:sz w:val="24"/>
          <w:highlight w:val="none"/>
        </w:rPr>
        <w:t>附表B：</w:t>
      </w:r>
      <w:r>
        <w:rPr>
          <w:rFonts w:hint="eastAsia" w:ascii="宋体" w:hAnsi="宋体" w:eastAsia="宋体" w:cs="宋体"/>
          <w:b/>
          <w:color w:val="auto"/>
          <w:kern w:val="0"/>
          <w:sz w:val="24"/>
          <w:highlight w:val="none"/>
          <w:lang w:val="en-US" w:eastAsia="zh-CN"/>
        </w:rPr>
        <w:t>运维</w:t>
      </w:r>
      <w:r>
        <w:rPr>
          <w:rFonts w:hint="eastAsia" w:ascii="宋体" w:hAnsi="宋体" w:eastAsia="宋体" w:cs="宋体"/>
          <w:b/>
          <w:color w:val="auto"/>
          <w:kern w:val="0"/>
          <w:sz w:val="24"/>
          <w:highlight w:val="none"/>
        </w:rPr>
        <w:t>服务人员情况表</w:t>
      </w:r>
      <w:r>
        <w:rPr>
          <w:rFonts w:hint="eastAsia" w:ascii="宋体" w:hAnsi="宋体" w:eastAsia="宋体" w:cs="宋体"/>
          <w:color w:val="auto"/>
          <w:sz w:val="24"/>
          <w:highlight w:val="none"/>
        </w:rPr>
        <w:t>（按此格式自制）</w:t>
      </w:r>
    </w:p>
    <w:tbl>
      <w:tblPr>
        <w:tblStyle w:val="35"/>
        <w:tblW w:w="0" w:type="auto"/>
        <w:jc w:val="center"/>
        <w:tblLayout w:type="fixed"/>
        <w:tblCellMar>
          <w:top w:w="0" w:type="dxa"/>
          <w:left w:w="108" w:type="dxa"/>
          <w:bottom w:w="0" w:type="dxa"/>
          <w:right w:w="108" w:type="dxa"/>
        </w:tblCellMar>
      </w:tblPr>
      <w:tblGrid>
        <w:gridCol w:w="646"/>
        <w:gridCol w:w="746"/>
        <w:gridCol w:w="787"/>
        <w:gridCol w:w="412"/>
        <w:gridCol w:w="900"/>
        <w:gridCol w:w="1080"/>
        <w:gridCol w:w="1080"/>
        <w:gridCol w:w="1080"/>
        <w:gridCol w:w="1260"/>
        <w:gridCol w:w="900"/>
        <w:gridCol w:w="1111"/>
      </w:tblGrid>
      <w:tr w14:paraId="4DD1CD8D">
        <w:tblPrEx>
          <w:tblCellMar>
            <w:top w:w="0" w:type="dxa"/>
            <w:left w:w="108" w:type="dxa"/>
            <w:bottom w:w="0" w:type="dxa"/>
            <w:right w:w="108" w:type="dxa"/>
          </w:tblCellMar>
        </w:tblPrEx>
        <w:trPr>
          <w:jc w:val="center"/>
        </w:trPr>
        <w:tc>
          <w:tcPr>
            <w:tcW w:w="646" w:type="dxa"/>
            <w:tcBorders>
              <w:top w:val="single" w:color="auto" w:sz="6" w:space="0"/>
              <w:left w:val="single" w:color="auto" w:sz="6" w:space="0"/>
              <w:bottom w:val="single" w:color="auto" w:sz="6" w:space="0"/>
              <w:right w:val="single" w:color="auto" w:sz="4" w:space="0"/>
            </w:tcBorders>
            <w:noWrap w:val="0"/>
            <w:vAlign w:val="center"/>
          </w:tcPr>
          <w:p w14:paraId="21C83752">
            <w:pPr>
              <w:autoSpaceDE w:val="0"/>
              <w:autoSpaceDN w:val="0"/>
              <w:spacing w:line="360" w:lineRule="auto"/>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序号</w:t>
            </w:r>
          </w:p>
          <w:p w14:paraId="27EAA6A9">
            <w:pPr>
              <w:autoSpaceDE w:val="0"/>
              <w:autoSpaceDN w:val="0"/>
              <w:spacing w:line="360" w:lineRule="auto"/>
              <w:jc w:val="center"/>
              <w:rPr>
                <w:rFonts w:hint="eastAsia" w:ascii="宋体" w:hAnsi="宋体" w:eastAsia="宋体" w:cs="宋体"/>
                <w:color w:val="auto"/>
                <w:sz w:val="24"/>
                <w:highlight w:val="none"/>
              </w:rPr>
            </w:pPr>
          </w:p>
        </w:tc>
        <w:tc>
          <w:tcPr>
            <w:tcW w:w="746" w:type="dxa"/>
            <w:tcBorders>
              <w:top w:val="single" w:color="auto" w:sz="6" w:space="0"/>
              <w:left w:val="single" w:color="auto" w:sz="4" w:space="0"/>
              <w:bottom w:val="single" w:color="auto" w:sz="6" w:space="0"/>
              <w:right w:val="single" w:color="auto" w:sz="6" w:space="0"/>
            </w:tcBorders>
            <w:noWrap w:val="0"/>
            <w:vAlign w:val="center"/>
          </w:tcPr>
          <w:p w14:paraId="307326DC">
            <w:pPr>
              <w:autoSpaceDE w:val="0"/>
              <w:autoSpaceDN w:val="0"/>
              <w:spacing w:line="360" w:lineRule="auto"/>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类别</w:t>
            </w:r>
          </w:p>
        </w:tc>
        <w:tc>
          <w:tcPr>
            <w:tcW w:w="787" w:type="dxa"/>
            <w:tcBorders>
              <w:top w:val="single" w:color="auto" w:sz="6" w:space="0"/>
              <w:left w:val="single" w:color="auto" w:sz="6" w:space="0"/>
              <w:bottom w:val="single" w:color="auto" w:sz="6" w:space="0"/>
              <w:right w:val="single" w:color="auto" w:sz="6" w:space="0"/>
            </w:tcBorders>
            <w:noWrap w:val="0"/>
            <w:vAlign w:val="center"/>
          </w:tcPr>
          <w:p w14:paraId="642D28C5">
            <w:pPr>
              <w:autoSpaceDE w:val="0"/>
              <w:autoSpaceDN w:val="0"/>
              <w:spacing w:line="360" w:lineRule="auto"/>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姓名</w:t>
            </w:r>
          </w:p>
        </w:tc>
        <w:tc>
          <w:tcPr>
            <w:tcW w:w="412" w:type="dxa"/>
            <w:tcBorders>
              <w:top w:val="single" w:color="auto" w:sz="6" w:space="0"/>
              <w:left w:val="single" w:color="auto" w:sz="6" w:space="0"/>
              <w:bottom w:val="single" w:color="auto" w:sz="6" w:space="0"/>
              <w:right w:val="single" w:color="auto" w:sz="6" w:space="0"/>
            </w:tcBorders>
            <w:noWrap w:val="0"/>
            <w:vAlign w:val="center"/>
          </w:tcPr>
          <w:p w14:paraId="74459543">
            <w:pPr>
              <w:autoSpaceDE w:val="0"/>
              <w:autoSpaceDN w:val="0"/>
              <w:spacing w:line="360" w:lineRule="auto"/>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性别</w:t>
            </w:r>
          </w:p>
        </w:tc>
        <w:tc>
          <w:tcPr>
            <w:tcW w:w="900" w:type="dxa"/>
            <w:tcBorders>
              <w:top w:val="single" w:color="auto" w:sz="6" w:space="0"/>
              <w:left w:val="single" w:color="auto" w:sz="6" w:space="0"/>
              <w:bottom w:val="single" w:color="auto" w:sz="6" w:space="0"/>
              <w:right w:val="single" w:color="auto" w:sz="6" w:space="0"/>
            </w:tcBorders>
            <w:noWrap w:val="0"/>
            <w:vAlign w:val="center"/>
          </w:tcPr>
          <w:p w14:paraId="7A42837A">
            <w:pPr>
              <w:autoSpaceDE w:val="0"/>
              <w:autoSpaceDN w:val="0"/>
              <w:spacing w:line="360" w:lineRule="auto"/>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年龄</w:t>
            </w:r>
          </w:p>
        </w:tc>
        <w:tc>
          <w:tcPr>
            <w:tcW w:w="1080" w:type="dxa"/>
            <w:tcBorders>
              <w:top w:val="single" w:color="auto" w:sz="6" w:space="0"/>
              <w:left w:val="single" w:color="auto" w:sz="6" w:space="0"/>
              <w:bottom w:val="single" w:color="auto" w:sz="6" w:space="0"/>
              <w:right w:val="single" w:color="auto" w:sz="6" w:space="0"/>
            </w:tcBorders>
            <w:noWrap w:val="0"/>
            <w:vAlign w:val="center"/>
          </w:tcPr>
          <w:p w14:paraId="4816DAC4">
            <w:pPr>
              <w:autoSpaceDE w:val="0"/>
              <w:autoSpaceDN w:val="0"/>
              <w:spacing w:line="360" w:lineRule="auto"/>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学历</w:t>
            </w:r>
          </w:p>
        </w:tc>
        <w:tc>
          <w:tcPr>
            <w:tcW w:w="1080" w:type="dxa"/>
            <w:tcBorders>
              <w:top w:val="single" w:color="auto" w:sz="6" w:space="0"/>
              <w:left w:val="single" w:color="auto" w:sz="6" w:space="0"/>
              <w:bottom w:val="single" w:color="auto" w:sz="6" w:space="0"/>
              <w:right w:val="single" w:color="auto" w:sz="6" w:space="0"/>
            </w:tcBorders>
            <w:noWrap w:val="0"/>
            <w:vAlign w:val="center"/>
          </w:tcPr>
          <w:p w14:paraId="7DFE4D8B">
            <w:pPr>
              <w:autoSpaceDE w:val="0"/>
              <w:autoSpaceDN w:val="0"/>
              <w:spacing w:line="360" w:lineRule="auto"/>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专业</w:t>
            </w:r>
          </w:p>
        </w:tc>
        <w:tc>
          <w:tcPr>
            <w:tcW w:w="1080" w:type="dxa"/>
            <w:tcBorders>
              <w:top w:val="single" w:color="auto" w:sz="6" w:space="0"/>
              <w:left w:val="single" w:color="auto" w:sz="6" w:space="0"/>
              <w:bottom w:val="single" w:color="auto" w:sz="6" w:space="0"/>
              <w:right w:val="single" w:color="auto" w:sz="6" w:space="0"/>
            </w:tcBorders>
            <w:noWrap w:val="0"/>
            <w:vAlign w:val="center"/>
          </w:tcPr>
          <w:p w14:paraId="2F421301">
            <w:pPr>
              <w:autoSpaceDE w:val="0"/>
              <w:autoSpaceDN w:val="0"/>
              <w:spacing w:line="360" w:lineRule="auto"/>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职称</w:t>
            </w:r>
          </w:p>
        </w:tc>
        <w:tc>
          <w:tcPr>
            <w:tcW w:w="1260" w:type="dxa"/>
            <w:tcBorders>
              <w:top w:val="single" w:color="auto" w:sz="6" w:space="0"/>
              <w:left w:val="single" w:color="auto" w:sz="6" w:space="0"/>
              <w:bottom w:val="single" w:color="auto" w:sz="6" w:space="0"/>
              <w:right w:val="single" w:color="auto" w:sz="6" w:space="0"/>
            </w:tcBorders>
            <w:noWrap w:val="0"/>
            <w:vAlign w:val="center"/>
          </w:tcPr>
          <w:p w14:paraId="6DF6F48D">
            <w:pPr>
              <w:autoSpaceDE w:val="0"/>
              <w:autoSpaceDN w:val="0"/>
              <w:spacing w:line="360" w:lineRule="auto"/>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本项目中的职责</w:t>
            </w:r>
          </w:p>
        </w:tc>
        <w:tc>
          <w:tcPr>
            <w:tcW w:w="900" w:type="dxa"/>
            <w:tcBorders>
              <w:top w:val="single" w:color="auto" w:sz="6" w:space="0"/>
              <w:left w:val="single" w:color="auto" w:sz="6" w:space="0"/>
              <w:bottom w:val="single" w:color="auto" w:sz="6" w:space="0"/>
              <w:right w:val="single" w:color="auto" w:sz="6" w:space="0"/>
            </w:tcBorders>
            <w:noWrap w:val="0"/>
            <w:vAlign w:val="center"/>
          </w:tcPr>
          <w:p w14:paraId="341DBC01">
            <w:pPr>
              <w:autoSpaceDE w:val="0"/>
              <w:autoSpaceDN w:val="0"/>
              <w:spacing w:line="360" w:lineRule="auto"/>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响应时间</w:t>
            </w:r>
          </w:p>
        </w:tc>
        <w:tc>
          <w:tcPr>
            <w:tcW w:w="1111" w:type="dxa"/>
            <w:tcBorders>
              <w:top w:val="single" w:color="auto" w:sz="6" w:space="0"/>
              <w:left w:val="single" w:color="auto" w:sz="6" w:space="0"/>
              <w:bottom w:val="single" w:color="auto" w:sz="6" w:space="0"/>
              <w:right w:val="single" w:color="auto" w:sz="6" w:space="0"/>
            </w:tcBorders>
            <w:noWrap w:val="0"/>
            <w:vAlign w:val="center"/>
          </w:tcPr>
          <w:p w14:paraId="7C60BC91">
            <w:pPr>
              <w:autoSpaceDE w:val="0"/>
              <w:autoSpaceDN w:val="0"/>
              <w:spacing w:line="360" w:lineRule="auto"/>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到达现场时间</w:t>
            </w:r>
          </w:p>
        </w:tc>
      </w:tr>
      <w:tr w14:paraId="7DAFD9EE">
        <w:tblPrEx>
          <w:tblCellMar>
            <w:top w:w="0" w:type="dxa"/>
            <w:left w:w="108" w:type="dxa"/>
            <w:bottom w:w="0" w:type="dxa"/>
            <w:right w:w="108" w:type="dxa"/>
          </w:tblCellMar>
        </w:tblPrEx>
        <w:trPr>
          <w:trHeight w:val="607" w:hRule="atLeast"/>
          <w:jc w:val="center"/>
        </w:trPr>
        <w:tc>
          <w:tcPr>
            <w:tcW w:w="646" w:type="dxa"/>
            <w:tcBorders>
              <w:top w:val="single" w:color="auto" w:sz="6" w:space="0"/>
              <w:left w:val="single" w:color="auto" w:sz="6" w:space="0"/>
              <w:bottom w:val="single" w:color="auto" w:sz="6" w:space="0"/>
              <w:right w:val="single" w:color="auto" w:sz="4" w:space="0"/>
            </w:tcBorders>
            <w:noWrap w:val="0"/>
            <w:vAlign w:val="top"/>
          </w:tcPr>
          <w:p w14:paraId="4FE1B949">
            <w:pPr>
              <w:autoSpaceDE w:val="0"/>
              <w:autoSpaceDN w:val="0"/>
              <w:spacing w:line="360" w:lineRule="auto"/>
              <w:jc w:val="center"/>
              <w:rPr>
                <w:rFonts w:hint="eastAsia" w:ascii="宋体" w:hAnsi="宋体" w:eastAsia="宋体" w:cs="宋体"/>
                <w:color w:val="auto"/>
                <w:sz w:val="24"/>
                <w:highlight w:val="none"/>
              </w:rPr>
            </w:pPr>
          </w:p>
        </w:tc>
        <w:tc>
          <w:tcPr>
            <w:tcW w:w="746" w:type="dxa"/>
            <w:tcBorders>
              <w:top w:val="single" w:color="auto" w:sz="6" w:space="0"/>
              <w:left w:val="single" w:color="auto" w:sz="4" w:space="0"/>
              <w:bottom w:val="single" w:color="auto" w:sz="6" w:space="0"/>
              <w:right w:val="single" w:color="auto" w:sz="6" w:space="0"/>
            </w:tcBorders>
            <w:noWrap w:val="0"/>
            <w:vAlign w:val="top"/>
          </w:tcPr>
          <w:p w14:paraId="7307AFA4">
            <w:pPr>
              <w:autoSpaceDE w:val="0"/>
              <w:autoSpaceDN w:val="0"/>
              <w:spacing w:line="360" w:lineRule="auto"/>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总协调人</w:t>
            </w:r>
          </w:p>
        </w:tc>
        <w:tc>
          <w:tcPr>
            <w:tcW w:w="787" w:type="dxa"/>
            <w:tcBorders>
              <w:top w:val="single" w:color="auto" w:sz="6" w:space="0"/>
              <w:left w:val="single" w:color="auto" w:sz="6" w:space="0"/>
              <w:bottom w:val="single" w:color="auto" w:sz="6" w:space="0"/>
              <w:right w:val="single" w:color="auto" w:sz="6" w:space="0"/>
            </w:tcBorders>
            <w:noWrap w:val="0"/>
            <w:vAlign w:val="top"/>
          </w:tcPr>
          <w:p w14:paraId="5133106D">
            <w:pPr>
              <w:autoSpaceDE w:val="0"/>
              <w:autoSpaceDN w:val="0"/>
              <w:spacing w:line="360" w:lineRule="auto"/>
              <w:rPr>
                <w:rFonts w:hint="eastAsia" w:ascii="宋体" w:hAnsi="宋体" w:eastAsia="宋体" w:cs="宋体"/>
                <w:color w:val="auto"/>
                <w:sz w:val="24"/>
                <w:highlight w:val="none"/>
              </w:rPr>
            </w:pPr>
          </w:p>
        </w:tc>
        <w:tc>
          <w:tcPr>
            <w:tcW w:w="412" w:type="dxa"/>
            <w:tcBorders>
              <w:top w:val="single" w:color="auto" w:sz="6" w:space="0"/>
              <w:left w:val="single" w:color="auto" w:sz="6" w:space="0"/>
              <w:bottom w:val="single" w:color="auto" w:sz="6" w:space="0"/>
              <w:right w:val="single" w:color="auto" w:sz="6" w:space="0"/>
            </w:tcBorders>
            <w:noWrap w:val="0"/>
            <w:vAlign w:val="top"/>
          </w:tcPr>
          <w:p w14:paraId="619C5AC0">
            <w:pPr>
              <w:autoSpaceDE w:val="0"/>
              <w:autoSpaceDN w:val="0"/>
              <w:spacing w:line="360" w:lineRule="auto"/>
              <w:rPr>
                <w:rFonts w:hint="eastAsia" w:ascii="宋体" w:hAnsi="宋体" w:eastAsia="宋体" w:cs="宋体"/>
                <w:color w:val="auto"/>
                <w:sz w:val="24"/>
                <w:highlight w:val="none"/>
              </w:rPr>
            </w:pPr>
          </w:p>
        </w:tc>
        <w:tc>
          <w:tcPr>
            <w:tcW w:w="900" w:type="dxa"/>
            <w:tcBorders>
              <w:top w:val="single" w:color="auto" w:sz="6" w:space="0"/>
              <w:left w:val="single" w:color="auto" w:sz="6" w:space="0"/>
              <w:bottom w:val="single" w:color="auto" w:sz="6" w:space="0"/>
              <w:right w:val="single" w:color="auto" w:sz="6" w:space="0"/>
            </w:tcBorders>
            <w:noWrap w:val="0"/>
            <w:vAlign w:val="top"/>
          </w:tcPr>
          <w:p w14:paraId="01373F98">
            <w:pPr>
              <w:autoSpaceDE w:val="0"/>
              <w:autoSpaceDN w:val="0"/>
              <w:spacing w:line="360" w:lineRule="auto"/>
              <w:rPr>
                <w:rFonts w:hint="eastAsia" w:ascii="宋体" w:hAnsi="宋体" w:eastAsia="宋体" w:cs="宋体"/>
                <w:color w:val="auto"/>
                <w:sz w:val="24"/>
                <w:highlight w:val="none"/>
              </w:rPr>
            </w:pPr>
          </w:p>
        </w:tc>
        <w:tc>
          <w:tcPr>
            <w:tcW w:w="1080" w:type="dxa"/>
            <w:tcBorders>
              <w:top w:val="single" w:color="auto" w:sz="6" w:space="0"/>
              <w:left w:val="single" w:color="auto" w:sz="6" w:space="0"/>
              <w:bottom w:val="single" w:color="auto" w:sz="6" w:space="0"/>
              <w:right w:val="single" w:color="auto" w:sz="6" w:space="0"/>
            </w:tcBorders>
            <w:noWrap w:val="0"/>
            <w:vAlign w:val="top"/>
          </w:tcPr>
          <w:p w14:paraId="34E2542F">
            <w:pPr>
              <w:autoSpaceDE w:val="0"/>
              <w:autoSpaceDN w:val="0"/>
              <w:spacing w:line="360" w:lineRule="auto"/>
              <w:rPr>
                <w:rFonts w:hint="eastAsia" w:ascii="宋体" w:hAnsi="宋体" w:eastAsia="宋体" w:cs="宋体"/>
                <w:color w:val="auto"/>
                <w:sz w:val="24"/>
                <w:highlight w:val="none"/>
              </w:rPr>
            </w:pPr>
          </w:p>
        </w:tc>
        <w:tc>
          <w:tcPr>
            <w:tcW w:w="1080" w:type="dxa"/>
            <w:tcBorders>
              <w:top w:val="single" w:color="auto" w:sz="6" w:space="0"/>
              <w:left w:val="single" w:color="auto" w:sz="6" w:space="0"/>
              <w:bottom w:val="single" w:color="auto" w:sz="6" w:space="0"/>
              <w:right w:val="single" w:color="auto" w:sz="6" w:space="0"/>
            </w:tcBorders>
            <w:noWrap w:val="0"/>
            <w:vAlign w:val="top"/>
          </w:tcPr>
          <w:p w14:paraId="69F8B25C">
            <w:pPr>
              <w:autoSpaceDE w:val="0"/>
              <w:autoSpaceDN w:val="0"/>
              <w:spacing w:line="360" w:lineRule="auto"/>
              <w:rPr>
                <w:rFonts w:hint="eastAsia" w:ascii="宋体" w:hAnsi="宋体" w:eastAsia="宋体" w:cs="宋体"/>
                <w:color w:val="auto"/>
                <w:sz w:val="24"/>
                <w:highlight w:val="none"/>
              </w:rPr>
            </w:pPr>
          </w:p>
        </w:tc>
        <w:tc>
          <w:tcPr>
            <w:tcW w:w="1080" w:type="dxa"/>
            <w:tcBorders>
              <w:top w:val="single" w:color="auto" w:sz="6" w:space="0"/>
              <w:left w:val="single" w:color="auto" w:sz="6" w:space="0"/>
              <w:bottom w:val="single" w:color="auto" w:sz="6" w:space="0"/>
              <w:right w:val="single" w:color="auto" w:sz="6" w:space="0"/>
            </w:tcBorders>
            <w:noWrap w:val="0"/>
            <w:vAlign w:val="top"/>
          </w:tcPr>
          <w:p w14:paraId="65A9F92E">
            <w:pPr>
              <w:autoSpaceDE w:val="0"/>
              <w:autoSpaceDN w:val="0"/>
              <w:spacing w:line="360" w:lineRule="auto"/>
              <w:rPr>
                <w:rFonts w:hint="eastAsia" w:ascii="宋体" w:hAnsi="宋体" w:eastAsia="宋体" w:cs="宋体"/>
                <w:color w:val="auto"/>
                <w:sz w:val="24"/>
                <w:highlight w:val="none"/>
              </w:rPr>
            </w:pPr>
          </w:p>
        </w:tc>
        <w:tc>
          <w:tcPr>
            <w:tcW w:w="1260" w:type="dxa"/>
            <w:tcBorders>
              <w:top w:val="single" w:color="auto" w:sz="6" w:space="0"/>
              <w:left w:val="single" w:color="auto" w:sz="6" w:space="0"/>
              <w:bottom w:val="single" w:color="auto" w:sz="6" w:space="0"/>
              <w:right w:val="single" w:color="auto" w:sz="6" w:space="0"/>
            </w:tcBorders>
            <w:noWrap w:val="0"/>
            <w:vAlign w:val="top"/>
          </w:tcPr>
          <w:p w14:paraId="645E8472">
            <w:pPr>
              <w:autoSpaceDE w:val="0"/>
              <w:autoSpaceDN w:val="0"/>
              <w:spacing w:line="360" w:lineRule="auto"/>
              <w:rPr>
                <w:rFonts w:hint="eastAsia" w:ascii="宋体" w:hAnsi="宋体" w:eastAsia="宋体" w:cs="宋体"/>
                <w:color w:val="auto"/>
                <w:sz w:val="24"/>
                <w:highlight w:val="none"/>
              </w:rPr>
            </w:pPr>
          </w:p>
        </w:tc>
        <w:tc>
          <w:tcPr>
            <w:tcW w:w="900" w:type="dxa"/>
            <w:tcBorders>
              <w:top w:val="single" w:color="auto" w:sz="6" w:space="0"/>
              <w:left w:val="single" w:color="auto" w:sz="6" w:space="0"/>
              <w:bottom w:val="single" w:color="auto" w:sz="6" w:space="0"/>
              <w:right w:val="single" w:color="auto" w:sz="6" w:space="0"/>
            </w:tcBorders>
            <w:noWrap w:val="0"/>
            <w:vAlign w:val="top"/>
          </w:tcPr>
          <w:p w14:paraId="7491517A">
            <w:pPr>
              <w:autoSpaceDE w:val="0"/>
              <w:autoSpaceDN w:val="0"/>
              <w:spacing w:line="360" w:lineRule="auto"/>
              <w:rPr>
                <w:rFonts w:hint="eastAsia" w:ascii="宋体" w:hAnsi="宋体" w:eastAsia="宋体" w:cs="宋体"/>
                <w:color w:val="auto"/>
                <w:sz w:val="24"/>
                <w:highlight w:val="none"/>
              </w:rPr>
            </w:pPr>
          </w:p>
        </w:tc>
        <w:tc>
          <w:tcPr>
            <w:tcW w:w="1111" w:type="dxa"/>
            <w:tcBorders>
              <w:top w:val="single" w:color="auto" w:sz="6" w:space="0"/>
              <w:left w:val="single" w:color="auto" w:sz="6" w:space="0"/>
              <w:bottom w:val="single" w:color="auto" w:sz="6" w:space="0"/>
              <w:right w:val="single" w:color="auto" w:sz="6" w:space="0"/>
            </w:tcBorders>
            <w:noWrap w:val="0"/>
            <w:vAlign w:val="top"/>
          </w:tcPr>
          <w:p w14:paraId="1FADD38E">
            <w:pPr>
              <w:autoSpaceDE w:val="0"/>
              <w:autoSpaceDN w:val="0"/>
              <w:spacing w:line="360" w:lineRule="auto"/>
              <w:rPr>
                <w:rFonts w:hint="eastAsia" w:ascii="宋体" w:hAnsi="宋体" w:eastAsia="宋体" w:cs="宋体"/>
                <w:color w:val="auto"/>
                <w:sz w:val="24"/>
                <w:highlight w:val="none"/>
              </w:rPr>
            </w:pPr>
          </w:p>
        </w:tc>
      </w:tr>
      <w:tr w14:paraId="2AE20D71">
        <w:tblPrEx>
          <w:tblCellMar>
            <w:top w:w="0" w:type="dxa"/>
            <w:left w:w="108" w:type="dxa"/>
            <w:bottom w:w="0" w:type="dxa"/>
            <w:right w:w="108" w:type="dxa"/>
          </w:tblCellMar>
        </w:tblPrEx>
        <w:trPr>
          <w:trHeight w:val="595" w:hRule="atLeast"/>
          <w:jc w:val="center"/>
        </w:trPr>
        <w:tc>
          <w:tcPr>
            <w:tcW w:w="646" w:type="dxa"/>
            <w:tcBorders>
              <w:top w:val="single" w:color="auto" w:sz="6" w:space="0"/>
              <w:left w:val="single" w:color="auto" w:sz="6" w:space="0"/>
              <w:bottom w:val="single" w:color="auto" w:sz="6" w:space="0"/>
              <w:right w:val="single" w:color="auto" w:sz="4" w:space="0"/>
            </w:tcBorders>
            <w:noWrap w:val="0"/>
            <w:vAlign w:val="top"/>
          </w:tcPr>
          <w:p w14:paraId="4C0D2DCC">
            <w:pPr>
              <w:autoSpaceDE w:val="0"/>
              <w:autoSpaceDN w:val="0"/>
              <w:spacing w:line="360" w:lineRule="auto"/>
              <w:jc w:val="center"/>
              <w:rPr>
                <w:rFonts w:hint="eastAsia" w:ascii="宋体" w:hAnsi="宋体" w:eastAsia="宋体" w:cs="宋体"/>
                <w:color w:val="auto"/>
                <w:sz w:val="24"/>
                <w:highlight w:val="none"/>
              </w:rPr>
            </w:pPr>
          </w:p>
        </w:tc>
        <w:tc>
          <w:tcPr>
            <w:tcW w:w="746" w:type="dxa"/>
            <w:tcBorders>
              <w:top w:val="single" w:color="auto" w:sz="6" w:space="0"/>
              <w:left w:val="single" w:color="auto" w:sz="4" w:space="0"/>
              <w:bottom w:val="single" w:color="auto" w:sz="6" w:space="0"/>
              <w:right w:val="single" w:color="auto" w:sz="6" w:space="0"/>
            </w:tcBorders>
            <w:noWrap w:val="0"/>
            <w:vAlign w:val="top"/>
          </w:tcPr>
          <w:p w14:paraId="23EC0E12">
            <w:pPr>
              <w:autoSpaceDE w:val="0"/>
              <w:autoSpaceDN w:val="0"/>
              <w:spacing w:line="360" w:lineRule="auto"/>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售后人员</w:t>
            </w:r>
          </w:p>
        </w:tc>
        <w:tc>
          <w:tcPr>
            <w:tcW w:w="787" w:type="dxa"/>
            <w:tcBorders>
              <w:top w:val="single" w:color="auto" w:sz="6" w:space="0"/>
              <w:left w:val="single" w:color="auto" w:sz="6" w:space="0"/>
              <w:bottom w:val="single" w:color="auto" w:sz="6" w:space="0"/>
              <w:right w:val="single" w:color="auto" w:sz="6" w:space="0"/>
            </w:tcBorders>
            <w:noWrap w:val="0"/>
            <w:vAlign w:val="top"/>
          </w:tcPr>
          <w:p w14:paraId="5B7FDFA8">
            <w:pPr>
              <w:autoSpaceDE w:val="0"/>
              <w:autoSpaceDN w:val="0"/>
              <w:spacing w:line="360" w:lineRule="auto"/>
              <w:rPr>
                <w:rFonts w:hint="eastAsia" w:ascii="宋体" w:hAnsi="宋体" w:eastAsia="宋体" w:cs="宋体"/>
                <w:color w:val="auto"/>
                <w:sz w:val="24"/>
                <w:highlight w:val="none"/>
              </w:rPr>
            </w:pPr>
          </w:p>
        </w:tc>
        <w:tc>
          <w:tcPr>
            <w:tcW w:w="412" w:type="dxa"/>
            <w:tcBorders>
              <w:top w:val="single" w:color="auto" w:sz="6" w:space="0"/>
              <w:left w:val="single" w:color="auto" w:sz="6" w:space="0"/>
              <w:bottom w:val="single" w:color="auto" w:sz="6" w:space="0"/>
              <w:right w:val="single" w:color="auto" w:sz="6" w:space="0"/>
            </w:tcBorders>
            <w:noWrap w:val="0"/>
            <w:vAlign w:val="top"/>
          </w:tcPr>
          <w:p w14:paraId="264A3ED3">
            <w:pPr>
              <w:autoSpaceDE w:val="0"/>
              <w:autoSpaceDN w:val="0"/>
              <w:spacing w:line="360" w:lineRule="auto"/>
              <w:rPr>
                <w:rFonts w:hint="eastAsia" w:ascii="宋体" w:hAnsi="宋体" w:eastAsia="宋体" w:cs="宋体"/>
                <w:color w:val="auto"/>
                <w:sz w:val="24"/>
                <w:highlight w:val="none"/>
              </w:rPr>
            </w:pPr>
          </w:p>
        </w:tc>
        <w:tc>
          <w:tcPr>
            <w:tcW w:w="900" w:type="dxa"/>
            <w:tcBorders>
              <w:top w:val="single" w:color="auto" w:sz="6" w:space="0"/>
              <w:left w:val="single" w:color="auto" w:sz="6" w:space="0"/>
              <w:bottom w:val="single" w:color="auto" w:sz="6" w:space="0"/>
              <w:right w:val="single" w:color="auto" w:sz="6" w:space="0"/>
            </w:tcBorders>
            <w:noWrap w:val="0"/>
            <w:vAlign w:val="top"/>
          </w:tcPr>
          <w:p w14:paraId="61A4173D">
            <w:pPr>
              <w:autoSpaceDE w:val="0"/>
              <w:autoSpaceDN w:val="0"/>
              <w:spacing w:line="360" w:lineRule="auto"/>
              <w:rPr>
                <w:rFonts w:hint="eastAsia" w:ascii="宋体" w:hAnsi="宋体" w:eastAsia="宋体" w:cs="宋体"/>
                <w:color w:val="auto"/>
                <w:sz w:val="24"/>
                <w:highlight w:val="none"/>
              </w:rPr>
            </w:pPr>
          </w:p>
        </w:tc>
        <w:tc>
          <w:tcPr>
            <w:tcW w:w="1080" w:type="dxa"/>
            <w:tcBorders>
              <w:top w:val="single" w:color="auto" w:sz="6" w:space="0"/>
              <w:left w:val="single" w:color="auto" w:sz="6" w:space="0"/>
              <w:bottom w:val="single" w:color="auto" w:sz="6" w:space="0"/>
              <w:right w:val="single" w:color="auto" w:sz="6" w:space="0"/>
            </w:tcBorders>
            <w:noWrap w:val="0"/>
            <w:vAlign w:val="top"/>
          </w:tcPr>
          <w:p w14:paraId="6ACC3EAC">
            <w:pPr>
              <w:autoSpaceDE w:val="0"/>
              <w:autoSpaceDN w:val="0"/>
              <w:spacing w:line="360" w:lineRule="auto"/>
              <w:rPr>
                <w:rFonts w:hint="eastAsia" w:ascii="宋体" w:hAnsi="宋体" w:eastAsia="宋体" w:cs="宋体"/>
                <w:color w:val="auto"/>
                <w:sz w:val="24"/>
                <w:highlight w:val="none"/>
              </w:rPr>
            </w:pPr>
          </w:p>
        </w:tc>
        <w:tc>
          <w:tcPr>
            <w:tcW w:w="1080" w:type="dxa"/>
            <w:tcBorders>
              <w:top w:val="single" w:color="auto" w:sz="6" w:space="0"/>
              <w:left w:val="single" w:color="auto" w:sz="6" w:space="0"/>
              <w:bottom w:val="single" w:color="auto" w:sz="6" w:space="0"/>
              <w:right w:val="single" w:color="auto" w:sz="6" w:space="0"/>
            </w:tcBorders>
            <w:noWrap w:val="0"/>
            <w:vAlign w:val="top"/>
          </w:tcPr>
          <w:p w14:paraId="44B7B732">
            <w:pPr>
              <w:autoSpaceDE w:val="0"/>
              <w:autoSpaceDN w:val="0"/>
              <w:spacing w:line="360" w:lineRule="auto"/>
              <w:rPr>
                <w:rFonts w:hint="eastAsia" w:ascii="宋体" w:hAnsi="宋体" w:eastAsia="宋体" w:cs="宋体"/>
                <w:color w:val="auto"/>
                <w:sz w:val="24"/>
                <w:highlight w:val="none"/>
              </w:rPr>
            </w:pPr>
          </w:p>
        </w:tc>
        <w:tc>
          <w:tcPr>
            <w:tcW w:w="1080" w:type="dxa"/>
            <w:tcBorders>
              <w:top w:val="single" w:color="auto" w:sz="6" w:space="0"/>
              <w:left w:val="single" w:color="auto" w:sz="6" w:space="0"/>
              <w:bottom w:val="single" w:color="auto" w:sz="6" w:space="0"/>
              <w:right w:val="single" w:color="auto" w:sz="6" w:space="0"/>
            </w:tcBorders>
            <w:noWrap w:val="0"/>
            <w:vAlign w:val="top"/>
          </w:tcPr>
          <w:p w14:paraId="25FDD535">
            <w:pPr>
              <w:autoSpaceDE w:val="0"/>
              <w:autoSpaceDN w:val="0"/>
              <w:spacing w:line="360" w:lineRule="auto"/>
              <w:rPr>
                <w:rFonts w:hint="eastAsia" w:ascii="宋体" w:hAnsi="宋体" w:eastAsia="宋体" w:cs="宋体"/>
                <w:color w:val="auto"/>
                <w:sz w:val="24"/>
                <w:highlight w:val="none"/>
              </w:rPr>
            </w:pPr>
          </w:p>
        </w:tc>
        <w:tc>
          <w:tcPr>
            <w:tcW w:w="1260" w:type="dxa"/>
            <w:tcBorders>
              <w:top w:val="single" w:color="auto" w:sz="6" w:space="0"/>
              <w:left w:val="single" w:color="auto" w:sz="6" w:space="0"/>
              <w:bottom w:val="single" w:color="auto" w:sz="6" w:space="0"/>
              <w:right w:val="single" w:color="auto" w:sz="6" w:space="0"/>
            </w:tcBorders>
            <w:noWrap w:val="0"/>
            <w:vAlign w:val="top"/>
          </w:tcPr>
          <w:p w14:paraId="3058FF58">
            <w:pPr>
              <w:autoSpaceDE w:val="0"/>
              <w:autoSpaceDN w:val="0"/>
              <w:spacing w:line="360" w:lineRule="auto"/>
              <w:rPr>
                <w:rFonts w:hint="eastAsia" w:ascii="宋体" w:hAnsi="宋体" w:eastAsia="宋体" w:cs="宋体"/>
                <w:color w:val="auto"/>
                <w:sz w:val="24"/>
                <w:highlight w:val="none"/>
              </w:rPr>
            </w:pPr>
          </w:p>
        </w:tc>
        <w:tc>
          <w:tcPr>
            <w:tcW w:w="900" w:type="dxa"/>
            <w:tcBorders>
              <w:top w:val="single" w:color="auto" w:sz="6" w:space="0"/>
              <w:left w:val="single" w:color="auto" w:sz="6" w:space="0"/>
              <w:bottom w:val="single" w:color="auto" w:sz="6" w:space="0"/>
              <w:right w:val="single" w:color="auto" w:sz="6" w:space="0"/>
            </w:tcBorders>
            <w:noWrap w:val="0"/>
            <w:vAlign w:val="top"/>
          </w:tcPr>
          <w:p w14:paraId="059B904C">
            <w:pPr>
              <w:autoSpaceDE w:val="0"/>
              <w:autoSpaceDN w:val="0"/>
              <w:spacing w:line="360" w:lineRule="auto"/>
              <w:rPr>
                <w:rFonts w:hint="eastAsia" w:ascii="宋体" w:hAnsi="宋体" w:eastAsia="宋体" w:cs="宋体"/>
                <w:color w:val="auto"/>
                <w:sz w:val="24"/>
                <w:highlight w:val="none"/>
              </w:rPr>
            </w:pPr>
          </w:p>
        </w:tc>
        <w:tc>
          <w:tcPr>
            <w:tcW w:w="1111" w:type="dxa"/>
            <w:tcBorders>
              <w:top w:val="single" w:color="auto" w:sz="6" w:space="0"/>
              <w:left w:val="single" w:color="auto" w:sz="6" w:space="0"/>
              <w:bottom w:val="single" w:color="auto" w:sz="6" w:space="0"/>
              <w:right w:val="single" w:color="auto" w:sz="6" w:space="0"/>
            </w:tcBorders>
            <w:noWrap w:val="0"/>
            <w:vAlign w:val="top"/>
          </w:tcPr>
          <w:p w14:paraId="3F806D8F">
            <w:pPr>
              <w:autoSpaceDE w:val="0"/>
              <w:autoSpaceDN w:val="0"/>
              <w:spacing w:line="360" w:lineRule="auto"/>
              <w:rPr>
                <w:rFonts w:hint="eastAsia" w:ascii="宋体" w:hAnsi="宋体" w:eastAsia="宋体" w:cs="宋体"/>
                <w:color w:val="auto"/>
                <w:sz w:val="24"/>
                <w:highlight w:val="none"/>
              </w:rPr>
            </w:pPr>
          </w:p>
        </w:tc>
      </w:tr>
      <w:tr w14:paraId="33C5F3E6">
        <w:tblPrEx>
          <w:tblCellMar>
            <w:top w:w="0" w:type="dxa"/>
            <w:left w:w="108" w:type="dxa"/>
            <w:bottom w:w="0" w:type="dxa"/>
            <w:right w:w="108" w:type="dxa"/>
          </w:tblCellMar>
        </w:tblPrEx>
        <w:trPr>
          <w:trHeight w:val="595" w:hRule="atLeast"/>
          <w:jc w:val="center"/>
        </w:trPr>
        <w:tc>
          <w:tcPr>
            <w:tcW w:w="646" w:type="dxa"/>
            <w:tcBorders>
              <w:top w:val="single" w:color="auto" w:sz="6" w:space="0"/>
              <w:left w:val="single" w:color="auto" w:sz="6" w:space="0"/>
              <w:bottom w:val="single" w:color="auto" w:sz="6" w:space="0"/>
              <w:right w:val="single" w:color="auto" w:sz="4" w:space="0"/>
            </w:tcBorders>
            <w:noWrap w:val="0"/>
            <w:vAlign w:val="top"/>
          </w:tcPr>
          <w:p w14:paraId="1DBF0EEF">
            <w:pPr>
              <w:autoSpaceDE w:val="0"/>
              <w:autoSpaceDN w:val="0"/>
              <w:spacing w:line="360" w:lineRule="auto"/>
              <w:jc w:val="center"/>
              <w:rPr>
                <w:rFonts w:hint="eastAsia" w:ascii="宋体" w:hAnsi="宋体" w:eastAsia="宋体" w:cs="宋体"/>
                <w:color w:val="auto"/>
                <w:sz w:val="24"/>
                <w:highlight w:val="none"/>
              </w:rPr>
            </w:pPr>
          </w:p>
        </w:tc>
        <w:tc>
          <w:tcPr>
            <w:tcW w:w="746" w:type="dxa"/>
            <w:tcBorders>
              <w:top w:val="single" w:color="auto" w:sz="6" w:space="0"/>
              <w:left w:val="single" w:color="auto" w:sz="4" w:space="0"/>
              <w:bottom w:val="single" w:color="auto" w:sz="6" w:space="0"/>
              <w:right w:val="single" w:color="auto" w:sz="6" w:space="0"/>
            </w:tcBorders>
            <w:noWrap w:val="0"/>
            <w:vAlign w:val="top"/>
          </w:tcPr>
          <w:p w14:paraId="7E421C82">
            <w:pPr>
              <w:autoSpaceDE w:val="0"/>
              <w:autoSpaceDN w:val="0"/>
              <w:spacing w:line="360" w:lineRule="auto"/>
              <w:jc w:val="center"/>
              <w:rPr>
                <w:rFonts w:hint="eastAsia" w:ascii="宋体" w:hAnsi="宋体" w:eastAsia="宋体" w:cs="宋体"/>
                <w:color w:val="auto"/>
                <w:sz w:val="24"/>
                <w:highlight w:val="none"/>
              </w:rPr>
            </w:pPr>
          </w:p>
        </w:tc>
        <w:tc>
          <w:tcPr>
            <w:tcW w:w="787" w:type="dxa"/>
            <w:tcBorders>
              <w:top w:val="single" w:color="auto" w:sz="6" w:space="0"/>
              <w:left w:val="single" w:color="auto" w:sz="6" w:space="0"/>
              <w:bottom w:val="single" w:color="auto" w:sz="6" w:space="0"/>
              <w:right w:val="single" w:color="auto" w:sz="6" w:space="0"/>
            </w:tcBorders>
            <w:noWrap w:val="0"/>
            <w:vAlign w:val="top"/>
          </w:tcPr>
          <w:p w14:paraId="6A9A7CC6">
            <w:pPr>
              <w:autoSpaceDE w:val="0"/>
              <w:autoSpaceDN w:val="0"/>
              <w:spacing w:line="360" w:lineRule="auto"/>
              <w:rPr>
                <w:rFonts w:hint="eastAsia" w:ascii="宋体" w:hAnsi="宋体" w:eastAsia="宋体" w:cs="宋体"/>
                <w:color w:val="auto"/>
                <w:sz w:val="24"/>
                <w:highlight w:val="none"/>
              </w:rPr>
            </w:pPr>
          </w:p>
        </w:tc>
        <w:tc>
          <w:tcPr>
            <w:tcW w:w="412" w:type="dxa"/>
            <w:tcBorders>
              <w:top w:val="single" w:color="auto" w:sz="6" w:space="0"/>
              <w:left w:val="single" w:color="auto" w:sz="6" w:space="0"/>
              <w:bottom w:val="single" w:color="auto" w:sz="6" w:space="0"/>
              <w:right w:val="single" w:color="auto" w:sz="6" w:space="0"/>
            </w:tcBorders>
            <w:noWrap w:val="0"/>
            <w:vAlign w:val="top"/>
          </w:tcPr>
          <w:p w14:paraId="19A5EB8D">
            <w:pPr>
              <w:autoSpaceDE w:val="0"/>
              <w:autoSpaceDN w:val="0"/>
              <w:spacing w:line="360" w:lineRule="auto"/>
              <w:rPr>
                <w:rFonts w:hint="eastAsia" w:ascii="宋体" w:hAnsi="宋体" w:eastAsia="宋体" w:cs="宋体"/>
                <w:color w:val="auto"/>
                <w:sz w:val="24"/>
                <w:highlight w:val="none"/>
              </w:rPr>
            </w:pPr>
          </w:p>
        </w:tc>
        <w:tc>
          <w:tcPr>
            <w:tcW w:w="900" w:type="dxa"/>
            <w:tcBorders>
              <w:top w:val="single" w:color="auto" w:sz="6" w:space="0"/>
              <w:left w:val="single" w:color="auto" w:sz="6" w:space="0"/>
              <w:bottom w:val="single" w:color="auto" w:sz="6" w:space="0"/>
              <w:right w:val="single" w:color="auto" w:sz="6" w:space="0"/>
            </w:tcBorders>
            <w:noWrap w:val="0"/>
            <w:vAlign w:val="top"/>
          </w:tcPr>
          <w:p w14:paraId="0DD293EF">
            <w:pPr>
              <w:autoSpaceDE w:val="0"/>
              <w:autoSpaceDN w:val="0"/>
              <w:spacing w:line="360" w:lineRule="auto"/>
              <w:rPr>
                <w:rFonts w:hint="eastAsia" w:ascii="宋体" w:hAnsi="宋体" w:eastAsia="宋体" w:cs="宋体"/>
                <w:color w:val="auto"/>
                <w:sz w:val="24"/>
                <w:highlight w:val="none"/>
              </w:rPr>
            </w:pPr>
          </w:p>
        </w:tc>
        <w:tc>
          <w:tcPr>
            <w:tcW w:w="1080" w:type="dxa"/>
            <w:tcBorders>
              <w:top w:val="single" w:color="auto" w:sz="6" w:space="0"/>
              <w:left w:val="single" w:color="auto" w:sz="6" w:space="0"/>
              <w:bottom w:val="single" w:color="auto" w:sz="6" w:space="0"/>
              <w:right w:val="single" w:color="auto" w:sz="6" w:space="0"/>
            </w:tcBorders>
            <w:noWrap w:val="0"/>
            <w:vAlign w:val="top"/>
          </w:tcPr>
          <w:p w14:paraId="1739A413">
            <w:pPr>
              <w:autoSpaceDE w:val="0"/>
              <w:autoSpaceDN w:val="0"/>
              <w:spacing w:line="360" w:lineRule="auto"/>
              <w:rPr>
                <w:rFonts w:hint="eastAsia" w:ascii="宋体" w:hAnsi="宋体" w:eastAsia="宋体" w:cs="宋体"/>
                <w:color w:val="auto"/>
                <w:sz w:val="24"/>
                <w:highlight w:val="none"/>
              </w:rPr>
            </w:pPr>
          </w:p>
        </w:tc>
        <w:tc>
          <w:tcPr>
            <w:tcW w:w="1080" w:type="dxa"/>
            <w:tcBorders>
              <w:top w:val="single" w:color="auto" w:sz="6" w:space="0"/>
              <w:left w:val="single" w:color="auto" w:sz="6" w:space="0"/>
              <w:bottom w:val="single" w:color="auto" w:sz="6" w:space="0"/>
              <w:right w:val="single" w:color="auto" w:sz="6" w:space="0"/>
            </w:tcBorders>
            <w:noWrap w:val="0"/>
            <w:vAlign w:val="top"/>
          </w:tcPr>
          <w:p w14:paraId="70AFFBD8">
            <w:pPr>
              <w:autoSpaceDE w:val="0"/>
              <w:autoSpaceDN w:val="0"/>
              <w:spacing w:line="360" w:lineRule="auto"/>
              <w:rPr>
                <w:rFonts w:hint="eastAsia" w:ascii="宋体" w:hAnsi="宋体" w:eastAsia="宋体" w:cs="宋体"/>
                <w:color w:val="auto"/>
                <w:sz w:val="24"/>
                <w:highlight w:val="none"/>
              </w:rPr>
            </w:pPr>
          </w:p>
        </w:tc>
        <w:tc>
          <w:tcPr>
            <w:tcW w:w="1080" w:type="dxa"/>
            <w:tcBorders>
              <w:top w:val="single" w:color="auto" w:sz="6" w:space="0"/>
              <w:left w:val="single" w:color="auto" w:sz="6" w:space="0"/>
              <w:bottom w:val="single" w:color="auto" w:sz="6" w:space="0"/>
              <w:right w:val="single" w:color="auto" w:sz="6" w:space="0"/>
            </w:tcBorders>
            <w:noWrap w:val="0"/>
            <w:vAlign w:val="top"/>
          </w:tcPr>
          <w:p w14:paraId="26F8AB8C">
            <w:pPr>
              <w:autoSpaceDE w:val="0"/>
              <w:autoSpaceDN w:val="0"/>
              <w:spacing w:line="360" w:lineRule="auto"/>
              <w:rPr>
                <w:rFonts w:hint="eastAsia" w:ascii="宋体" w:hAnsi="宋体" w:eastAsia="宋体" w:cs="宋体"/>
                <w:color w:val="auto"/>
                <w:sz w:val="24"/>
                <w:highlight w:val="none"/>
              </w:rPr>
            </w:pPr>
          </w:p>
        </w:tc>
        <w:tc>
          <w:tcPr>
            <w:tcW w:w="1260" w:type="dxa"/>
            <w:tcBorders>
              <w:top w:val="single" w:color="auto" w:sz="6" w:space="0"/>
              <w:left w:val="single" w:color="auto" w:sz="6" w:space="0"/>
              <w:bottom w:val="single" w:color="auto" w:sz="6" w:space="0"/>
              <w:right w:val="single" w:color="auto" w:sz="6" w:space="0"/>
            </w:tcBorders>
            <w:noWrap w:val="0"/>
            <w:vAlign w:val="top"/>
          </w:tcPr>
          <w:p w14:paraId="2E27A67A">
            <w:pPr>
              <w:autoSpaceDE w:val="0"/>
              <w:autoSpaceDN w:val="0"/>
              <w:spacing w:line="360" w:lineRule="auto"/>
              <w:rPr>
                <w:rFonts w:hint="eastAsia" w:ascii="宋体" w:hAnsi="宋体" w:eastAsia="宋体" w:cs="宋体"/>
                <w:color w:val="auto"/>
                <w:sz w:val="24"/>
                <w:highlight w:val="none"/>
              </w:rPr>
            </w:pPr>
          </w:p>
        </w:tc>
        <w:tc>
          <w:tcPr>
            <w:tcW w:w="900" w:type="dxa"/>
            <w:tcBorders>
              <w:top w:val="single" w:color="auto" w:sz="6" w:space="0"/>
              <w:left w:val="single" w:color="auto" w:sz="6" w:space="0"/>
              <w:bottom w:val="single" w:color="auto" w:sz="6" w:space="0"/>
              <w:right w:val="single" w:color="auto" w:sz="6" w:space="0"/>
            </w:tcBorders>
            <w:noWrap w:val="0"/>
            <w:vAlign w:val="top"/>
          </w:tcPr>
          <w:p w14:paraId="6F663838">
            <w:pPr>
              <w:autoSpaceDE w:val="0"/>
              <w:autoSpaceDN w:val="0"/>
              <w:spacing w:line="360" w:lineRule="auto"/>
              <w:rPr>
                <w:rFonts w:hint="eastAsia" w:ascii="宋体" w:hAnsi="宋体" w:eastAsia="宋体" w:cs="宋体"/>
                <w:color w:val="auto"/>
                <w:sz w:val="24"/>
                <w:highlight w:val="none"/>
              </w:rPr>
            </w:pPr>
          </w:p>
        </w:tc>
        <w:tc>
          <w:tcPr>
            <w:tcW w:w="1111" w:type="dxa"/>
            <w:tcBorders>
              <w:top w:val="single" w:color="auto" w:sz="6" w:space="0"/>
              <w:left w:val="single" w:color="auto" w:sz="6" w:space="0"/>
              <w:bottom w:val="single" w:color="auto" w:sz="6" w:space="0"/>
              <w:right w:val="single" w:color="auto" w:sz="6" w:space="0"/>
            </w:tcBorders>
            <w:noWrap w:val="0"/>
            <w:vAlign w:val="top"/>
          </w:tcPr>
          <w:p w14:paraId="75DE93D1">
            <w:pPr>
              <w:autoSpaceDE w:val="0"/>
              <w:autoSpaceDN w:val="0"/>
              <w:spacing w:line="360" w:lineRule="auto"/>
              <w:rPr>
                <w:rFonts w:hint="eastAsia" w:ascii="宋体" w:hAnsi="宋体" w:eastAsia="宋体" w:cs="宋体"/>
                <w:color w:val="auto"/>
                <w:sz w:val="24"/>
                <w:highlight w:val="none"/>
              </w:rPr>
            </w:pPr>
          </w:p>
        </w:tc>
      </w:tr>
      <w:tr w14:paraId="30BD083B">
        <w:tblPrEx>
          <w:tblCellMar>
            <w:top w:w="0" w:type="dxa"/>
            <w:left w:w="108" w:type="dxa"/>
            <w:bottom w:w="0" w:type="dxa"/>
            <w:right w:w="108" w:type="dxa"/>
          </w:tblCellMar>
        </w:tblPrEx>
        <w:trPr>
          <w:trHeight w:val="595" w:hRule="atLeast"/>
          <w:jc w:val="center"/>
        </w:trPr>
        <w:tc>
          <w:tcPr>
            <w:tcW w:w="646" w:type="dxa"/>
            <w:tcBorders>
              <w:top w:val="single" w:color="auto" w:sz="6" w:space="0"/>
              <w:left w:val="single" w:color="auto" w:sz="6" w:space="0"/>
              <w:bottom w:val="single" w:color="auto" w:sz="6" w:space="0"/>
              <w:right w:val="single" w:color="auto" w:sz="4" w:space="0"/>
            </w:tcBorders>
            <w:noWrap w:val="0"/>
            <w:vAlign w:val="top"/>
          </w:tcPr>
          <w:p w14:paraId="5EDF08FC">
            <w:pPr>
              <w:autoSpaceDE w:val="0"/>
              <w:autoSpaceDN w:val="0"/>
              <w:spacing w:line="360" w:lineRule="auto"/>
              <w:jc w:val="center"/>
              <w:rPr>
                <w:rFonts w:hint="eastAsia" w:ascii="宋体" w:hAnsi="宋体" w:eastAsia="宋体" w:cs="宋体"/>
                <w:color w:val="auto"/>
                <w:sz w:val="24"/>
                <w:highlight w:val="none"/>
              </w:rPr>
            </w:pPr>
          </w:p>
        </w:tc>
        <w:tc>
          <w:tcPr>
            <w:tcW w:w="746" w:type="dxa"/>
            <w:tcBorders>
              <w:top w:val="single" w:color="auto" w:sz="6" w:space="0"/>
              <w:left w:val="single" w:color="auto" w:sz="4" w:space="0"/>
              <w:bottom w:val="single" w:color="auto" w:sz="6" w:space="0"/>
              <w:right w:val="single" w:color="auto" w:sz="6" w:space="0"/>
            </w:tcBorders>
            <w:noWrap w:val="0"/>
            <w:vAlign w:val="top"/>
          </w:tcPr>
          <w:p w14:paraId="4203566F">
            <w:pPr>
              <w:autoSpaceDE w:val="0"/>
              <w:autoSpaceDN w:val="0"/>
              <w:spacing w:line="360" w:lineRule="auto"/>
              <w:jc w:val="center"/>
              <w:rPr>
                <w:rFonts w:hint="eastAsia" w:ascii="宋体" w:hAnsi="宋体" w:eastAsia="宋体" w:cs="宋体"/>
                <w:color w:val="auto"/>
                <w:sz w:val="24"/>
                <w:highlight w:val="none"/>
              </w:rPr>
            </w:pPr>
          </w:p>
        </w:tc>
        <w:tc>
          <w:tcPr>
            <w:tcW w:w="787" w:type="dxa"/>
            <w:tcBorders>
              <w:top w:val="single" w:color="auto" w:sz="6" w:space="0"/>
              <w:left w:val="single" w:color="auto" w:sz="6" w:space="0"/>
              <w:bottom w:val="single" w:color="auto" w:sz="6" w:space="0"/>
              <w:right w:val="single" w:color="auto" w:sz="6" w:space="0"/>
            </w:tcBorders>
            <w:noWrap w:val="0"/>
            <w:vAlign w:val="top"/>
          </w:tcPr>
          <w:p w14:paraId="18960003">
            <w:pPr>
              <w:autoSpaceDE w:val="0"/>
              <w:autoSpaceDN w:val="0"/>
              <w:spacing w:line="360" w:lineRule="auto"/>
              <w:rPr>
                <w:rFonts w:hint="eastAsia" w:ascii="宋体" w:hAnsi="宋体" w:eastAsia="宋体" w:cs="宋体"/>
                <w:color w:val="auto"/>
                <w:sz w:val="24"/>
                <w:highlight w:val="none"/>
              </w:rPr>
            </w:pPr>
          </w:p>
        </w:tc>
        <w:tc>
          <w:tcPr>
            <w:tcW w:w="412" w:type="dxa"/>
            <w:tcBorders>
              <w:top w:val="single" w:color="auto" w:sz="6" w:space="0"/>
              <w:left w:val="single" w:color="auto" w:sz="6" w:space="0"/>
              <w:bottom w:val="single" w:color="auto" w:sz="6" w:space="0"/>
              <w:right w:val="single" w:color="auto" w:sz="6" w:space="0"/>
            </w:tcBorders>
            <w:noWrap w:val="0"/>
            <w:vAlign w:val="top"/>
          </w:tcPr>
          <w:p w14:paraId="1F188483">
            <w:pPr>
              <w:autoSpaceDE w:val="0"/>
              <w:autoSpaceDN w:val="0"/>
              <w:spacing w:line="360" w:lineRule="auto"/>
              <w:rPr>
                <w:rFonts w:hint="eastAsia" w:ascii="宋体" w:hAnsi="宋体" w:eastAsia="宋体" w:cs="宋体"/>
                <w:color w:val="auto"/>
                <w:sz w:val="24"/>
                <w:highlight w:val="none"/>
              </w:rPr>
            </w:pPr>
          </w:p>
        </w:tc>
        <w:tc>
          <w:tcPr>
            <w:tcW w:w="900" w:type="dxa"/>
            <w:tcBorders>
              <w:top w:val="single" w:color="auto" w:sz="6" w:space="0"/>
              <w:left w:val="single" w:color="auto" w:sz="6" w:space="0"/>
              <w:bottom w:val="single" w:color="auto" w:sz="6" w:space="0"/>
              <w:right w:val="single" w:color="auto" w:sz="6" w:space="0"/>
            </w:tcBorders>
            <w:noWrap w:val="0"/>
            <w:vAlign w:val="top"/>
          </w:tcPr>
          <w:p w14:paraId="72342723">
            <w:pPr>
              <w:autoSpaceDE w:val="0"/>
              <w:autoSpaceDN w:val="0"/>
              <w:spacing w:line="360" w:lineRule="auto"/>
              <w:rPr>
                <w:rFonts w:hint="eastAsia" w:ascii="宋体" w:hAnsi="宋体" w:eastAsia="宋体" w:cs="宋体"/>
                <w:color w:val="auto"/>
                <w:sz w:val="24"/>
                <w:highlight w:val="none"/>
              </w:rPr>
            </w:pPr>
          </w:p>
        </w:tc>
        <w:tc>
          <w:tcPr>
            <w:tcW w:w="1080" w:type="dxa"/>
            <w:tcBorders>
              <w:top w:val="single" w:color="auto" w:sz="6" w:space="0"/>
              <w:left w:val="single" w:color="auto" w:sz="6" w:space="0"/>
              <w:bottom w:val="single" w:color="auto" w:sz="6" w:space="0"/>
              <w:right w:val="single" w:color="auto" w:sz="6" w:space="0"/>
            </w:tcBorders>
            <w:noWrap w:val="0"/>
            <w:vAlign w:val="top"/>
          </w:tcPr>
          <w:p w14:paraId="5AC0AEEB">
            <w:pPr>
              <w:autoSpaceDE w:val="0"/>
              <w:autoSpaceDN w:val="0"/>
              <w:spacing w:line="360" w:lineRule="auto"/>
              <w:rPr>
                <w:rFonts w:hint="eastAsia" w:ascii="宋体" w:hAnsi="宋体" w:eastAsia="宋体" w:cs="宋体"/>
                <w:color w:val="auto"/>
                <w:sz w:val="24"/>
                <w:highlight w:val="none"/>
              </w:rPr>
            </w:pPr>
          </w:p>
        </w:tc>
        <w:tc>
          <w:tcPr>
            <w:tcW w:w="1080" w:type="dxa"/>
            <w:tcBorders>
              <w:top w:val="single" w:color="auto" w:sz="6" w:space="0"/>
              <w:left w:val="single" w:color="auto" w:sz="6" w:space="0"/>
              <w:bottom w:val="single" w:color="auto" w:sz="6" w:space="0"/>
              <w:right w:val="single" w:color="auto" w:sz="6" w:space="0"/>
            </w:tcBorders>
            <w:noWrap w:val="0"/>
            <w:vAlign w:val="top"/>
          </w:tcPr>
          <w:p w14:paraId="51A2FE60">
            <w:pPr>
              <w:autoSpaceDE w:val="0"/>
              <w:autoSpaceDN w:val="0"/>
              <w:spacing w:line="360" w:lineRule="auto"/>
              <w:rPr>
                <w:rFonts w:hint="eastAsia" w:ascii="宋体" w:hAnsi="宋体" w:eastAsia="宋体" w:cs="宋体"/>
                <w:color w:val="auto"/>
                <w:sz w:val="24"/>
                <w:highlight w:val="none"/>
              </w:rPr>
            </w:pPr>
          </w:p>
        </w:tc>
        <w:tc>
          <w:tcPr>
            <w:tcW w:w="1080" w:type="dxa"/>
            <w:tcBorders>
              <w:top w:val="single" w:color="auto" w:sz="6" w:space="0"/>
              <w:left w:val="single" w:color="auto" w:sz="6" w:space="0"/>
              <w:bottom w:val="single" w:color="auto" w:sz="6" w:space="0"/>
              <w:right w:val="single" w:color="auto" w:sz="6" w:space="0"/>
            </w:tcBorders>
            <w:noWrap w:val="0"/>
            <w:vAlign w:val="top"/>
          </w:tcPr>
          <w:p w14:paraId="6C4E9EE1">
            <w:pPr>
              <w:autoSpaceDE w:val="0"/>
              <w:autoSpaceDN w:val="0"/>
              <w:spacing w:line="360" w:lineRule="auto"/>
              <w:rPr>
                <w:rFonts w:hint="eastAsia" w:ascii="宋体" w:hAnsi="宋体" w:eastAsia="宋体" w:cs="宋体"/>
                <w:color w:val="auto"/>
                <w:sz w:val="24"/>
                <w:highlight w:val="none"/>
              </w:rPr>
            </w:pPr>
          </w:p>
        </w:tc>
        <w:tc>
          <w:tcPr>
            <w:tcW w:w="1260" w:type="dxa"/>
            <w:tcBorders>
              <w:top w:val="single" w:color="auto" w:sz="6" w:space="0"/>
              <w:left w:val="single" w:color="auto" w:sz="6" w:space="0"/>
              <w:bottom w:val="single" w:color="auto" w:sz="6" w:space="0"/>
              <w:right w:val="single" w:color="auto" w:sz="6" w:space="0"/>
            </w:tcBorders>
            <w:noWrap w:val="0"/>
            <w:vAlign w:val="top"/>
          </w:tcPr>
          <w:p w14:paraId="45738546">
            <w:pPr>
              <w:autoSpaceDE w:val="0"/>
              <w:autoSpaceDN w:val="0"/>
              <w:spacing w:line="360" w:lineRule="auto"/>
              <w:rPr>
                <w:rFonts w:hint="eastAsia" w:ascii="宋体" w:hAnsi="宋体" w:eastAsia="宋体" w:cs="宋体"/>
                <w:color w:val="auto"/>
                <w:sz w:val="24"/>
                <w:highlight w:val="none"/>
              </w:rPr>
            </w:pPr>
          </w:p>
        </w:tc>
        <w:tc>
          <w:tcPr>
            <w:tcW w:w="900" w:type="dxa"/>
            <w:tcBorders>
              <w:top w:val="single" w:color="auto" w:sz="6" w:space="0"/>
              <w:left w:val="single" w:color="auto" w:sz="6" w:space="0"/>
              <w:bottom w:val="single" w:color="auto" w:sz="6" w:space="0"/>
              <w:right w:val="single" w:color="auto" w:sz="6" w:space="0"/>
            </w:tcBorders>
            <w:noWrap w:val="0"/>
            <w:vAlign w:val="top"/>
          </w:tcPr>
          <w:p w14:paraId="243A72C9">
            <w:pPr>
              <w:autoSpaceDE w:val="0"/>
              <w:autoSpaceDN w:val="0"/>
              <w:spacing w:line="360" w:lineRule="auto"/>
              <w:rPr>
                <w:rFonts w:hint="eastAsia" w:ascii="宋体" w:hAnsi="宋体" w:eastAsia="宋体" w:cs="宋体"/>
                <w:color w:val="auto"/>
                <w:sz w:val="24"/>
                <w:highlight w:val="none"/>
              </w:rPr>
            </w:pPr>
          </w:p>
        </w:tc>
        <w:tc>
          <w:tcPr>
            <w:tcW w:w="1111" w:type="dxa"/>
            <w:tcBorders>
              <w:top w:val="single" w:color="auto" w:sz="6" w:space="0"/>
              <w:left w:val="single" w:color="auto" w:sz="6" w:space="0"/>
              <w:bottom w:val="single" w:color="auto" w:sz="6" w:space="0"/>
              <w:right w:val="single" w:color="auto" w:sz="6" w:space="0"/>
            </w:tcBorders>
            <w:noWrap w:val="0"/>
            <w:vAlign w:val="top"/>
          </w:tcPr>
          <w:p w14:paraId="1E17088D">
            <w:pPr>
              <w:autoSpaceDE w:val="0"/>
              <w:autoSpaceDN w:val="0"/>
              <w:spacing w:line="360" w:lineRule="auto"/>
              <w:rPr>
                <w:rFonts w:hint="eastAsia" w:ascii="宋体" w:hAnsi="宋体" w:eastAsia="宋体" w:cs="宋体"/>
                <w:color w:val="auto"/>
                <w:sz w:val="24"/>
                <w:highlight w:val="none"/>
              </w:rPr>
            </w:pPr>
          </w:p>
        </w:tc>
      </w:tr>
    </w:tbl>
    <w:p w14:paraId="1BE71D0D">
      <w:pPr>
        <w:snapToGrid w:val="0"/>
        <w:spacing w:before="165" w:beforeLines="50" w:after="50"/>
        <w:ind w:left="142"/>
        <w:jc w:val="center"/>
        <w:rPr>
          <w:rFonts w:hint="eastAsia" w:ascii="宋体" w:hAnsi="宋体" w:eastAsia="宋体" w:cs="宋体"/>
          <w:b/>
          <w:color w:val="auto"/>
          <w:sz w:val="32"/>
          <w:szCs w:val="32"/>
          <w:highlight w:val="none"/>
        </w:rPr>
      </w:pPr>
    </w:p>
    <w:p w14:paraId="7E5D3B03">
      <w:pPr>
        <w:snapToGrid w:val="0"/>
        <w:spacing w:before="165" w:beforeLines="50" w:line="360" w:lineRule="auto"/>
        <w:ind w:right="480" w:firstLine="3967" w:firstLineChars="1653"/>
        <w:rPr>
          <w:rFonts w:hint="eastAsia" w:ascii="宋体" w:hAnsi="宋体" w:eastAsia="宋体" w:cs="宋体"/>
          <w:color w:val="auto"/>
          <w:sz w:val="24"/>
          <w:highlight w:val="none"/>
        </w:rPr>
      </w:pPr>
    </w:p>
    <w:p w14:paraId="542F1E0D">
      <w:pPr>
        <w:snapToGrid w:val="0"/>
        <w:spacing w:line="360" w:lineRule="auto"/>
        <w:ind w:firstLine="5160" w:firstLineChars="2150"/>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lang w:val="zh-CN"/>
        </w:rPr>
        <w:t>投标人名称(电子签章)：</w:t>
      </w:r>
    </w:p>
    <w:p w14:paraId="4846CA56">
      <w:pPr>
        <w:snapToGrid w:val="0"/>
        <w:spacing w:line="360" w:lineRule="auto"/>
        <w:ind w:firstLine="5160" w:firstLineChars="2150"/>
        <w:rPr>
          <w:rFonts w:hint="eastAsia" w:ascii="宋体" w:hAnsi="宋体" w:eastAsia="宋体" w:cs="宋体"/>
          <w:color w:val="auto"/>
          <w:kern w:val="0"/>
          <w:sz w:val="24"/>
          <w:highlight w:val="none"/>
          <w:lang w:val="zh-CN"/>
        </w:rPr>
      </w:pPr>
      <w:r>
        <w:rPr>
          <w:rFonts w:hint="eastAsia" w:ascii="宋体" w:hAnsi="宋体" w:eastAsia="宋体" w:cs="宋体"/>
          <w:color w:val="auto"/>
          <w:kern w:val="0"/>
          <w:sz w:val="24"/>
          <w:highlight w:val="none"/>
          <w:lang w:val="zh-CN"/>
        </w:rPr>
        <w:t>日期</w:t>
      </w:r>
      <w:r>
        <w:rPr>
          <w:rFonts w:hint="eastAsia" w:ascii="宋体" w:hAnsi="宋体" w:eastAsia="宋体" w:cs="宋体"/>
          <w:color w:val="auto"/>
          <w:kern w:val="0"/>
          <w:sz w:val="24"/>
          <w:highlight w:val="none"/>
        </w:rPr>
        <w:t>：年</w:t>
      </w:r>
      <w:r>
        <w:rPr>
          <w:rFonts w:hint="eastAsia" w:ascii="宋体" w:hAnsi="宋体" w:eastAsia="宋体" w:cs="宋体"/>
          <w:color w:val="auto"/>
          <w:kern w:val="0"/>
          <w:sz w:val="24"/>
          <w:highlight w:val="none"/>
          <w:lang w:val="zh-CN"/>
        </w:rPr>
        <w:t>月日</w:t>
      </w:r>
    </w:p>
    <w:p w14:paraId="0F86CAF5">
      <w:pPr>
        <w:widowControl/>
        <w:spacing w:line="360" w:lineRule="auto"/>
        <w:jc w:val="left"/>
        <w:rPr>
          <w:rFonts w:hint="eastAsia" w:ascii="宋体" w:hAnsi="宋体" w:eastAsia="宋体" w:cs="宋体"/>
          <w:color w:val="auto"/>
          <w:sz w:val="24"/>
          <w:highlight w:val="none"/>
        </w:rPr>
        <w:sectPr>
          <w:pgSz w:w="11906" w:h="16838"/>
          <w:pgMar w:top="1134" w:right="1134" w:bottom="1134" w:left="1134" w:header="720" w:footer="720" w:gutter="0"/>
          <w:cols w:space="720" w:num="1"/>
          <w:docGrid w:type="lines" w:linePitch="331" w:charSpace="0"/>
        </w:sectPr>
      </w:pPr>
    </w:p>
    <w:p w14:paraId="599DDDE3">
      <w:pPr>
        <w:snapToGrid w:val="0"/>
        <w:spacing w:before="165" w:beforeLines="50" w:after="50"/>
        <w:ind w:left="142"/>
        <w:jc w:val="center"/>
        <w:rPr>
          <w:rFonts w:hint="eastAsia" w:ascii="宋体" w:hAnsi="宋体" w:eastAsia="宋体" w:cs="宋体"/>
          <w:b/>
          <w:color w:val="auto"/>
          <w:sz w:val="32"/>
          <w:szCs w:val="32"/>
          <w:highlight w:val="none"/>
        </w:rPr>
      </w:pPr>
      <w:r>
        <w:rPr>
          <w:rFonts w:hint="eastAsia" w:ascii="宋体" w:hAnsi="宋体" w:eastAsia="宋体" w:cs="宋体"/>
          <w:b/>
          <w:color w:val="auto"/>
          <w:sz w:val="32"/>
          <w:szCs w:val="32"/>
          <w:highlight w:val="none"/>
        </w:rPr>
        <w:t>四、项目实施人员一览表</w:t>
      </w:r>
    </w:p>
    <w:p w14:paraId="4DEE8D12">
      <w:pPr>
        <w:spacing w:line="360" w:lineRule="auto"/>
        <w:jc w:val="center"/>
        <w:rPr>
          <w:rFonts w:hint="eastAsia" w:ascii="宋体" w:hAnsi="宋体" w:eastAsia="宋体" w:cs="宋体"/>
          <w:b/>
          <w:bCs/>
          <w:color w:val="auto"/>
          <w:sz w:val="24"/>
          <w:highlight w:val="none"/>
        </w:rPr>
      </w:pPr>
      <w:r>
        <w:rPr>
          <w:rFonts w:hint="eastAsia" w:ascii="宋体" w:hAnsi="宋体" w:eastAsia="宋体" w:cs="宋体"/>
          <w:color w:val="auto"/>
          <w:sz w:val="24"/>
          <w:highlight w:val="none"/>
        </w:rPr>
        <w:t>（由投标人根据采购需求及招标文件要求编制）</w:t>
      </w:r>
    </w:p>
    <w:p w14:paraId="1BE36FC9">
      <w:pPr>
        <w:pStyle w:val="18"/>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所投分标：分标</w:t>
      </w:r>
    </w:p>
    <w:p w14:paraId="256818AD">
      <w:pPr>
        <w:keepNext/>
        <w:autoSpaceDE w:val="0"/>
        <w:autoSpaceDN w:val="0"/>
        <w:spacing w:line="360" w:lineRule="auto"/>
        <w:ind w:firstLine="477"/>
        <w:rPr>
          <w:rFonts w:hint="eastAsia" w:ascii="宋体" w:hAnsi="宋体" w:eastAsia="宋体" w:cs="宋体"/>
          <w:b/>
          <w:color w:val="auto"/>
          <w:sz w:val="24"/>
          <w:highlight w:val="none"/>
        </w:rPr>
      </w:pPr>
      <w:r>
        <w:rPr>
          <w:rFonts w:hint="eastAsia" w:ascii="宋体" w:hAnsi="宋体" w:eastAsia="宋体" w:cs="宋体"/>
          <w:b/>
          <w:color w:val="auto"/>
          <w:sz w:val="24"/>
          <w:highlight w:val="none"/>
        </w:rPr>
        <w:t>附表A:本项目的项目经理情况表</w:t>
      </w:r>
    </w:p>
    <w:tbl>
      <w:tblPr>
        <w:tblStyle w:val="35"/>
        <w:tblW w:w="0" w:type="auto"/>
        <w:tblInd w:w="116" w:type="dxa"/>
        <w:tblLayout w:type="fixed"/>
        <w:tblCellMar>
          <w:top w:w="0" w:type="dxa"/>
          <w:left w:w="108" w:type="dxa"/>
          <w:bottom w:w="0" w:type="dxa"/>
          <w:right w:w="108" w:type="dxa"/>
        </w:tblCellMar>
      </w:tblPr>
      <w:tblGrid>
        <w:gridCol w:w="2061"/>
        <w:gridCol w:w="1287"/>
        <w:gridCol w:w="1260"/>
        <w:gridCol w:w="4147"/>
      </w:tblGrid>
      <w:tr w14:paraId="7590B7AB">
        <w:tblPrEx>
          <w:tblCellMar>
            <w:top w:w="0" w:type="dxa"/>
            <w:left w:w="108" w:type="dxa"/>
            <w:bottom w:w="0" w:type="dxa"/>
            <w:right w:w="108" w:type="dxa"/>
          </w:tblCellMar>
        </w:tblPrEx>
        <w:trPr>
          <w:trHeight w:val="604" w:hRule="atLeast"/>
        </w:trPr>
        <w:tc>
          <w:tcPr>
            <w:tcW w:w="2061" w:type="dxa"/>
            <w:tcBorders>
              <w:top w:val="single" w:color="auto" w:sz="6" w:space="0"/>
              <w:left w:val="single" w:color="auto" w:sz="6" w:space="0"/>
              <w:bottom w:val="single" w:color="auto" w:sz="6" w:space="0"/>
              <w:right w:val="single" w:color="auto" w:sz="6" w:space="0"/>
            </w:tcBorders>
            <w:shd w:val="clear" w:color="auto" w:fill="auto"/>
            <w:noWrap w:val="0"/>
            <w:vAlign w:val="center"/>
          </w:tcPr>
          <w:p w14:paraId="6BAB312A">
            <w:pPr>
              <w:autoSpaceDE w:val="0"/>
              <w:autoSpaceDN w:val="0"/>
              <w:spacing w:line="360" w:lineRule="auto"/>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姓名</w:t>
            </w:r>
          </w:p>
        </w:tc>
        <w:tc>
          <w:tcPr>
            <w:tcW w:w="1287" w:type="dxa"/>
            <w:tcBorders>
              <w:top w:val="single" w:color="auto" w:sz="6" w:space="0"/>
              <w:left w:val="single" w:color="auto" w:sz="6" w:space="0"/>
              <w:bottom w:val="single" w:color="auto" w:sz="6" w:space="0"/>
              <w:right w:val="single" w:color="auto" w:sz="4" w:space="0"/>
            </w:tcBorders>
            <w:shd w:val="clear" w:color="auto" w:fill="B3B3B3"/>
            <w:noWrap w:val="0"/>
            <w:vAlign w:val="center"/>
          </w:tcPr>
          <w:p w14:paraId="0B1F35AD">
            <w:pPr>
              <w:autoSpaceDE w:val="0"/>
              <w:autoSpaceDN w:val="0"/>
              <w:spacing w:line="360" w:lineRule="auto"/>
              <w:jc w:val="center"/>
              <w:rPr>
                <w:rFonts w:hint="eastAsia" w:ascii="宋体" w:hAnsi="宋体" w:eastAsia="宋体" w:cs="宋体"/>
                <w:color w:val="auto"/>
                <w:sz w:val="24"/>
                <w:highlight w:val="none"/>
              </w:rPr>
            </w:pPr>
          </w:p>
        </w:tc>
        <w:tc>
          <w:tcPr>
            <w:tcW w:w="1260" w:type="dxa"/>
            <w:tcBorders>
              <w:top w:val="single" w:color="auto" w:sz="6" w:space="0"/>
              <w:left w:val="single" w:color="auto" w:sz="4" w:space="0"/>
              <w:bottom w:val="single" w:color="auto" w:sz="6" w:space="0"/>
              <w:right w:val="single" w:color="auto" w:sz="6" w:space="0"/>
            </w:tcBorders>
            <w:noWrap w:val="0"/>
            <w:vAlign w:val="center"/>
          </w:tcPr>
          <w:p w14:paraId="65A33BAC">
            <w:pPr>
              <w:autoSpaceDE w:val="0"/>
              <w:autoSpaceDN w:val="0"/>
              <w:spacing w:line="360" w:lineRule="auto"/>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页码</w:t>
            </w:r>
          </w:p>
        </w:tc>
        <w:tc>
          <w:tcPr>
            <w:tcW w:w="4147" w:type="dxa"/>
            <w:tcBorders>
              <w:top w:val="single" w:color="auto" w:sz="6" w:space="0"/>
              <w:left w:val="single" w:color="auto" w:sz="6" w:space="0"/>
              <w:bottom w:val="single" w:color="auto" w:sz="6" w:space="0"/>
              <w:right w:val="single" w:color="auto" w:sz="6" w:space="0"/>
            </w:tcBorders>
            <w:noWrap w:val="0"/>
            <w:vAlign w:val="center"/>
          </w:tcPr>
          <w:p w14:paraId="7EA5F5C4">
            <w:pPr>
              <w:autoSpaceDE w:val="0"/>
              <w:autoSpaceDN w:val="0"/>
              <w:spacing w:line="360" w:lineRule="auto"/>
              <w:rPr>
                <w:rFonts w:hint="eastAsia" w:ascii="宋体" w:hAnsi="宋体" w:eastAsia="宋体" w:cs="宋体"/>
                <w:color w:val="auto"/>
                <w:sz w:val="24"/>
                <w:highlight w:val="none"/>
              </w:rPr>
            </w:pPr>
            <w:r>
              <w:rPr>
                <w:rFonts w:hint="eastAsia" w:ascii="宋体" w:hAnsi="宋体" w:eastAsia="宋体" w:cs="宋体"/>
                <w:color w:val="auto"/>
                <w:sz w:val="24"/>
                <w:highlight w:val="none"/>
              </w:rPr>
              <w:t>投标截止时间前三年业绩及承担的主要工作情况，曾担任项目经理的项目应列明细</w:t>
            </w:r>
          </w:p>
        </w:tc>
      </w:tr>
      <w:tr w14:paraId="58C22CC3">
        <w:tblPrEx>
          <w:tblCellMar>
            <w:top w:w="0" w:type="dxa"/>
            <w:left w:w="108" w:type="dxa"/>
            <w:bottom w:w="0" w:type="dxa"/>
            <w:right w:w="108" w:type="dxa"/>
          </w:tblCellMar>
        </w:tblPrEx>
        <w:trPr>
          <w:cantSplit/>
          <w:trHeight w:val="345" w:hRule="atLeast"/>
        </w:trPr>
        <w:tc>
          <w:tcPr>
            <w:tcW w:w="2061" w:type="dxa"/>
            <w:tcBorders>
              <w:top w:val="single" w:color="auto" w:sz="6" w:space="0"/>
              <w:left w:val="single" w:color="auto" w:sz="6" w:space="0"/>
              <w:bottom w:val="single" w:color="auto" w:sz="6" w:space="0"/>
              <w:right w:val="single" w:color="auto" w:sz="6" w:space="0"/>
            </w:tcBorders>
            <w:shd w:val="clear" w:color="auto" w:fill="auto"/>
            <w:noWrap w:val="0"/>
            <w:vAlign w:val="center"/>
          </w:tcPr>
          <w:p w14:paraId="563914D5">
            <w:pPr>
              <w:autoSpaceDE w:val="0"/>
              <w:autoSpaceDN w:val="0"/>
              <w:spacing w:line="360" w:lineRule="auto"/>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性别</w:t>
            </w:r>
          </w:p>
        </w:tc>
        <w:tc>
          <w:tcPr>
            <w:tcW w:w="1287" w:type="dxa"/>
            <w:tcBorders>
              <w:top w:val="single" w:color="auto" w:sz="6" w:space="0"/>
              <w:left w:val="single" w:color="auto" w:sz="6" w:space="0"/>
              <w:bottom w:val="single" w:color="auto" w:sz="6" w:space="0"/>
              <w:right w:val="single" w:color="auto" w:sz="4" w:space="0"/>
            </w:tcBorders>
            <w:shd w:val="clear" w:color="auto" w:fill="auto"/>
            <w:noWrap w:val="0"/>
            <w:vAlign w:val="center"/>
          </w:tcPr>
          <w:p w14:paraId="6551980F">
            <w:pPr>
              <w:autoSpaceDE w:val="0"/>
              <w:autoSpaceDN w:val="0"/>
              <w:spacing w:line="360" w:lineRule="auto"/>
              <w:jc w:val="center"/>
              <w:rPr>
                <w:rFonts w:hint="eastAsia" w:ascii="宋体" w:hAnsi="宋体" w:eastAsia="宋体" w:cs="宋体"/>
                <w:color w:val="auto"/>
                <w:sz w:val="24"/>
                <w:highlight w:val="none"/>
              </w:rPr>
            </w:pPr>
          </w:p>
        </w:tc>
        <w:tc>
          <w:tcPr>
            <w:tcW w:w="1260" w:type="dxa"/>
            <w:tcBorders>
              <w:top w:val="single" w:color="auto" w:sz="6" w:space="0"/>
              <w:left w:val="single" w:color="auto" w:sz="4" w:space="0"/>
              <w:bottom w:val="single" w:color="auto" w:sz="6" w:space="0"/>
              <w:right w:val="single" w:color="auto" w:sz="6" w:space="0"/>
            </w:tcBorders>
            <w:shd w:val="clear" w:color="auto" w:fill="B3B3B3"/>
            <w:noWrap w:val="0"/>
            <w:vAlign w:val="center"/>
          </w:tcPr>
          <w:p w14:paraId="754F2721">
            <w:pPr>
              <w:autoSpaceDE w:val="0"/>
              <w:autoSpaceDN w:val="0"/>
              <w:spacing w:line="360" w:lineRule="auto"/>
              <w:jc w:val="center"/>
              <w:rPr>
                <w:rFonts w:hint="eastAsia" w:ascii="宋体" w:hAnsi="宋体" w:eastAsia="宋体" w:cs="宋体"/>
                <w:color w:val="auto"/>
                <w:sz w:val="24"/>
                <w:highlight w:val="none"/>
              </w:rPr>
            </w:pPr>
          </w:p>
        </w:tc>
        <w:tc>
          <w:tcPr>
            <w:tcW w:w="4147" w:type="dxa"/>
            <w:vMerge w:val="restart"/>
            <w:tcBorders>
              <w:top w:val="single" w:color="auto" w:sz="6" w:space="0"/>
              <w:left w:val="single" w:color="auto" w:sz="6" w:space="0"/>
              <w:bottom w:val="single" w:color="auto" w:sz="6" w:space="0"/>
              <w:right w:val="single" w:color="auto" w:sz="6" w:space="0"/>
            </w:tcBorders>
            <w:noWrap w:val="0"/>
            <w:vAlign w:val="center"/>
          </w:tcPr>
          <w:p w14:paraId="052AA1D2">
            <w:pPr>
              <w:autoSpaceDE w:val="0"/>
              <w:autoSpaceDN w:val="0"/>
              <w:spacing w:line="360" w:lineRule="auto"/>
              <w:jc w:val="center"/>
              <w:rPr>
                <w:rFonts w:hint="eastAsia" w:ascii="宋体" w:hAnsi="宋体" w:eastAsia="宋体" w:cs="宋体"/>
                <w:color w:val="auto"/>
                <w:sz w:val="24"/>
                <w:highlight w:val="none"/>
              </w:rPr>
            </w:pPr>
          </w:p>
        </w:tc>
      </w:tr>
      <w:tr w14:paraId="7AA92F21">
        <w:tblPrEx>
          <w:tblCellMar>
            <w:top w:w="0" w:type="dxa"/>
            <w:left w:w="108" w:type="dxa"/>
            <w:bottom w:w="0" w:type="dxa"/>
            <w:right w:w="108" w:type="dxa"/>
          </w:tblCellMar>
        </w:tblPrEx>
        <w:trPr>
          <w:cantSplit/>
          <w:trHeight w:val="337" w:hRule="atLeast"/>
        </w:trPr>
        <w:tc>
          <w:tcPr>
            <w:tcW w:w="2061" w:type="dxa"/>
            <w:tcBorders>
              <w:top w:val="single" w:color="auto" w:sz="6" w:space="0"/>
              <w:left w:val="single" w:color="auto" w:sz="6" w:space="0"/>
              <w:bottom w:val="single" w:color="auto" w:sz="6" w:space="0"/>
              <w:right w:val="single" w:color="auto" w:sz="6" w:space="0"/>
            </w:tcBorders>
            <w:shd w:val="clear" w:color="auto" w:fill="auto"/>
            <w:noWrap w:val="0"/>
            <w:vAlign w:val="center"/>
          </w:tcPr>
          <w:p w14:paraId="394F378D">
            <w:pPr>
              <w:autoSpaceDE w:val="0"/>
              <w:autoSpaceDN w:val="0"/>
              <w:spacing w:line="360" w:lineRule="auto"/>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年龄</w:t>
            </w:r>
          </w:p>
        </w:tc>
        <w:tc>
          <w:tcPr>
            <w:tcW w:w="1287" w:type="dxa"/>
            <w:tcBorders>
              <w:top w:val="single" w:color="auto" w:sz="6" w:space="0"/>
              <w:left w:val="single" w:color="auto" w:sz="6" w:space="0"/>
              <w:bottom w:val="single" w:color="auto" w:sz="6" w:space="0"/>
              <w:right w:val="single" w:color="auto" w:sz="4" w:space="0"/>
            </w:tcBorders>
            <w:shd w:val="clear" w:color="auto" w:fill="auto"/>
            <w:noWrap w:val="0"/>
            <w:vAlign w:val="center"/>
          </w:tcPr>
          <w:p w14:paraId="21681EF9">
            <w:pPr>
              <w:autoSpaceDE w:val="0"/>
              <w:autoSpaceDN w:val="0"/>
              <w:spacing w:line="360" w:lineRule="auto"/>
              <w:jc w:val="center"/>
              <w:rPr>
                <w:rFonts w:hint="eastAsia" w:ascii="宋体" w:hAnsi="宋体" w:eastAsia="宋体" w:cs="宋体"/>
                <w:color w:val="auto"/>
                <w:sz w:val="24"/>
                <w:highlight w:val="none"/>
              </w:rPr>
            </w:pPr>
          </w:p>
        </w:tc>
        <w:tc>
          <w:tcPr>
            <w:tcW w:w="1260" w:type="dxa"/>
            <w:tcBorders>
              <w:top w:val="single" w:color="auto" w:sz="6" w:space="0"/>
              <w:left w:val="single" w:color="auto" w:sz="4" w:space="0"/>
              <w:bottom w:val="single" w:color="auto" w:sz="6" w:space="0"/>
              <w:right w:val="single" w:color="auto" w:sz="6" w:space="0"/>
            </w:tcBorders>
            <w:shd w:val="clear" w:color="auto" w:fill="B3B3B3"/>
            <w:noWrap w:val="0"/>
            <w:vAlign w:val="center"/>
          </w:tcPr>
          <w:p w14:paraId="10561F2B">
            <w:pPr>
              <w:autoSpaceDE w:val="0"/>
              <w:autoSpaceDN w:val="0"/>
              <w:spacing w:line="360" w:lineRule="auto"/>
              <w:jc w:val="center"/>
              <w:rPr>
                <w:rFonts w:hint="eastAsia" w:ascii="宋体" w:hAnsi="宋体" w:eastAsia="宋体" w:cs="宋体"/>
                <w:color w:val="auto"/>
                <w:sz w:val="24"/>
                <w:highlight w:val="none"/>
              </w:rPr>
            </w:pPr>
          </w:p>
        </w:tc>
        <w:tc>
          <w:tcPr>
            <w:tcW w:w="4147" w:type="dxa"/>
            <w:vMerge w:val="continue"/>
            <w:tcBorders>
              <w:top w:val="single" w:color="auto" w:sz="6" w:space="0"/>
              <w:left w:val="single" w:color="auto" w:sz="6" w:space="0"/>
              <w:bottom w:val="single" w:color="auto" w:sz="6" w:space="0"/>
              <w:right w:val="single" w:color="auto" w:sz="6" w:space="0"/>
            </w:tcBorders>
            <w:noWrap w:val="0"/>
            <w:vAlign w:val="center"/>
          </w:tcPr>
          <w:p w14:paraId="00FFB9FE">
            <w:pPr>
              <w:widowControl/>
              <w:jc w:val="left"/>
              <w:rPr>
                <w:rFonts w:hint="eastAsia" w:ascii="宋体" w:hAnsi="宋体" w:eastAsia="宋体" w:cs="宋体"/>
                <w:color w:val="auto"/>
                <w:sz w:val="24"/>
                <w:highlight w:val="none"/>
              </w:rPr>
            </w:pPr>
          </w:p>
        </w:tc>
      </w:tr>
      <w:tr w14:paraId="5097B9B1">
        <w:tblPrEx>
          <w:tblCellMar>
            <w:top w:w="0" w:type="dxa"/>
            <w:left w:w="108" w:type="dxa"/>
            <w:bottom w:w="0" w:type="dxa"/>
            <w:right w:w="108" w:type="dxa"/>
          </w:tblCellMar>
        </w:tblPrEx>
        <w:trPr>
          <w:cantSplit/>
          <w:trHeight w:val="345" w:hRule="atLeast"/>
        </w:trPr>
        <w:tc>
          <w:tcPr>
            <w:tcW w:w="2061" w:type="dxa"/>
            <w:tcBorders>
              <w:top w:val="single" w:color="auto" w:sz="6" w:space="0"/>
              <w:left w:val="single" w:color="auto" w:sz="6" w:space="0"/>
              <w:bottom w:val="single" w:color="auto" w:sz="6" w:space="0"/>
              <w:right w:val="single" w:color="auto" w:sz="6" w:space="0"/>
            </w:tcBorders>
            <w:noWrap w:val="0"/>
            <w:vAlign w:val="center"/>
          </w:tcPr>
          <w:p w14:paraId="44D2A03D">
            <w:pPr>
              <w:autoSpaceDE w:val="0"/>
              <w:autoSpaceDN w:val="0"/>
              <w:spacing w:line="360" w:lineRule="auto"/>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职称</w:t>
            </w:r>
          </w:p>
        </w:tc>
        <w:tc>
          <w:tcPr>
            <w:tcW w:w="1287" w:type="dxa"/>
            <w:tcBorders>
              <w:top w:val="single" w:color="auto" w:sz="6" w:space="0"/>
              <w:left w:val="single" w:color="auto" w:sz="6" w:space="0"/>
              <w:bottom w:val="single" w:color="auto" w:sz="6" w:space="0"/>
              <w:right w:val="single" w:color="auto" w:sz="4" w:space="0"/>
            </w:tcBorders>
            <w:noWrap w:val="0"/>
            <w:vAlign w:val="center"/>
          </w:tcPr>
          <w:p w14:paraId="1D6F177F">
            <w:pPr>
              <w:autoSpaceDE w:val="0"/>
              <w:autoSpaceDN w:val="0"/>
              <w:spacing w:line="360" w:lineRule="auto"/>
              <w:jc w:val="center"/>
              <w:rPr>
                <w:rFonts w:hint="eastAsia" w:ascii="宋体" w:hAnsi="宋体" w:eastAsia="宋体" w:cs="宋体"/>
                <w:color w:val="auto"/>
                <w:sz w:val="24"/>
                <w:highlight w:val="none"/>
              </w:rPr>
            </w:pPr>
          </w:p>
        </w:tc>
        <w:tc>
          <w:tcPr>
            <w:tcW w:w="1260" w:type="dxa"/>
            <w:tcBorders>
              <w:top w:val="single" w:color="auto" w:sz="6" w:space="0"/>
              <w:left w:val="single" w:color="auto" w:sz="4" w:space="0"/>
              <w:bottom w:val="single" w:color="auto" w:sz="6" w:space="0"/>
              <w:right w:val="single" w:color="auto" w:sz="6" w:space="0"/>
            </w:tcBorders>
            <w:noWrap w:val="0"/>
            <w:vAlign w:val="center"/>
          </w:tcPr>
          <w:p w14:paraId="4D8C5EBB">
            <w:pPr>
              <w:autoSpaceDE w:val="0"/>
              <w:autoSpaceDN w:val="0"/>
              <w:spacing w:line="360" w:lineRule="auto"/>
              <w:jc w:val="center"/>
              <w:rPr>
                <w:rFonts w:hint="eastAsia" w:ascii="宋体" w:hAnsi="宋体" w:eastAsia="宋体" w:cs="宋体"/>
                <w:color w:val="auto"/>
                <w:sz w:val="24"/>
                <w:highlight w:val="none"/>
              </w:rPr>
            </w:pPr>
          </w:p>
        </w:tc>
        <w:tc>
          <w:tcPr>
            <w:tcW w:w="4147" w:type="dxa"/>
            <w:vMerge w:val="continue"/>
            <w:tcBorders>
              <w:top w:val="single" w:color="auto" w:sz="6" w:space="0"/>
              <w:left w:val="single" w:color="auto" w:sz="6" w:space="0"/>
              <w:bottom w:val="single" w:color="auto" w:sz="6" w:space="0"/>
              <w:right w:val="single" w:color="auto" w:sz="6" w:space="0"/>
            </w:tcBorders>
            <w:noWrap w:val="0"/>
            <w:vAlign w:val="center"/>
          </w:tcPr>
          <w:p w14:paraId="080BAFBF">
            <w:pPr>
              <w:widowControl/>
              <w:jc w:val="left"/>
              <w:rPr>
                <w:rFonts w:hint="eastAsia" w:ascii="宋体" w:hAnsi="宋体" w:eastAsia="宋体" w:cs="宋体"/>
                <w:color w:val="auto"/>
                <w:sz w:val="24"/>
                <w:highlight w:val="none"/>
              </w:rPr>
            </w:pPr>
          </w:p>
        </w:tc>
      </w:tr>
      <w:tr w14:paraId="2D333C7C">
        <w:tblPrEx>
          <w:tblCellMar>
            <w:top w:w="0" w:type="dxa"/>
            <w:left w:w="108" w:type="dxa"/>
            <w:bottom w:w="0" w:type="dxa"/>
            <w:right w:w="108" w:type="dxa"/>
          </w:tblCellMar>
        </w:tblPrEx>
        <w:trPr>
          <w:cantSplit/>
          <w:trHeight w:val="345" w:hRule="atLeast"/>
        </w:trPr>
        <w:tc>
          <w:tcPr>
            <w:tcW w:w="2061" w:type="dxa"/>
            <w:tcBorders>
              <w:top w:val="single" w:color="auto" w:sz="6" w:space="0"/>
              <w:left w:val="single" w:color="auto" w:sz="6" w:space="0"/>
              <w:bottom w:val="single" w:color="auto" w:sz="6" w:space="0"/>
              <w:right w:val="single" w:color="auto" w:sz="6" w:space="0"/>
            </w:tcBorders>
            <w:noWrap w:val="0"/>
            <w:vAlign w:val="center"/>
          </w:tcPr>
          <w:p w14:paraId="381F2F8D">
            <w:pPr>
              <w:autoSpaceDE w:val="0"/>
              <w:autoSpaceDN w:val="0"/>
              <w:spacing w:line="360" w:lineRule="auto"/>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毕业时间</w:t>
            </w:r>
          </w:p>
        </w:tc>
        <w:tc>
          <w:tcPr>
            <w:tcW w:w="1287" w:type="dxa"/>
            <w:tcBorders>
              <w:top w:val="single" w:color="auto" w:sz="6" w:space="0"/>
              <w:left w:val="single" w:color="auto" w:sz="6" w:space="0"/>
              <w:bottom w:val="single" w:color="auto" w:sz="6" w:space="0"/>
              <w:right w:val="single" w:color="auto" w:sz="4" w:space="0"/>
            </w:tcBorders>
            <w:noWrap w:val="0"/>
            <w:vAlign w:val="center"/>
          </w:tcPr>
          <w:p w14:paraId="49955B09">
            <w:pPr>
              <w:autoSpaceDE w:val="0"/>
              <w:autoSpaceDN w:val="0"/>
              <w:spacing w:line="360" w:lineRule="auto"/>
              <w:jc w:val="center"/>
              <w:rPr>
                <w:rFonts w:hint="eastAsia" w:ascii="宋体" w:hAnsi="宋体" w:eastAsia="宋体" w:cs="宋体"/>
                <w:color w:val="auto"/>
                <w:sz w:val="24"/>
                <w:highlight w:val="none"/>
              </w:rPr>
            </w:pPr>
          </w:p>
        </w:tc>
        <w:tc>
          <w:tcPr>
            <w:tcW w:w="1260" w:type="dxa"/>
            <w:tcBorders>
              <w:top w:val="single" w:color="auto" w:sz="6" w:space="0"/>
              <w:left w:val="single" w:color="auto" w:sz="4" w:space="0"/>
              <w:bottom w:val="single" w:color="auto" w:sz="6" w:space="0"/>
              <w:right w:val="single" w:color="auto" w:sz="6" w:space="0"/>
            </w:tcBorders>
            <w:noWrap w:val="0"/>
            <w:vAlign w:val="center"/>
          </w:tcPr>
          <w:p w14:paraId="108FC312">
            <w:pPr>
              <w:autoSpaceDE w:val="0"/>
              <w:autoSpaceDN w:val="0"/>
              <w:spacing w:line="360" w:lineRule="auto"/>
              <w:jc w:val="center"/>
              <w:rPr>
                <w:rFonts w:hint="eastAsia" w:ascii="宋体" w:hAnsi="宋体" w:eastAsia="宋体" w:cs="宋体"/>
                <w:color w:val="auto"/>
                <w:sz w:val="24"/>
                <w:highlight w:val="none"/>
              </w:rPr>
            </w:pPr>
          </w:p>
        </w:tc>
        <w:tc>
          <w:tcPr>
            <w:tcW w:w="4147" w:type="dxa"/>
            <w:vMerge w:val="continue"/>
            <w:tcBorders>
              <w:top w:val="single" w:color="auto" w:sz="6" w:space="0"/>
              <w:left w:val="single" w:color="auto" w:sz="6" w:space="0"/>
              <w:bottom w:val="single" w:color="auto" w:sz="6" w:space="0"/>
              <w:right w:val="single" w:color="auto" w:sz="6" w:space="0"/>
            </w:tcBorders>
            <w:noWrap w:val="0"/>
            <w:vAlign w:val="center"/>
          </w:tcPr>
          <w:p w14:paraId="58A9A6CC">
            <w:pPr>
              <w:widowControl/>
              <w:jc w:val="left"/>
              <w:rPr>
                <w:rFonts w:hint="eastAsia" w:ascii="宋体" w:hAnsi="宋体" w:eastAsia="宋体" w:cs="宋体"/>
                <w:color w:val="auto"/>
                <w:sz w:val="24"/>
                <w:highlight w:val="none"/>
              </w:rPr>
            </w:pPr>
          </w:p>
        </w:tc>
      </w:tr>
      <w:tr w14:paraId="7CC64E42">
        <w:tblPrEx>
          <w:tblCellMar>
            <w:top w:w="0" w:type="dxa"/>
            <w:left w:w="108" w:type="dxa"/>
            <w:bottom w:w="0" w:type="dxa"/>
            <w:right w:w="108" w:type="dxa"/>
          </w:tblCellMar>
        </w:tblPrEx>
        <w:trPr>
          <w:cantSplit/>
          <w:trHeight w:val="422" w:hRule="atLeast"/>
        </w:trPr>
        <w:tc>
          <w:tcPr>
            <w:tcW w:w="2061" w:type="dxa"/>
            <w:tcBorders>
              <w:top w:val="single" w:color="auto" w:sz="6" w:space="0"/>
              <w:left w:val="single" w:color="auto" w:sz="6" w:space="0"/>
              <w:bottom w:val="single" w:color="auto" w:sz="6" w:space="0"/>
              <w:right w:val="single" w:color="auto" w:sz="6" w:space="0"/>
            </w:tcBorders>
            <w:noWrap w:val="0"/>
            <w:vAlign w:val="center"/>
          </w:tcPr>
          <w:p w14:paraId="6549F1C8">
            <w:pPr>
              <w:autoSpaceDE w:val="0"/>
              <w:autoSpaceDN w:val="0"/>
              <w:spacing w:line="360" w:lineRule="auto"/>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所学专业</w:t>
            </w:r>
          </w:p>
        </w:tc>
        <w:tc>
          <w:tcPr>
            <w:tcW w:w="1287" w:type="dxa"/>
            <w:tcBorders>
              <w:top w:val="single" w:color="auto" w:sz="6" w:space="0"/>
              <w:left w:val="single" w:color="auto" w:sz="6" w:space="0"/>
              <w:bottom w:val="single" w:color="auto" w:sz="6" w:space="0"/>
              <w:right w:val="single" w:color="auto" w:sz="4" w:space="0"/>
            </w:tcBorders>
            <w:noWrap w:val="0"/>
            <w:vAlign w:val="center"/>
          </w:tcPr>
          <w:p w14:paraId="602A0433">
            <w:pPr>
              <w:autoSpaceDE w:val="0"/>
              <w:autoSpaceDN w:val="0"/>
              <w:spacing w:line="360" w:lineRule="auto"/>
              <w:jc w:val="center"/>
              <w:rPr>
                <w:rFonts w:hint="eastAsia" w:ascii="宋体" w:hAnsi="宋体" w:eastAsia="宋体" w:cs="宋体"/>
                <w:color w:val="auto"/>
                <w:sz w:val="24"/>
                <w:highlight w:val="none"/>
              </w:rPr>
            </w:pPr>
          </w:p>
        </w:tc>
        <w:tc>
          <w:tcPr>
            <w:tcW w:w="1260" w:type="dxa"/>
            <w:tcBorders>
              <w:top w:val="single" w:color="auto" w:sz="6" w:space="0"/>
              <w:left w:val="single" w:color="auto" w:sz="4" w:space="0"/>
              <w:bottom w:val="single" w:color="auto" w:sz="6" w:space="0"/>
              <w:right w:val="single" w:color="auto" w:sz="6" w:space="0"/>
            </w:tcBorders>
            <w:noWrap w:val="0"/>
            <w:vAlign w:val="center"/>
          </w:tcPr>
          <w:p w14:paraId="495B7AE0">
            <w:pPr>
              <w:autoSpaceDE w:val="0"/>
              <w:autoSpaceDN w:val="0"/>
              <w:spacing w:line="360" w:lineRule="auto"/>
              <w:jc w:val="center"/>
              <w:rPr>
                <w:rFonts w:hint="eastAsia" w:ascii="宋体" w:hAnsi="宋体" w:eastAsia="宋体" w:cs="宋体"/>
                <w:color w:val="auto"/>
                <w:sz w:val="24"/>
                <w:highlight w:val="none"/>
              </w:rPr>
            </w:pPr>
          </w:p>
        </w:tc>
        <w:tc>
          <w:tcPr>
            <w:tcW w:w="4147" w:type="dxa"/>
            <w:vMerge w:val="continue"/>
            <w:tcBorders>
              <w:top w:val="single" w:color="auto" w:sz="6" w:space="0"/>
              <w:left w:val="single" w:color="auto" w:sz="6" w:space="0"/>
              <w:bottom w:val="single" w:color="auto" w:sz="6" w:space="0"/>
              <w:right w:val="single" w:color="auto" w:sz="6" w:space="0"/>
            </w:tcBorders>
            <w:noWrap w:val="0"/>
            <w:vAlign w:val="center"/>
          </w:tcPr>
          <w:p w14:paraId="019664D1">
            <w:pPr>
              <w:widowControl/>
              <w:jc w:val="left"/>
              <w:rPr>
                <w:rFonts w:hint="eastAsia" w:ascii="宋体" w:hAnsi="宋体" w:eastAsia="宋体" w:cs="宋体"/>
                <w:color w:val="auto"/>
                <w:sz w:val="24"/>
                <w:highlight w:val="none"/>
              </w:rPr>
            </w:pPr>
          </w:p>
        </w:tc>
      </w:tr>
      <w:tr w14:paraId="32FD72B6">
        <w:tblPrEx>
          <w:tblCellMar>
            <w:top w:w="0" w:type="dxa"/>
            <w:left w:w="108" w:type="dxa"/>
            <w:bottom w:w="0" w:type="dxa"/>
            <w:right w:w="108" w:type="dxa"/>
          </w:tblCellMar>
        </w:tblPrEx>
        <w:trPr>
          <w:cantSplit/>
          <w:trHeight w:val="416" w:hRule="atLeast"/>
        </w:trPr>
        <w:tc>
          <w:tcPr>
            <w:tcW w:w="2061" w:type="dxa"/>
            <w:tcBorders>
              <w:top w:val="single" w:color="auto" w:sz="6" w:space="0"/>
              <w:left w:val="single" w:color="auto" w:sz="6" w:space="0"/>
              <w:bottom w:val="single" w:color="auto" w:sz="6" w:space="0"/>
              <w:right w:val="single" w:color="auto" w:sz="6" w:space="0"/>
            </w:tcBorders>
            <w:noWrap w:val="0"/>
            <w:vAlign w:val="center"/>
          </w:tcPr>
          <w:p w14:paraId="67A9F442">
            <w:pPr>
              <w:autoSpaceDE w:val="0"/>
              <w:autoSpaceDN w:val="0"/>
              <w:spacing w:line="360" w:lineRule="auto"/>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学历</w:t>
            </w:r>
          </w:p>
        </w:tc>
        <w:tc>
          <w:tcPr>
            <w:tcW w:w="1287" w:type="dxa"/>
            <w:tcBorders>
              <w:top w:val="single" w:color="auto" w:sz="6" w:space="0"/>
              <w:left w:val="single" w:color="auto" w:sz="6" w:space="0"/>
              <w:bottom w:val="single" w:color="auto" w:sz="6" w:space="0"/>
              <w:right w:val="single" w:color="auto" w:sz="4" w:space="0"/>
            </w:tcBorders>
            <w:noWrap w:val="0"/>
            <w:vAlign w:val="center"/>
          </w:tcPr>
          <w:p w14:paraId="22FF475A">
            <w:pPr>
              <w:autoSpaceDE w:val="0"/>
              <w:autoSpaceDN w:val="0"/>
              <w:spacing w:line="360" w:lineRule="auto"/>
              <w:jc w:val="center"/>
              <w:rPr>
                <w:rFonts w:hint="eastAsia" w:ascii="宋体" w:hAnsi="宋体" w:eastAsia="宋体" w:cs="宋体"/>
                <w:color w:val="auto"/>
                <w:sz w:val="24"/>
                <w:highlight w:val="none"/>
              </w:rPr>
            </w:pPr>
          </w:p>
        </w:tc>
        <w:tc>
          <w:tcPr>
            <w:tcW w:w="1260" w:type="dxa"/>
            <w:tcBorders>
              <w:top w:val="single" w:color="auto" w:sz="6" w:space="0"/>
              <w:left w:val="single" w:color="auto" w:sz="4" w:space="0"/>
              <w:bottom w:val="single" w:color="auto" w:sz="6" w:space="0"/>
              <w:right w:val="single" w:color="auto" w:sz="6" w:space="0"/>
            </w:tcBorders>
            <w:noWrap w:val="0"/>
            <w:vAlign w:val="center"/>
          </w:tcPr>
          <w:p w14:paraId="30E6C756">
            <w:pPr>
              <w:autoSpaceDE w:val="0"/>
              <w:autoSpaceDN w:val="0"/>
              <w:spacing w:line="360" w:lineRule="auto"/>
              <w:jc w:val="center"/>
              <w:rPr>
                <w:rFonts w:hint="eastAsia" w:ascii="宋体" w:hAnsi="宋体" w:eastAsia="宋体" w:cs="宋体"/>
                <w:color w:val="auto"/>
                <w:sz w:val="24"/>
                <w:highlight w:val="none"/>
              </w:rPr>
            </w:pPr>
          </w:p>
        </w:tc>
        <w:tc>
          <w:tcPr>
            <w:tcW w:w="4147" w:type="dxa"/>
            <w:vMerge w:val="continue"/>
            <w:tcBorders>
              <w:top w:val="single" w:color="auto" w:sz="6" w:space="0"/>
              <w:left w:val="single" w:color="auto" w:sz="6" w:space="0"/>
              <w:bottom w:val="single" w:color="auto" w:sz="6" w:space="0"/>
              <w:right w:val="single" w:color="auto" w:sz="6" w:space="0"/>
            </w:tcBorders>
            <w:noWrap w:val="0"/>
            <w:vAlign w:val="center"/>
          </w:tcPr>
          <w:p w14:paraId="6768215B">
            <w:pPr>
              <w:widowControl/>
              <w:jc w:val="left"/>
              <w:rPr>
                <w:rFonts w:hint="eastAsia" w:ascii="宋体" w:hAnsi="宋体" w:eastAsia="宋体" w:cs="宋体"/>
                <w:color w:val="auto"/>
                <w:sz w:val="24"/>
                <w:highlight w:val="none"/>
              </w:rPr>
            </w:pPr>
          </w:p>
        </w:tc>
      </w:tr>
      <w:tr w14:paraId="7DD85CBB">
        <w:tblPrEx>
          <w:tblCellMar>
            <w:top w:w="0" w:type="dxa"/>
            <w:left w:w="108" w:type="dxa"/>
            <w:bottom w:w="0" w:type="dxa"/>
            <w:right w:w="108" w:type="dxa"/>
          </w:tblCellMar>
        </w:tblPrEx>
        <w:trPr>
          <w:cantSplit/>
          <w:trHeight w:val="356" w:hRule="atLeast"/>
        </w:trPr>
        <w:tc>
          <w:tcPr>
            <w:tcW w:w="2061" w:type="dxa"/>
            <w:tcBorders>
              <w:top w:val="single" w:color="auto" w:sz="6" w:space="0"/>
              <w:left w:val="single" w:color="auto" w:sz="6" w:space="0"/>
              <w:bottom w:val="single" w:color="auto" w:sz="6" w:space="0"/>
              <w:right w:val="single" w:color="auto" w:sz="6" w:space="0"/>
            </w:tcBorders>
            <w:noWrap w:val="0"/>
            <w:vAlign w:val="center"/>
          </w:tcPr>
          <w:p w14:paraId="31B6AAFF">
            <w:pPr>
              <w:autoSpaceDE w:val="0"/>
              <w:autoSpaceDN w:val="0"/>
              <w:spacing w:line="360" w:lineRule="auto"/>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资质证书编号</w:t>
            </w:r>
          </w:p>
        </w:tc>
        <w:tc>
          <w:tcPr>
            <w:tcW w:w="1287" w:type="dxa"/>
            <w:tcBorders>
              <w:top w:val="single" w:color="auto" w:sz="6" w:space="0"/>
              <w:left w:val="single" w:color="auto" w:sz="6" w:space="0"/>
              <w:bottom w:val="single" w:color="auto" w:sz="6" w:space="0"/>
              <w:right w:val="single" w:color="auto" w:sz="4" w:space="0"/>
            </w:tcBorders>
            <w:noWrap w:val="0"/>
            <w:vAlign w:val="center"/>
          </w:tcPr>
          <w:p w14:paraId="54E05ADD">
            <w:pPr>
              <w:autoSpaceDE w:val="0"/>
              <w:autoSpaceDN w:val="0"/>
              <w:spacing w:line="360" w:lineRule="auto"/>
              <w:jc w:val="center"/>
              <w:rPr>
                <w:rFonts w:hint="eastAsia" w:ascii="宋体" w:hAnsi="宋体" w:eastAsia="宋体" w:cs="宋体"/>
                <w:color w:val="auto"/>
                <w:sz w:val="24"/>
                <w:highlight w:val="none"/>
              </w:rPr>
            </w:pPr>
          </w:p>
        </w:tc>
        <w:tc>
          <w:tcPr>
            <w:tcW w:w="1260" w:type="dxa"/>
            <w:tcBorders>
              <w:top w:val="single" w:color="auto" w:sz="6" w:space="0"/>
              <w:left w:val="single" w:color="auto" w:sz="4" w:space="0"/>
              <w:bottom w:val="single" w:color="auto" w:sz="6" w:space="0"/>
              <w:right w:val="single" w:color="auto" w:sz="6" w:space="0"/>
            </w:tcBorders>
            <w:noWrap w:val="0"/>
            <w:vAlign w:val="center"/>
          </w:tcPr>
          <w:p w14:paraId="50D8CE4A">
            <w:pPr>
              <w:autoSpaceDE w:val="0"/>
              <w:autoSpaceDN w:val="0"/>
              <w:spacing w:line="360" w:lineRule="auto"/>
              <w:jc w:val="center"/>
              <w:rPr>
                <w:rFonts w:hint="eastAsia" w:ascii="宋体" w:hAnsi="宋体" w:eastAsia="宋体" w:cs="宋体"/>
                <w:color w:val="auto"/>
                <w:sz w:val="24"/>
                <w:highlight w:val="none"/>
              </w:rPr>
            </w:pPr>
          </w:p>
        </w:tc>
        <w:tc>
          <w:tcPr>
            <w:tcW w:w="4147" w:type="dxa"/>
            <w:vMerge w:val="continue"/>
            <w:tcBorders>
              <w:top w:val="single" w:color="auto" w:sz="6" w:space="0"/>
              <w:left w:val="single" w:color="auto" w:sz="6" w:space="0"/>
              <w:bottom w:val="single" w:color="auto" w:sz="6" w:space="0"/>
              <w:right w:val="single" w:color="auto" w:sz="6" w:space="0"/>
            </w:tcBorders>
            <w:noWrap w:val="0"/>
            <w:vAlign w:val="center"/>
          </w:tcPr>
          <w:p w14:paraId="6D472B4C">
            <w:pPr>
              <w:widowControl/>
              <w:jc w:val="left"/>
              <w:rPr>
                <w:rFonts w:hint="eastAsia" w:ascii="宋体" w:hAnsi="宋体" w:eastAsia="宋体" w:cs="宋体"/>
                <w:color w:val="auto"/>
                <w:sz w:val="24"/>
                <w:highlight w:val="none"/>
              </w:rPr>
            </w:pPr>
          </w:p>
        </w:tc>
      </w:tr>
      <w:tr w14:paraId="1386F6D3">
        <w:tblPrEx>
          <w:tblCellMar>
            <w:top w:w="0" w:type="dxa"/>
            <w:left w:w="108" w:type="dxa"/>
            <w:bottom w:w="0" w:type="dxa"/>
            <w:right w:w="108" w:type="dxa"/>
          </w:tblCellMar>
        </w:tblPrEx>
        <w:trPr>
          <w:cantSplit/>
          <w:trHeight w:val="177" w:hRule="atLeast"/>
        </w:trPr>
        <w:tc>
          <w:tcPr>
            <w:tcW w:w="2061" w:type="dxa"/>
            <w:tcBorders>
              <w:top w:val="single" w:color="auto" w:sz="6" w:space="0"/>
              <w:left w:val="single" w:color="auto" w:sz="6" w:space="0"/>
              <w:bottom w:val="single" w:color="auto" w:sz="6" w:space="0"/>
              <w:right w:val="single" w:color="auto" w:sz="6" w:space="0"/>
            </w:tcBorders>
            <w:noWrap w:val="0"/>
            <w:vAlign w:val="center"/>
          </w:tcPr>
          <w:p w14:paraId="7B437627">
            <w:pPr>
              <w:autoSpaceDE w:val="0"/>
              <w:autoSpaceDN w:val="0"/>
              <w:spacing w:line="360" w:lineRule="auto"/>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其他资质情况</w:t>
            </w:r>
          </w:p>
        </w:tc>
        <w:tc>
          <w:tcPr>
            <w:tcW w:w="1287" w:type="dxa"/>
            <w:tcBorders>
              <w:top w:val="single" w:color="auto" w:sz="6" w:space="0"/>
              <w:left w:val="single" w:color="auto" w:sz="6" w:space="0"/>
              <w:bottom w:val="single" w:color="auto" w:sz="6" w:space="0"/>
              <w:right w:val="single" w:color="auto" w:sz="4" w:space="0"/>
            </w:tcBorders>
            <w:noWrap w:val="0"/>
            <w:vAlign w:val="center"/>
          </w:tcPr>
          <w:p w14:paraId="2DE9C260">
            <w:pPr>
              <w:autoSpaceDE w:val="0"/>
              <w:autoSpaceDN w:val="0"/>
              <w:spacing w:line="360" w:lineRule="auto"/>
              <w:jc w:val="center"/>
              <w:rPr>
                <w:rFonts w:hint="eastAsia" w:ascii="宋体" w:hAnsi="宋体" w:eastAsia="宋体" w:cs="宋体"/>
                <w:color w:val="auto"/>
                <w:sz w:val="24"/>
                <w:highlight w:val="none"/>
              </w:rPr>
            </w:pPr>
          </w:p>
        </w:tc>
        <w:tc>
          <w:tcPr>
            <w:tcW w:w="1260" w:type="dxa"/>
            <w:tcBorders>
              <w:top w:val="single" w:color="auto" w:sz="6" w:space="0"/>
              <w:left w:val="single" w:color="auto" w:sz="4" w:space="0"/>
              <w:bottom w:val="single" w:color="auto" w:sz="6" w:space="0"/>
              <w:right w:val="single" w:color="auto" w:sz="6" w:space="0"/>
            </w:tcBorders>
            <w:noWrap w:val="0"/>
            <w:vAlign w:val="center"/>
          </w:tcPr>
          <w:p w14:paraId="2550395E">
            <w:pPr>
              <w:autoSpaceDE w:val="0"/>
              <w:autoSpaceDN w:val="0"/>
              <w:spacing w:line="360" w:lineRule="auto"/>
              <w:jc w:val="center"/>
              <w:rPr>
                <w:rFonts w:hint="eastAsia" w:ascii="宋体" w:hAnsi="宋体" w:eastAsia="宋体" w:cs="宋体"/>
                <w:color w:val="auto"/>
                <w:sz w:val="24"/>
                <w:highlight w:val="none"/>
              </w:rPr>
            </w:pPr>
          </w:p>
        </w:tc>
        <w:tc>
          <w:tcPr>
            <w:tcW w:w="4147" w:type="dxa"/>
            <w:vMerge w:val="continue"/>
            <w:tcBorders>
              <w:top w:val="single" w:color="auto" w:sz="6" w:space="0"/>
              <w:left w:val="single" w:color="auto" w:sz="6" w:space="0"/>
              <w:bottom w:val="single" w:color="auto" w:sz="6" w:space="0"/>
              <w:right w:val="single" w:color="auto" w:sz="6" w:space="0"/>
            </w:tcBorders>
            <w:noWrap w:val="0"/>
            <w:vAlign w:val="center"/>
          </w:tcPr>
          <w:p w14:paraId="39E47F3A">
            <w:pPr>
              <w:widowControl/>
              <w:jc w:val="left"/>
              <w:rPr>
                <w:rFonts w:hint="eastAsia" w:ascii="宋体" w:hAnsi="宋体" w:eastAsia="宋体" w:cs="宋体"/>
                <w:color w:val="auto"/>
                <w:sz w:val="24"/>
                <w:highlight w:val="none"/>
              </w:rPr>
            </w:pPr>
          </w:p>
        </w:tc>
      </w:tr>
      <w:tr w14:paraId="2ED1ADDA">
        <w:tblPrEx>
          <w:tblCellMar>
            <w:top w:w="0" w:type="dxa"/>
            <w:left w:w="108" w:type="dxa"/>
            <w:bottom w:w="0" w:type="dxa"/>
            <w:right w:w="108" w:type="dxa"/>
          </w:tblCellMar>
        </w:tblPrEx>
        <w:trPr>
          <w:cantSplit/>
          <w:trHeight w:val="169" w:hRule="atLeast"/>
        </w:trPr>
        <w:tc>
          <w:tcPr>
            <w:tcW w:w="2061" w:type="dxa"/>
            <w:tcBorders>
              <w:top w:val="single" w:color="auto" w:sz="6" w:space="0"/>
              <w:left w:val="single" w:color="auto" w:sz="6" w:space="0"/>
              <w:bottom w:val="single" w:color="auto" w:sz="6" w:space="0"/>
              <w:right w:val="single" w:color="auto" w:sz="6" w:space="0"/>
            </w:tcBorders>
            <w:shd w:val="clear" w:color="auto" w:fill="auto"/>
            <w:noWrap w:val="0"/>
            <w:vAlign w:val="center"/>
          </w:tcPr>
          <w:p w14:paraId="5BB2DB40">
            <w:pPr>
              <w:autoSpaceDE w:val="0"/>
              <w:autoSpaceDN w:val="0"/>
              <w:spacing w:line="360" w:lineRule="auto"/>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联系电话</w:t>
            </w:r>
          </w:p>
        </w:tc>
        <w:tc>
          <w:tcPr>
            <w:tcW w:w="1287" w:type="dxa"/>
            <w:tcBorders>
              <w:top w:val="single" w:color="auto" w:sz="6" w:space="0"/>
              <w:left w:val="single" w:color="auto" w:sz="6" w:space="0"/>
              <w:bottom w:val="single" w:color="auto" w:sz="6" w:space="0"/>
              <w:right w:val="single" w:color="auto" w:sz="4" w:space="0"/>
            </w:tcBorders>
            <w:shd w:val="clear" w:color="auto" w:fill="auto"/>
            <w:noWrap w:val="0"/>
            <w:vAlign w:val="center"/>
          </w:tcPr>
          <w:p w14:paraId="011053D7">
            <w:pPr>
              <w:autoSpaceDE w:val="0"/>
              <w:autoSpaceDN w:val="0"/>
              <w:spacing w:line="360" w:lineRule="auto"/>
              <w:jc w:val="center"/>
              <w:rPr>
                <w:rFonts w:hint="eastAsia" w:ascii="宋体" w:hAnsi="宋体" w:eastAsia="宋体" w:cs="宋体"/>
                <w:color w:val="auto"/>
                <w:sz w:val="24"/>
                <w:highlight w:val="none"/>
              </w:rPr>
            </w:pPr>
          </w:p>
        </w:tc>
        <w:tc>
          <w:tcPr>
            <w:tcW w:w="1260" w:type="dxa"/>
            <w:tcBorders>
              <w:top w:val="single" w:color="auto" w:sz="6" w:space="0"/>
              <w:left w:val="single" w:color="auto" w:sz="4" w:space="0"/>
              <w:bottom w:val="single" w:color="auto" w:sz="6" w:space="0"/>
              <w:right w:val="single" w:color="auto" w:sz="6" w:space="0"/>
            </w:tcBorders>
            <w:shd w:val="clear" w:color="auto" w:fill="B3B3B3"/>
            <w:noWrap w:val="0"/>
            <w:vAlign w:val="center"/>
          </w:tcPr>
          <w:p w14:paraId="4E7564BB">
            <w:pPr>
              <w:autoSpaceDE w:val="0"/>
              <w:autoSpaceDN w:val="0"/>
              <w:spacing w:line="360" w:lineRule="auto"/>
              <w:jc w:val="center"/>
              <w:rPr>
                <w:rFonts w:hint="eastAsia" w:ascii="宋体" w:hAnsi="宋体" w:eastAsia="宋体" w:cs="宋体"/>
                <w:color w:val="auto"/>
                <w:sz w:val="24"/>
                <w:highlight w:val="none"/>
              </w:rPr>
            </w:pPr>
          </w:p>
        </w:tc>
        <w:tc>
          <w:tcPr>
            <w:tcW w:w="4147" w:type="dxa"/>
            <w:vMerge w:val="continue"/>
            <w:tcBorders>
              <w:top w:val="single" w:color="auto" w:sz="6" w:space="0"/>
              <w:left w:val="single" w:color="auto" w:sz="6" w:space="0"/>
              <w:bottom w:val="single" w:color="auto" w:sz="6" w:space="0"/>
              <w:right w:val="single" w:color="auto" w:sz="6" w:space="0"/>
            </w:tcBorders>
            <w:noWrap w:val="0"/>
            <w:vAlign w:val="center"/>
          </w:tcPr>
          <w:p w14:paraId="2B14D894">
            <w:pPr>
              <w:widowControl/>
              <w:jc w:val="left"/>
              <w:rPr>
                <w:rFonts w:hint="eastAsia" w:ascii="宋体" w:hAnsi="宋体" w:eastAsia="宋体" w:cs="宋体"/>
                <w:color w:val="auto"/>
                <w:sz w:val="24"/>
                <w:highlight w:val="none"/>
              </w:rPr>
            </w:pPr>
          </w:p>
        </w:tc>
      </w:tr>
    </w:tbl>
    <w:p w14:paraId="673D7C88">
      <w:pPr>
        <w:autoSpaceDE w:val="0"/>
        <w:autoSpaceDN w:val="0"/>
        <w:spacing w:line="360" w:lineRule="auto"/>
        <w:rPr>
          <w:rFonts w:hint="eastAsia" w:ascii="宋体" w:hAnsi="宋体" w:eastAsia="宋体" w:cs="宋体"/>
          <w:b/>
          <w:color w:val="auto"/>
          <w:sz w:val="24"/>
          <w:highlight w:val="none"/>
        </w:rPr>
      </w:pPr>
      <w:r>
        <w:rPr>
          <w:rFonts w:hint="eastAsia" w:ascii="宋体" w:hAnsi="宋体" w:eastAsia="宋体" w:cs="宋体"/>
          <w:b/>
          <w:color w:val="auto"/>
          <w:sz w:val="24"/>
          <w:highlight w:val="none"/>
        </w:rPr>
        <w:t>注：须随表提交相应的证书复印件并注明所在投标技术文件页码。</w:t>
      </w:r>
    </w:p>
    <w:p w14:paraId="1E43DF3A">
      <w:pPr>
        <w:autoSpaceDE w:val="0"/>
        <w:autoSpaceDN w:val="0"/>
        <w:spacing w:line="360" w:lineRule="auto"/>
        <w:rPr>
          <w:rFonts w:hint="eastAsia" w:ascii="宋体" w:hAnsi="宋体" w:eastAsia="宋体" w:cs="宋体"/>
          <w:b/>
          <w:color w:val="auto"/>
          <w:sz w:val="24"/>
          <w:highlight w:val="none"/>
        </w:rPr>
      </w:pPr>
      <w:r>
        <w:rPr>
          <w:rFonts w:hint="eastAsia" w:ascii="宋体" w:hAnsi="宋体" w:eastAsia="宋体" w:cs="宋体"/>
          <w:b/>
          <w:color w:val="auto"/>
          <w:sz w:val="24"/>
          <w:highlight w:val="none"/>
        </w:rPr>
        <w:t>附表B:本项目的项目小组人员情况表</w:t>
      </w:r>
      <w:r>
        <w:rPr>
          <w:rFonts w:hint="eastAsia" w:ascii="宋体" w:hAnsi="宋体" w:eastAsia="宋体" w:cs="宋体"/>
          <w:color w:val="auto"/>
          <w:sz w:val="24"/>
          <w:highlight w:val="none"/>
        </w:rPr>
        <w:t>（按此格式自制）</w:t>
      </w:r>
    </w:p>
    <w:tbl>
      <w:tblPr>
        <w:tblStyle w:val="35"/>
        <w:tblW w:w="0" w:type="auto"/>
        <w:tblInd w:w="108" w:type="dxa"/>
        <w:tblLayout w:type="fixed"/>
        <w:tblCellMar>
          <w:top w:w="0" w:type="dxa"/>
          <w:left w:w="108" w:type="dxa"/>
          <w:bottom w:w="0" w:type="dxa"/>
          <w:right w:w="108" w:type="dxa"/>
        </w:tblCellMar>
      </w:tblPr>
      <w:tblGrid>
        <w:gridCol w:w="420"/>
        <w:gridCol w:w="787"/>
        <w:gridCol w:w="412"/>
        <w:gridCol w:w="586"/>
        <w:gridCol w:w="1035"/>
        <w:gridCol w:w="1080"/>
        <w:gridCol w:w="1080"/>
        <w:gridCol w:w="1260"/>
        <w:gridCol w:w="900"/>
        <w:gridCol w:w="1470"/>
      </w:tblGrid>
      <w:tr w14:paraId="430D3846">
        <w:tblPrEx>
          <w:tblCellMar>
            <w:top w:w="0" w:type="dxa"/>
            <w:left w:w="108" w:type="dxa"/>
            <w:bottom w:w="0" w:type="dxa"/>
            <w:right w:w="108" w:type="dxa"/>
          </w:tblCellMar>
        </w:tblPrEx>
        <w:tc>
          <w:tcPr>
            <w:tcW w:w="420" w:type="dxa"/>
            <w:tcBorders>
              <w:top w:val="single" w:color="auto" w:sz="6" w:space="0"/>
              <w:left w:val="single" w:color="auto" w:sz="6" w:space="0"/>
              <w:bottom w:val="single" w:color="auto" w:sz="6" w:space="0"/>
              <w:right w:val="single" w:color="auto" w:sz="6" w:space="0"/>
            </w:tcBorders>
            <w:noWrap w:val="0"/>
            <w:vAlign w:val="center"/>
          </w:tcPr>
          <w:p w14:paraId="6D65F019">
            <w:pPr>
              <w:autoSpaceDE w:val="0"/>
              <w:autoSpaceDN w:val="0"/>
              <w:spacing w:line="360" w:lineRule="auto"/>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序号</w:t>
            </w:r>
          </w:p>
        </w:tc>
        <w:tc>
          <w:tcPr>
            <w:tcW w:w="787" w:type="dxa"/>
            <w:tcBorders>
              <w:top w:val="single" w:color="auto" w:sz="6" w:space="0"/>
              <w:left w:val="single" w:color="auto" w:sz="6" w:space="0"/>
              <w:bottom w:val="single" w:color="auto" w:sz="6" w:space="0"/>
              <w:right w:val="single" w:color="auto" w:sz="6" w:space="0"/>
            </w:tcBorders>
            <w:noWrap w:val="0"/>
            <w:vAlign w:val="center"/>
          </w:tcPr>
          <w:p w14:paraId="467E3C7B">
            <w:pPr>
              <w:autoSpaceDE w:val="0"/>
              <w:autoSpaceDN w:val="0"/>
              <w:spacing w:line="360" w:lineRule="auto"/>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姓名</w:t>
            </w:r>
          </w:p>
        </w:tc>
        <w:tc>
          <w:tcPr>
            <w:tcW w:w="412" w:type="dxa"/>
            <w:tcBorders>
              <w:top w:val="single" w:color="auto" w:sz="6" w:space="0"/>
              <w:left w:val="single" w:color="auto" w:sz="6" w:space="0"/>
              <w:bottom w:val="single" w:color="auto" w:sz="6" w:space="0"/>
              <w:right w:val="single" w:color="auto" w:sz="6" w:space="0"/>
            </w:tcBorders>
            <w:noWrap w:val="0"/>
            <w:vAlign w:val="center"/>
          </w:tcPr>
          <w:p w14:paraId="2EB9B3CE">
            <w:pPr>
              <w:autoSpaceDE w:val="0"/>
              <w:autoSpaceDN w:val="0"/>
              <w:spacing w:line="360" w:lineRule="auto"/>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性别</w:t>
            </w:r>
          </w:p>
        </w:tc>
        <w:tc>
          <w:tcPr>
            <w:tcW w:w="586" w:type="dxa"/>
            <w:tcBorders>
              <w:top w:val="single" w:color="auto" w:sz="6" w:space="0"/>
              <w:left w:val="single" w:color="auto" w:sz="6" w:space="0"/>
              <w:bottom w:val="single" w:color="auto" w:sz="6" w:space="0"/>
              <w:right w:val="single" w:color="auto" w:sz="6" w:space="0"/>
            </w:tcBorders>
            <w:noWrap w:val="0"/>
            <w:vAlign w:val="center"/>
          </w:tcPr>
          <w:p w14:paraId="44907237">
            <w:pPr>
              <w:autoSpaceDE w:val="0"/>
              <w:autoSpaceDN w:val="0"/>
              <w:spacing w:line="360" w:lineRule="auto"/>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年龄</w:t>
            </w:r>
          </w:p>
        </w:tc>
        <w:tc>
          <w:tcPr>
            <w:tcW w:w="1035" w:type="dxa"/>
            <w:tcBorders>
              <w:top w:val="single" w:color="auto" w:sz="6" w:space="0"/>
              <w:left w:val="single" w:color="auto" w:sz="6" w:space="0"/>
              <w:bottom w:val="single" w:color="auto" w:sz="6" w:space="0"/>
              <w:right w:val="single" w:color="auto" w:sz="6" w:space="0"/>
            </w:tcBorders>
            <w:noWrap w:val="0"/>
            <w:vAlign w:val="center"/>
          </w:tcPr>
          <w:p w14:paraId="779CF898">
            <w:pPr>
              <w:autoSpaceDE w:val="0"/>
              <w:autoSpaceDN w:val="0"/>
              <w:spacing w:line="360" w:lineRule="auto"/>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学历</w:t>
            </w:r>
          </w:p>
          <w:p w14:paraId="2E5E5CE4">
            <w:pPr>
              <w:autoSpaceDE w:val="0"/>
              <w:autoSpaceDN w:val="0"/>
              <w:spacing w:line="360" w:lineRule="auto"/>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(页码)</w:t>
            </w:r>
          </w:p>
        </w:tc>
        <w:tc>
          <w:tcPr>
            <w:tcW w:w="1080" w:type="dxa"/>
            <w:tcBorders>
              <w:top w:val="single" w:color="auto" w:sz="6" w:space="0"/>
              <w:left w:val="single" w:color="auto" w:sz="6" w:space="0"/>
              <w:bottom w:val="single" w:color="auto" w:sz="6" w:space="0"/>
              <w:right w:val="single" w:color="auto" w:sz="6" w:space="0"/>
            </w:tcBorders>
            <w:noWrap w:val="0"/>
            <w:vAlign w:val="center"/>
          </w:tcPr>
          <w:p w14:paraId="0D8C4CDB">
            <w:pPr>
              <w:autoSpaceDE w:val="0"/>
              <w:autoSpaceDN w:val="0"/>
              <w:spacing w:line="360" w:lineRule="auto"/>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专业</w:t>
            </w:r>
          </w:p>
          <w:p w14:paraId="318CAB60">
            <w:pPr>
              <w:autoSpaceDE w:val="0"/>
              <w:autoSpaceDN w:val="0"/>
              <w:spacing w:line="360" w:lineRule="auto"/>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(页码)</w:t>
            </w:r>
          </w:p>
        </w:tc>
        <w:tc>
          <w:tcPr>
            <w:tcW w:w="1080" w:type="dxa"/>
            <w:tcBorders>
              <w:top w:val="single" w:color="auto" w:sz="6" w:space="0"/>
              <w:left w:val="single" w:color="auto" w:sz="6" w:space="0"/>
              <w:bottom w:val="single" w:color="auto" w:sz="6" w:space="0"/>
              <w:right w:val="single" w:color="auto" w:sz="6" w:space="0"/>
            </w:tcBorders>
            <w:noWrap w:val="0"/>
            <w:vAlign w:val="center"/>
          </w:tcPr>
          <w:p w14:paraId="014A45B1">
            <w:pPr>
              <w:autoSpaceDE w:val="0"/>
              <w:autoSpaceDN w:val="0"/>
              <w:spacing w:line="360" w:lineRule="auto"/>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职称</w:t>
            </w:r>
          </w:p>
          <w:p w14:paraId="6B3169B3">
            <w:pPr>
              <w:autoSpaceDE w:val="0"/>
              <w:autoSpaceDN w:val="0"/>
              <w:spacing w:line="360" w:lineRule="auto"/>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(页码)</w:t>
            </w:r>
          </w:p>
        </w:tc>
        <w:tc>
          <w:tcPr>
            <w:tcW w:w="1260" w:type="dxa"/>
            <w:tcBorders>
              <w:top w:val="single" w:color="auto" w:sz="6" w:space="0"/>
              <w:left w:val="single" w:color="auto" w:sz="6" w:space="0"/>
              <w:bottom w:val="single" w:color="auto" w:sz="6" w:space="0"/>
              <w:right w:val="single" w:color="auto" w:sz="6" w:space="0"/>
            </w:tcBorders>
            <w:noWrap w:val="0"/>
            <w:vAlign w:val="center"/>
          </w:tcPr>
          <w:p w14:paraId="6D079050">
            <w:pPr>
              <w:autoSpaceDE w:val="0"/>
              <w:autoSpaceDN w:val="0"/>
              <w:spacing w:line="360" w:lineRule="auto"/>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本项目中的职责</w:t>
            </w:r>
          </w:p>
        </w:tc>
        <w:tc>
          <w:tcPr>
            <w:tcW w:w="900" w:type="dxa"/>
            <w:tcBorders>
              <w:top w:val="single" w:color="auto" w:sz="6" w:space="0"/>
              <w:left w:val="single" w:color="auto" w:sz="6" w:space="0"/>
              <w:bottom w:val="single" w:color="auto" w:sz="6" w:space="0"/>
              <w:right w:val="single" w:color="auto" w:sz="6" w:space="0"/>
            </w:tcBorders>
            <w:noWrap w:val="0"/>
            <w:vAlign w:val="center"/>
          </w:tcPr>
          <w:p w14:paraId="2841304D">
            <w:pPr>
              <w:autoSpaceDE w:val="0"/>
              <w:autoSpaceDN w:val="0"/>
              <w:spacing w:line="360" w:lineRule="auto"/>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项目经历</w:t>
            </w:r>
          </w:p>
        </w:tc>
        <w:tc>
          <w:tcPr>
            <w:tcW w:w="1470" w:type="dxa"/>
            <w:tcBorders>
              <w:top w:val="single" w:color="auto" w:sz="6" w:space="0"/>
              <w:left w:val="single" w:color="auto" w:sz="6" w:space="0"/>
              <w:bottom w:val="single" w:color="auto" w:sz="6" w:space="0"/>
              <w:right w:val="single" w:color="auto" w:sz="6" w:space="0"/>
            </w:tcBorders>
            <w:noWrap w:val="0"/>
            <w:vAlign w:val="center"/>
          </w:tcPr>
          <w:p w14:paraId="32899208">
            <w:pPr>
              <w:autoSpaceDE w:val="0"/>
              <w:autoSpaceDN w:val="0"/>
              <w:spacing w:line="360" w:lineRule="auto"/>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参与本项目的到位情况</w:t>
            </w:r>
          </w:p>
        </w:tc>
      </w:tr>
      <w:tr w14:paraId="09222547">
        <w:tblPrEx>
          <w:tblCellMar>
            <w:top w:w="0" w:type="dxa"/>
            <w:left w:w="108" w:type="dxa"/>
            <w:bottom w:w="0" w:type="dxa"/>
            <w:right w:w="108" w:type="dxa"/>
          </w:tblCellMar>
        </w:tblPrEx>
        <w:trPr>
          <w:trHeight w:val="479" w:hRule="atLeast"/>
        </w:trPr>
        <w:tc>
          <w:tcPr>
            <w:tcW w:w="420" w:type="dxa"/>
            <w:tcBorders>
              <w:top w:val="single" w:color="auto" w:sz="6" w:space="0"/>
              <w:left w:val="single" w:color="auto" w:sz="6" w:space="0"/>
              <w:bottom w:val="single" w:color="auto" w:sz="6" w:space="0"/>
              <w:right w:val="single" w:color="auto" w:sz="6" w:space="0"/>
            </w:tcBorders>
            <w:noWrap w:val="0"/>
            <w:vAlign w:val="top"/>
          </w:tcPr>
          <w:p w14:paraId="07B53F04">
            <w:pPr>
              <w:autoSpaceDE w:val="0"/>
              <w:autoSpaceDN w:val="0"/>
              <w:spacing w:line="360" w:lineRule="auto"/>
              <w:jc w:val="center"/>
              <w:rPr>
                <w:rFonts w:hint="eastAsia" w:ascii="宋体" w:hAnsi="宋体" w:eastAsia="宋体" w:cs="宋体"/>
                <w:color w:val="auto"/>
                <w:sz w:val="24"/>
                <w:highlight w:val="none"/>
              </w:rPr>
            </w:pPr>
          </w:p>
        </w:tc>
        <w:tc>
          <w:tcPr>
            <w:tcW w:w="787" w:type="dxa"/>
            <w:tcBorders>
              <w:top w:val="single" w:color="auto" w:sz="6" w:space="0"/>
              <w:left w:val="single" w:color="auto" w:sz="6" w:space="0"/>
              <w:bottom w:val="single" w:color="auto" w:sz="6" w:space="0"/>
              <w:right w:val="single" w:color="auto" w:sz="6" w:space="0"/>
            </w:tcBorders>
            <w:noWrap w:val="0"/>
            <w:vAlign w:val="top"/>
          </w:tcPr>
          <w:p w14:paraId="4DDBEF87">
            <w:pPr>
              <w:autoSpaceDE w:val="0"/>
              <w:autoSpaceDN w:val="0"/>
              <w:spacing w:line="360" w:lineRule="auto"/>
              <w:rPr>
                <w:rFonts w:hint="eastAsia" w:ascii="宋体" w:hAnsi="宋体" w:eastAsia="宋体" w:cs="宋体"/>
                <w:color w:val="auto"/>
                <w:sz w:val="24"/>
                <w:highlight w:val="none"/>
              </w:rPr>
            </w:pPr>
          </w:p>
        </w:tc>
        <w:tc>
          <w:tcPr>
            <w:tcW w:w="412" w:type="dxa"/>
            <w:tcBorders>
              <w:top w:val="single" w:color="auto" w:sz="6" w:space="0"/>
              <w:left w:val="single" w:color="auto" w:sz="6" w:space="0"/>
              <w:bottom w:val="single" w:color="auto" w:sz="6" w:space="0"/>
              <w:right w:val="single" w:color="auto" w:sz="6" w:space="0"/>
            </w:tcBorders>
            <w:noWrap w:val="0"/>
            <w:vAlign w:val="top"/>
          </w:tcPr>
          <w:p w14:paraId="691F92C1">
            <w:pPr>
              <w:autoSpaceDE w:val="0"/>
              <w:autoSpaceDN w:val="0"/>
              <w:spacing w:line="360" w:lineRule="auto"/>
              <w:rPr>
                <w:rFonts w:hint="eastAsia" w:ascii="宋体" w:hAnsi="宋体" w:eastAsia="宋体" w:cs="宋体"/>
                <w:color w:val="auto"/>
                <w:sz w:val="24"/>
                <w:highlight w:val="none"/>
              </w:rPr>
            </w:pPr>
          </w:p>
        </w:tc>
        <w:tc>
          <w:tcPr>
            <w:tcW w:w="586" w:type="dxa"/>
            <w:tcBorders>
              <w:top w:val="single" w:color="auto" w:sz="6" w:space="0"/>
              <w:left w:val="single" w:color="auto" w:sz="6" w:space="0"/>
              <w:bottom w:val="single" w:color="auto" w:sz="6" w:space="0"/>
              <w:right w:val="single" w:color="auto" w:sz="6" w:space="0"/>
            </w:tcBorders>
            <w:noWrap w:val="0"/>
            <w:vAlign w:val="top"/>
          </w:tcPr>
          <w:p w14:paraId="6800C954">
            <w:pPr>
              <w:autoSpaceDE w:val="0"/>
              <w:autoSpaceDN w:val="0"/>
              <w:spacing w:line="360" w:lineRule="auto"/>
              <w:rPr>
                <w:rFonts w:hint="eastAsia" w:ascii="宋体" w:hAnsi="宋体" w:eastAsia="宋体" w:cs="宋体"/>
                <w:color w:val="auto"/>
                <w:sz w:val="24"/>
                <w:highlight w:val="none"/>
              </w:rPr>
            </w:pPr>
          </w:p>
        </w:tc>
        <w:tc>
          <w:tcPr>
            <w:tcW w:w="1035" w:type="dxa"/>
            <w:tcBorders>
              <w:top w:val="single" w:color="auto" w:sz="6" w:space="0"/>
              <w:left w:val="single" w:color="auto" w:sz="6" w:space="0"/>
              <w:bottom w:val="single" w:color="auto" w:sz="6" w:space="0"/>
              <w:right w:val="single" w:color="auto" w:sz="6" w:space="0"/>
            </w:tcBorders>
            <w:noWrap w:val="0"/>
            <w:vAlign w:val="top"/>
          </w:tcPr>
          <w:p w14:paraId="2504A972">
            <w:pPr>
              <w:autoSpaceDE w:val="0"/>
              <w:autoSpaceDN w:val="0"/>
              <w:spacing w:line="360" w:lineRule="auto"/>
              <w:rPr>
                <w:rFonts w:hint="eastAsia" w:ascii="宋体" w:hAnsi="宋体" w:eastAsia="宋体" w:cs="宋体"/>
                <w:color w:val="auto"/>
                <w:sz w:val="24"/>
                <w:highlight w:val="none"/>
              </w:rPr>
            </w:pPr>
          </w:p>
        </w:tc>
        <w:tc>
          <w:tcPr>
            <w:tcW w:w="1080" w:type="dxa"/>
            <w:tcBorders>
              <w:top w:val="single" w:color="auto" w:sz="6" w:space="0"/>
              <w:left w:val="single" w:color="auto" w:sz="6" w:space="0"/>
              <w:bottom w:val="single" w:color="auto" w:sz="6" w:space="0"/>
              <w:right w:val="single" w:color="auto" w:sz="6" w:space="0"/>
            </w:tcBorders>
            <w:noWrap w:val="0"/>
            <w:vAlign w:val="top"/>
          </w:tcPr>
          <w:p w14:paraId="30BDFBA9">
            <w:pPr>
              <w:autoSpaceDE w:val="0"/>
              <w:autoSpaceDN w:val="0"/>
              <w:spacing w:line="360" w:lineRule="auto"/>
              <w:rPr>
                <w:rFonts w:hint="eastAsia" w:ascii="宋体" w:hAnsi="宋体" w:eastAsia="宋体" w:cs="宋体"/>
                <w:color w:val="auto"/>
                <w:sz w:val="24"/>
                <w:highlight w:val="none"/>
              </w:rPr>
            </w:pPr>
          </w:p>
        </w:tc>
        <w:tc>
          <w:tcPr>
            <w:tcW w:w="1080" w:type="dxa"/>
            <w:tcBorders>
              <w:top w:val="single" w:color="auto" w:sz="6" w:space="0"/>
              <w:left w:val="single" w:color="auto" w:sz="6" w:space="0"/>
              <w:bottom w:val="single" w:color="auto" w:sz="6" w:space="0"/>
              <w:right w:val="single" w:color="auto" w:sz="6" w:space="0"/>
            </w:tcBorders>
            <w:noWrap w:val="0"/>
            <w:vAlign w:val="top"/>
          </w:tcPr>
          <w:p w14:paraId="15EE9D3F">
            <w:pPr>
              <w:autoSpaceDE w:val="0"/>
              <w:autoSpaceDN w:val="0"/>
              <w:spacing w:line="360" w:lineRule="auto"/>
              <w:rPr>
                <w:rFonts w:hint="eastAsia" w:ascii="宋体" w:hAnsi="宋体" w:eastAsia="宋体" w:cs="宋体"/>
                <w:color w:val="auto"/>
                <w:sz w:val="24"/>
                <w:highlight w:val="none"/>
              </w:rPr>
            </w:pPr>
          </w:p>
        </w:tc>
        <w:tc>
          <w:tcPr>
            <w:tcW w:w="1260" w:type="dxa"/>
            <w:tcBorders>
              <w:top w:val="single" w:color="auto" w:sz="6" w:space="0"/>
              <w:left w:val="single" w:color="auto" w:sz="6" w:space="0"/>
              <w:bottom w:val="single" w:color="auto" w:sz="6" w:space="0"/>
              <w:right w:val="single" w:color="auto" w:sz="6" w:space="0"/>
            </w:tcBorders>
            <w:noWrap w:val="0"/>
            <w:vAlign w:val="top"/>
          </w:tcPr>
          <w:p w14:paraId="326964C6">
            <w:pPr>
              <w:autoSpaceDE w:val="0"/>
              <w:autoSpaceDN w:val="0"/>
              <w:spacing w:line="360" w:lineRule="auto"/>
              <w:rPr>
                <w:rFonts w:hint="eastAsia" w:ascii="宋体" w:hAnsi="宋体" w:eastAsia="宋体" w:cs="宋体"/>
                <w:color w:val="auto"/>
                <w:sz w:val="24"/>
                <w:highlight w:val="none"/>
              </w:rPr>
            </w:pPr>
          </w:p>
        </w:tc>
        <w:tc>
          <w:tcPr>
            <w:tcW w:w="900" w:type="dxa"/>
            <w:tcBorders>
              <w:top w:val="single" w:color="auto" w:sz="6" w:space="0"/>
              <w:left w:val="single" w:color="auto" w:sz="6" w:space="0"/>
              <w:bottom w:val="single" w:color="auto" w:sz="6" w:space="0"/>
              <w:right w:val="single" w:color="auto" w:sz="6" w:space="0"/>
            </w:tcBorders>
            <w:noWrap w:val="0"/>
            <w:vAlign w:val="top"/>
          </w:tcPr>
          <w:p w14:paraId="4382B5E0">
            <w:pPr>
              <w:autoSpaceDE w:val="0"/>
              <w:autoSpaceDN w:val="0"/>
              <w:spacing w:line="360" w:lineRule="auto"/>
              <w:rPr>
                <w:rFonts w:hint="eastAsia" w:ascii="宋体" w:hAnsi="宋体" w:eastAsia="宋体" w:cs="宋体"/>
                <w:color w:val="auto"/>
                <w:sz w:val="24"/>
                <w:highlight w:val="none"/>
              </w:rPr>
            </w:pPr>
          </w:p>
        </w:tc>
        <w:tc>
          <w:tcPr>
            <w:tcW w:w="1470" w:type="dxa"/>
            <w:tcBorders>
              <w:top w:val="single" w:color="auto" w:sz="6" w:space="0"/>
              <w:left w:val="single" w:color="auto" w:sz="6" w:space="0"/>
              <w:bottom w:val="single" w:color="auto" w:sz="6" w:space="0"/>
              <w:right w:val="single" w:color="auto" w:sz="6" w:space="0"/>
            </w:tcBorders>
            <w:noWrap w:val="0"/>
            <w:vAlign w:val="top"/>
          </w:tcPr>
          <w:p w14:paraId="7C38EC9E">
            <w:pPr>
              <w:autoSpaceDE w:val="0"/>
              <w:autoSpaceDN w:val="0"/>
              <w:spacing w:line="360" w:lineRule="auto"/>
              <w:rPr>
                <w:rFonts w:hint="eastAsia" w:ascii="宋体" w:hAnsi="宋体" w:eastAsia="宋体" w:cs="宋体"/>
                <w:color w:val="auto"/>
                <w:sz w:val="24"/>
                <w:highlight w:val="none"/>
              </w:rPr>
            </w:pPr>
          </w:p>
        </w:tc>
      </w:tr>
      <w:tr w14:paraId="76970C72">
        <w:tblPrEx>
          <w:tblCellMar>
            <w:top w:w="0" w:type="dxa"/>
            <w:left w:w="108" w:type="dxa"/>
            <w:bottom w:w="0" w:type="dxa"/>
            <w:right w:w="108" w:type="dxa"/>
          </w:tblCellMar>
        </w:tblPrEx>
        <w:trPr>
          <w:trHeight w:val="473" w:hRule="atLeast"/>
        </w:trPr>
        <w:tc>
          <w:tcPr>
            <w:tcW w:w="420" w:type="dxa"/>
            <w:tcBorders>
              <w:top w:val="single" w:color="auto" w:sz="6" w:space="0"/>
              <w:left w:val="single" w:color="auto" w:sz="6" w:space="0"/>
              <w:bottom w:val="single" w:color="auto" w:sz="6" w:space="0"/>
              <w:right w:val="single" w:color="auto" w:sz="6" w:space="0"/>
            </w:tcBorders>
            <w:noWrap w:val="0"/>
            <w:vAlign w:val="top"/>
          </w:tcPr>
          <w:p w14:paraId="6FB61F91">
            <w:pPr>
              <w:autoSpaceDE w:val="0"/>
              <w:autoSpaceDN w:val="0"/>
              <w:spacing w:line="360" w:lineRule="auto"/>
              <w:jc w:val="center"/>
              <w:rPr>
                <w:rFonts w:hint="eastAsia" w:ascii="宋体" w:hAnsi="宋体" w:eastAsia="宋体" w:cs="宋体"/>
                <w:color w:val="auto"/>
                <w:sz w:val="24"/>
                <w:highlight w:val="none"/>
              </w:rPr>
            </w:pPr>
          </w:p>
        </w:tc>
        <w:tc>
          <w:tcPr>
            <w:tcW w:w="787" w:type="dxa"/>
            <w:tcBorders>
              <w:top w:val="single" w:color="auto" w:sz="6" w:space="0"/>
              <w:left w:val="single" w:color="auto" w:sz="6" w:space="0"/>
              <w:bottom w:val="single" w:color="auto" w:sz="6" w:space="0"/>
              <w:right w:val="single" w:color="auto" w:sz="6" w:space="0"/>
            </w:tcBorders>
            <w:noWrap w:val="0"/>
            <w:vAlign w:val="top"/>
          </w:tcPr>
          <w:p w14:paraId="2FAB514D">
            <w:pPr>
              <w:autoSpaceDE w:val="0"/>
              <w:autoSpaceDN w:val="0"/>
              <w:spacing w:line="360" w:lineRule="auto"/>
              <w:rPr>
                <w:rFonts w:hint="eastAsia" w:ascii="宋体" w:hAnsi="宋体" w:eastAsia="宋体" w:cs="宋体"/>
                <w:color w:val="auto"/>
                <w:sz w:val="24"/>
                <w:highlight w:val="none"/>
              </w:rPr>
            </w:pPr>
          </w:p>
        </w:tc>
        <w:tc>
          <w:tcPr>
            <w:tcW w:w="412" w:type="dxa"/>
            <w:tcBorders>
              <w:top w:val="single" w:color="auto" w:sz="6" w:space="0"/>
              <w:left w:val="single" w:color="auto" w:sz="6" w:space="0"/>
              <w:bottom w:val="single" w:color="auto" w:sz="6" w:space="0"/>
              <w:right w:val="single" w:color="auto" w:sz="6" w:space="0"/>
            </w:tcBorders>
            <w:noWrap w:val="0"/>
            <w:vAlign w:val="top"/>
          </w:tcPr>
          <w:p w14:paraId="4435153A">
            <w:pPr>
              <w:autoSpaceDE w:val="0"/>
              <w:autoSpaceDN w:val="0"/>
              <w:spacing w:line="360" w:lineRule="auto"/>
              <w:rPr>
                <w:rFonts w:hint="eastAsia" w:ascii="宋体" w:hAnsi="宋体" w:eastAsia="宋体" w:cs="宋体"/>
                <w:color w:val="auto"/>
                <w:sz w:val="24"/>
                <w:highlight w:val="none"/>
              </w:rPr>
            </w:pPr>
          </w:p>
        </w:tc>
        <w:tc>
          <w:tcPr>
            <w:tcW w:w="586" w:type="dxa"/>
            <w:tcBorders>
              <w:top w:val="single" w:color="auto" w:sz="6" w:space="0"/>
              <w:left w:val="single" w:color="auto" w:sz="6" w:space="0"/>
              <w:bottom w:val="single" w:color="auto" w:sz="6" w:space="0"/>
              <w:right w:val="single" w:color="auto" w:sz="6" w:space="0"/>
            </w:tcBorders>
            <w:noWrap w:val="0"/>
            <w:vAlign w:val="top"/>
          </w:tcPr>
          <w:p w14:paraId="2AFE5EDC">
            <w:pPr>
              <w:autoSpaceDE w:val="0"/>
              <w:autoSpaceDN w:val="0"/>
              <w:spacing w:line="360" w:lineRule="auto"/>
              <w:rPr>
                <w:rFonts w:hint="eastAsia" w:ascii="宋体" w:hAnsi="宋体" w:eastAsia="宋体" w:cs="宋体"/>
                <w:color w:val="auto"/>
                <w:sz w:val="24"/>
                <w:highlight w:val="none"/>
              </w:rPr>
            </w:pPr>
          </w:p>
        </w:tc>
        <w:tc>
          <w:tcPr>
            <w:tcW w:w="1035" w:type="dxa"/>
            <w:tcBorders>
              <w:top w:val="single" w:color="auto" w:sz="6" w:space="0"/>
              <w:left w:val="single" w:color="auto" w:sz="6" w:space="0"/>
              <w:bottom w:val="single" w:color="auto" w:sz="6" w:space="0"/>
              <w:right w:val="single" w:color="auto" w:sz="6" w:space="0"/>
            </w:tcBorders>
            <w:noWrap w:val="0"/>
            <w:vAlign w:val="top"/>
          </w:tcPr>
          <w:p w14:paraId="12A3DF62">
            <w:pPr>
              <w:autoSpaceDE w:val="0"/>
              <w:autoSpaceDN w:val="0"/>
              <w:spacing w:line="360" w:lineRule="auto"/>
              <w:rPr>
                <w:rFonts w:hint="eastAsia" w:ascii="宋体" w:hAnsi="宋体" w:eastAsia="宋体" w:cs="宋体"/>
                <w:color w:val="auto"/>
                <w:sz w:val="24"/>
                <w:highlight w:val="none"/>
              </w:rPr>
            </w:pPr>
          </w:p>
        </w:tc>
        <w:tc>
          <w:tcPr>
            <w:tcW w:w="1080" w:type="dxa"/>
            <w:tcBorders>
              <w:top w:val="single" w:color="auto" w:sz="6" w:space="0"/>
              <w:left w:val="single" w:color="auto" w:sz="6" w:space="0"/>
              <w:bottom w:val="single" w:color="auto" w:sz="6" w:space="0"/>
              <w:right w:val="single" w:color="auto" w:sz="6" w:space="0"/>
            </w:tcBorders>
            <w:noWrap w:val="0"/>
            <w:vAlign w:val="top"/>
          </w:tcPr>
          <w:p w14:paraId="51544828">
            <w:pPr>
              <w:autoSpaceDE w:val="0"/>
              <w:autoSpaceDN w:val="0"/>
              <w:spacing w:line="360" w:lineRule="auto"/>
              <w:rPr>
                <w:rFonts w:hint="eastAsia" w:ascii="宋体" w:hAnsi="宋体" w:eastAsia="宋体" w:cs="宋体"/>
                <w:color w:val="auto"/>
                <w:sz w:val="24"/>
                <w:highlight w:val="none"/>
              </w:rPr>
            </w:pPr>
          </w:p>
        </w:tc>
        <w:tc>
          <w:tcPr>
            <w:tcW w:w="1080" w:type="dxa"/>
            <w:tcBorders>
              <w:top w:val="single" w:color="auto" w:sz="6" w:space="0"/>
              <w:left w:val="single" w:color="auto" w:sz="6" w:space="0"/>
              <w:bottom w:val="single" w:color="auto" w:sz="6" w:space="0"/>
              <w:right w:val="single" w:color="auto" w:sz="6" w:space="0"/>
            </w:tcBorders>
            <w:noWrap w:val="0"/>
            <w:vAlign w:val="top"/>
          </w:tcPr>
          <w:p w14:paraId="456F53E7">
            <w:pPr>
              <w:autoSpaceDE w:val="0"/>
              <w:autoSpaceDN w:val="0"/>
              <w:spacing w:line="360" w:lineRule="auto"/>
              <w:rPr>
                <w:rFonts w:hint="eastAsia" w:ascii="宋体" w:hAnsi="宋体" w:eastAsia="宋体" w:cs="宋体"/>
                <w:color w:val="auto"/>
                <w:sz w:val="24"/>
                <w:highlight w:val="none"/>
              </w:rPr>
            </w:pPr>
          </w:p>
        </w:tc>
        <w:tc>
          <w:tcPr>
            <w:tcW w:w="1260" w:type="dxa"/>
            <w:tcBorders>
              <w:top w:val="single" w:color="auto" w:sz="6" w:space="0"/>
              <w:left w:val="single" w:color="auto" w:sz="6" w:space="0"/>
              <w:bottom w:val="single" w:color="auto" w:sz="6" w:space="0"/>
              <w:right w:val="single" w:color="auto" w:sz="6" w:space="0"/>
            </w:tcBorders>
            <w:noWrap w:val="0"/>
            <w:vAlign w:val="top"/>
          </w:tcPr>
          <w:p w14:paraId="343727CF">
            <w:pPr>
              <w:autoSpaceDE w:val="0"/>
              <w:autoSpaceDN w:val="0"/>
              <w:spacing w:line="360" w:lineRule="auto"/>
              <w:rPr>
                <w:rFonts w:hint="eastAsia" w:ascii="宋体" w:hAnsi="宋体" w:eastAsia="宋体" w:cs="宋体"/>
                <w:color w:val="auto"/>
                <w:sz w:val="24"/>
                <w:highlight w:val="none"/>
              </w:rPr>
            </w:pPr>
          </w:p>
        </w:tc>
        <w:tc>
          <w:tcPr>
            <w:tcW w:w="900" w:type="dxa"/>
            <w:tcBorders>
              <w:top w:val="single" w:color="auto" w:sz="6" w:space="0"/>
              <w:left w:val="single" w:color="auto" w:sz="6" w:space="0"/>
              <w:bottom w:val="single" w:color="auto" w:sz="6" w:space="0"/>
              <w:right w:val="single" w:color="auto" w:sz="6" w:space="0"/>
            </w:tcBorders>
            <w:noWrap w:val="0"/>
            <w:vAlign w:val="top"/>
          </w:tcPr>
          <w:p w14:paraId="2579C18C">
            <w:pPr>
              <w:autoSpaceDE w:val="0"/>
              <w:autoSpaceDN w:val="0"/>
              <w:spacing w:line="360" w:lineRule="auto"/>
              <w:rPr>
                <w:rFonts w:hint="eastAsia" w:ascii="宋体" w:hAnsi="宋体" w:eastAsia="宋体" w:cs="宋体"/>
                <w:color w:val="auto"/>
                <w:sz w:val="24"/>
                <w:highlight w:val="none"/>
              </w:rPr>
            </w:pPr>
          </w:p>
        </w:tc>
        <w:tc>
          <w:tcPr>
            <w:tcW w:w="1470" w:type="dxa"/>
            <w:tcBorders>
              <w:top w:val="single" w:color="auto" w:sz="6" w:space="0"/>
              <w:left w:val="single" w:color="auto" w:sz="6" w:space="0"/>
              <w:bottom w:val="single" w:color="auto" w:sz="6" w:space="0"/>
              <w:right w:val="single" w:color="auto" w:sz="6" w:space="0"/>
            </w:tcBorders>
            <w:noWrap w:val="0"/>
            <w:vAlign w:val="top"/>
          </w:tcPr>
          <w:p w14:paraId="5A4A1377">
            <w:pPr>
              <w:autoSpaceDE w:val="0"/>
              <w:autoSpaceDN w:val="0"/>
              <w:spacing w:line="360" w:lineRule="auto"/>
              <w:rPr>
                <w:rFonts w:hint="eastAsia" w:ascii="宋体" w:hAnsi="宋体" w:eastAsia="宋体" w:cs="宋体"/>
                <w:color w:val="auto"/>
                <w:sz w:val="24"/>
                <w:highlight w:val="none"/>
              </w:rPr>
            </w:pPr>
          </w:p>
        </w:tc>
      </w:tr>
    </w:tbl>
    <w:p w14:paraId="015E1FAA">
      <w:pPr>
        <w:spacing w:line="360" w:lineRule="auto"/>
        <w:rPr>
          <w:rFonts w:hint="eastAsia" w:ascii="宋体" w:hAnsi="宋体" w:eastAsia="宋体" w:cs="宋体"/>
          <w:b/>
          <w:bCs/>
          <w:color w:val="auto"/>
          <w:sz w:val="24"/>
          <w:highlight w:val="none"/>
        </w:rPr>
      </w:pPr>
      <w:r>
        <w:rPr>
          <w:rFonts w:hint="eastAsia" w:ascii="宋体" w:hAnsi="宋体" w:eastAsia="宋体" w:cs="宋体"/>
          <w:b/>
          <w:color w:val="auto"/>
          <w:sz w:val="24"/>
          <w:highlight w:val="none"/>
        </w:rPr>
        <w:t>注：投标人可按上述的格式自行编制，须随表提交相应的证书复印件并注明所在投标技术文件页码。</w:t>
      </w:r>
    </w:p>
    <w:p w14:paraId="0F606B98">
      <w:pPr>
        <w:spacing w:line="360" w:lineRule="auto"/>
        <w:rPr>
          <w:rFonts w:hint="eastAsia" w:ascii="宋体" w:hAnsi="宋体" w:eastAsia="宋体" w:cs="宋体"/>
          <w:b/>
          <w:bCs/>
          <w:color w:val="auto"/>
          <w:sz w:val="24"/>
          <w:highlight w:val="none"/>
        </w:rPr>
      </w:pPr>
    </w:p>
    <w:p w14:paraId="7D9AA24A">
      <w:pPr>
        <w:snapToGrid w:val="0"/>
        <w:spacing w:line="360" w:lineRule="auto"/>
        <w:ind w:firstLine="4320" w:firstLineChars="1800"/>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lang w:val="zh-CN"/>
        </w:rPr>
        <w:t>投标人名称(电子签章)：</w:t>
      </w:r>
    </w:p>
    <w:p w14:paraId="0424B399">
      <w:pPr>
        <w:autoSpaceDE w:val="0"/>
        <w:autoSpaceDN w:val="0"/>
        <w:spacing w:line="360" w:lineRule="auto"/>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lang w:val="zh-CN"/>
        </w:rPr>
        <w:t>日期：年月日</w:t>
      </w:r>
    </w:p>
    <w:p w14:paraId="1CDF1AE2">
      <w:pPr>
        <w:snapToGrid w:val="0"/>
        <w:spacing w:before="50" w:after="50"/>
        <w:rPr>
          <w:rFonts w:hint="eastAsia" w:ascii="宋体" w:hAnsi="宋体" w:eastAsia="宋体" w:cs="宋体"/>
          <w:color w:val="auto"/>
          <w:sz w:val="24"/>
          <w:highlight w:val="none"/>
        </w:rPr>
      </w:pPr>
    </w:p>
    <w:p w14:paraId="5EE23526">
      <w:pPr>
        <w:snapToGrid w:val="0"/>
        <w:spacing w:before="165" w:beforeLines="50" w:after="50"/>
        <w:jc w:val="left"/>
        <w:rPr>
          <w:rFonts w:hint="eastAsia" w:ascii="宋体" w:hAnsi="宋体" w:eastAsia="宋体" w:cs="宋体"/>
          <w:color w:val="auto"/>
          <w:sz w:val="24"/>
          <w:highlight w:val="none"/>
          <w:lang w:eastAsia="zh-CN"/>
        </w:rPr>
      </w:pPr>
      <w:r>
        <w:rPr>
          <w:rFonts w:hint="eastAsia" w:ascii="宋体" w:hAnsi="宋体" w:eastAsia="宋体" w:cs="宋体"/>
          <w:b/>
          <w:color w:val="auto"/>
          <w:sz w:val="24"/>
          <w:highlight w:val="none"/>
        </w:rPr>
        <w:br w:type="page"/>
      </w:r>
    </w:p>
    <w:p w14:paraId="68E9342F">
      <w:pPr>
        <w:snapToGrid w:val="0"/>
        <w:spacing w:before="165" w:beforeLines="50" w:after="50"/>
        <w:ind w:left="142"/>
        <w:jc w:val="center"/>
        <w:rPr>
          <w:rFonts w:hint="eastAsia" w:ascii="宋体" w:hAnsi="宋体" w:eastAsia="宋体" w:cs="宋体"/>
          <w:b/>
          <w:color w:val="auto"/>
          <w:sz w:val="32"/>
          <w:szCs w:val="32"/>
          <w:highlight w:val="none"/>
        </w:rPr>
      </w:pPr>
      <w:r>
        <w:rPr>
          <w:rFonts w:hint="eastAsia" w:ascii="宋体" w:hAnsi="宋体" w:eastAsia="宋体" w:cs="宋体"/>
          <w:b/>
          <w:color w:val="auto"/>
          <w:sz w:val="32"/>
          <w:szCs w:val="32"/>
          <w:highlight w:val="none"/>
        </w:rPr>
        <w:t>五、投标人对项目的合理化建议和改进措施</w:t>
      </w:r>
    </w:p>
    <w:p w14:paraId="3886A0A0">
      <w:pPr>
        <w:spacing w:line="360" w:lineRule="auto"/>
        <w:ind w:firstLine="4048" w:firstLineChars="1687"/>
        <w:rPr>
          <w:rFonts w:hint="eastAsia" w:ascii="宋体" w:hAnsi="宋体" w:eastAsia="宋体" w:cs="宋体"/>
          <w:color w:val="auto"/>
          <w:sz w:val="24"/>
          <w:highlight w:val="none"/>
        </w:rPr>
      </w:pPr>
      <w:r>
        <w:rPr>
          <w:rFonts w:hint="eastAsia" w:ascii="宋体" w:hAnsi="宋体" w:eastAsia="宋体" w:cs="宋体"/>
          <w:color w:val="auto"/>
          <w:sz w:val="24"/>
          <w:highlight w:val="none"/>
        </w:rPr>
        <w:t>（格式自拟）</w:t>
      </w:r>
    </w:p>
    <w:p w14:paraId="379155A3">
      <w:pPr>
        <w:snapToGrid w:val="0"/>
        <w:spacing w:line="360" w:lineRule="auto"/>
        <w:ind w:firstLine="4935" w:firstLineChars="2350"/>
        <w:rPr>
          <w:rFonts w:hint="eastAsia" w:ascii="宋体" w:hAnsi="宋体" w:eastAsia="宋体" w:cs="宋体"/>
          <w:color w:val="auto"/>
          <w:szCs w:val="21"/>
          <w:highlight w:val="none"/>
          <w:lang w:eastAsia="zh-CN"/>
        </w:rPr>
      </w:pPr>
    </w:p>
    <w:p w14:paraId="3D2DFECE">
      <w:pPr>
        <w:snapToGrid w:val="0"/>
        <w:spacing w:line="360" w:lineRule="auto"/>
        <w:ind w:firstLine="4935" w:firstLineChars="2350"/>
        <w:rPr>
          <w:rFonts w:hint="eastAsia" w:ascii="宋体" w:hAnsi="宋体" w:eastAsia="宋体" w:cs="宋体"/>
          <w:color w:val="auto"/>
          <w:szCs w:val="21"/>
          <w:highlight w:val="none"/>
        </w:rPr>
      </w:pPr>
    </w:p>
    <w:p w14:paraId="7DCB26DE">
      <w:pPr>
        <w:snapToGrid w:val="0"/>
        <w:spacing w:line="360" w:lineRule="auto"/>
        <w:ind w:firstLine="4935" w:firstLineChars="2350"/>
        <w:rPr>
          <w:rFonts w:hint="eastAsia" w:ascii="宋体" w:hAnsi="宋体" w:eastAsia="宋体" w:cs="宋体"/>
          <w:color w:val="auto"/>
          <w:szCs w:val="21"/>
          <w:highlight w:val="none"/>
        </w:rPr>
      </w:pPr>
    </w:p>
    <w:p w14:paraId="6866EB08">
      <w:pPr>
        <w:snapToGrid w:val="0"/>
        <w:spacing w:line="360" w:lineRule="auto"/>
        <w:ind w:firstLine="4935" w:firstLineChars="2350"/>
        <w:rPr>
          <w:rFonts w:hint="eastAsia" w:ascii="宋体" w:hAnsi="宋体" w:eastAsia="宋体" w:cs="宋体"/>
          <w:color w:val="auto"/>
          <w:szCs w:val="21"/>
          <w:highlight w:val="none"/>
        </w:rPr>
      </w:pPr>
    </w:p>
    <w:p w14:paraId="209B6C61">
      <w:pPr>
        <w:snapToGrid w:val="0"/>
        <w:spacing w:line="360" w:lineRule="auto"/>
        <w:ind w:firstLine="5640" w:firstLineChars="2350"/>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lang w:val="zh-CN"/>
        </w:rPr>
        <w:t>投标人名称(电子签章)：</w:t>
      </w:r>
    </w:p>
    <w:p w14:paraId="11EEF5EC">
      <w:pPr>
        <w:snapToGrid w:val="0"/>
        <w:spacing w:line="360" w:lineRule="auto"/>
        <w:ind w:firstLine="5160" w:firstLineChars="2150"/>
        <w:rPr>
          <w:rFonts w:hint="eastAsia" w:ascii="宋体" w:hAnsi="宋体" w:eastAsia="宋体" w:cs="宋体"/>
          <w:color w:val="auto"/>
          <w:kern w:val="0"/>
          <w:sz w:val="24"/>
          <w:highlight w:val="none"/>
          <w:lang w:val="zh-CN"/>
        </w:rPr>
      </w:pPr>
      <w:r>
        <w:rPr>
          <w:rFonts w:hint="eastAsia" w:ascii="宋体" w:hAnsi="宋体" w:eastAsia="宋体" w:cs="宋体"/>
          <w:color w:val="auto"/>
          <w:kern w:val="0"/>
          <w:sz w:val="24"/>
          <w:highlight w:val="none"/>
          <w:lang w:val="zh-CN"/>
        </w:rPr>
        <w:t>日期</w:t>
      </w:r>
      <w:r>
        <w:rPr>
          <w:rFonts w:hint="eastAsia" w:ascii="宋体" w:hAnsi="宋体" w:eastAsia="宋体" w:cs="宋体"/>
          <w:color w:val="auto"/>
          <w:kern w:val="0"/>
          <w:sz w:val="24"/>
          <w:highlight w:val="none"/>
        </w:rPr>
        <w:t>：年</w:t>
      </w:r>
      <w:r>
        <w:rPr>
          <w:rFonts w:hint="eastAsia" w:ascii="宋体" w:hAnsi="宋体" w:eastAsia="宋体" w:cs="宋体"/>
          <w:color w:val="auto"/>
          <w:kern w:val="0"/>
          <w:sz w:val="24"/>
          <w:highlight w:val="none"/>
          <w:lang w:val="zh-CN"/>
        </w:rPr>
        <w:t>月日</w:t>
      </w:r>
    </w:p>
    <w:p w14:paraId="1F809707">
      <w:pPr>
        <w:spacing w:line="360" w:lineRule="auto"/>
        <w:jc w:val="center"/>
        <w:rPr>
          <w:rFonts w:hint="eastAsia" w:ascii="宋体" w:hAnsi="宋体" w:eastAsia="宋体" w:cs="宋体"/>
          <w:color w:val="auto"/>
          <w:sz w:val="24"/>
          <w:highlight w:val="none"/>
        </w:rPr>
      </w:pPr>
      <w:r>
        <w:rPr>
          <w:rFonts w:hint="eastAsia" w:ascii="宋体" w:hAnsi="宋体" w:eastAsia="宋体" w:cs="宋体"/>
          <w:b/>
          <w:color w:val="auto"/>
          <w:sz w:val="32"/>
          <w:szCs w:val="32"/>
          <w:highlight w:val="none"/>
          <w:lang w:val="en-US" w:eastAsia="zh-CN"/>
        </w:rPr>
        <w:t>六、</w:t>
      </w:r>
      <w:r>
        <w:rPr>
          <w:rFonts w:hint="eastAsia" w:ascii="宋体" w:hAnsi="宋体" w:eastAsia="宋体" w:cs="宋体"/>
          <w:b/>
          <w:color w:val="auto"/>
          <w:sz w:val="32"/>
          <w:szCs w:val="32"/>
          <w:highlight w:val="none"/>
        </w:rPr>
        <w:t>除招标文件规定必须提供以外，投标人需要说明的其他文件和说明</w:t>
      </w:r>
    </w:p>
    <w:p w14:paraId="62C7207D">
      <w:pPr>
        <w:spacing w:line="360" w:lineRule="auto"/>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（由投标人根据采购需求自行编制）</w:t>
      </w:r>
    </w:p>
    <w:p w14:paraId="20421005">
      <w:pPr>
        <w:spacing w:line="360" w:lineRule="auto"/>
        <w:jc w:val="center"/>
        <w:rPr>
          <w:rFonts w:hint="eastAsia" w:ascii="宋体" w:hAnsi="宋体" w:eastAsia="宋体" w:cs="宋体"/>
          <w:color w:val="auto"/>
          <w:sz w:val="24"/>
          <w:highlight w:val="none"/>
        </w:rPr>
      </w:pPr>
    </w:p>
    <w:p w14:paraId="2EB96771">
      <w:pPr>
        <w:autoSpaceDE w:val="0"/>
        <w:autoSpaceDN w:val="0"/>
        <w:spacing w:line="360" w:lineRule="auto"/>
        <w:ind w:firstLine="4800" w:firstLineChars="2000"/>
        <w:rPr>
          <w:rFonts w:hint="eastAsia" w:ascii="宋体" w:hAnsi="宋体" w:eastAsia="宋体" w:cs="宋体"/>
          <w:color w:val="auto"/>
          <w:sz w:val="24"/>
          <w:highlight w:val="none"/>
          <w:lang w:eastAsia="zh-CN"/>
        </w:rPr>
      </w:pPr>
      <w:r>
        <w:rPr>
          <w:rFonts w:hint="eastAsia" w:ascii="宋体" w:hAnsi="宋体" w:eastAsia="宋体" w:cs="宋体"/>
          <w:color w:val="auto"/>
          <w:kern w:val="0"/>
          <w:sz w:val="24"/>
          <w:highlight w:val="none"/>
        </w:rPr>
        <w:t>投标人名称（电子</w:t>
      </w:r>
      <w:r>
        <w:rPr>
          <w:rFonts w:hint="eastAsia" w:ascii="宋体" w:hAnsi="宋体" w:eastAsia="宋体" w:cs="宋体"/>
          <w:color w:val="auto"/>
          <w:kern w:val="0"/>
          <w:sz w:val="24"/>
          <w:highlight w:val="none"/>
          <w:lang w:val="zh-CN"/>
        </w:rPr>
        <w:t>签章</w:t>
      </w:r>
      <w:r>
        <w:rPr>
          <w:rFonts w:hint="eastAsia" w:ascii="宋体" w:hAnsi="宋体" w:eastAsia="宋体" w:cs="宋体"/>
          <w:color w:val="auto"/>
          <w:kern w:val="0"/>
          <w:sz w:val="24"/>
          <w:highlight w:val="none"/>
        </w:rPr>
        <w:t>）：</w:t>
      </w:r>
    </w:p>
    <w:p w14:paraId="74BB3F6A">
      <w:pPr>
        <w:autoSpaceDE w:val="0"/>
        <w:autoSpaceDN w:val="0"/>
        <w:spacing w:line="360" w:lineRule="auto"/>
        <w:rPr>
          <w:rFonts w:hint="eastAsia" w:ascii="宋体" w:hAnsi="宋体" w:eastAsia="宋体" w:cs="宋体"/>
          <w:b/>
          <w:bCs/>
          <w:color w:val="auto"/>
          <w:sz w:val="30"/>
          <w:szCs w:val="30"/>
          <w:highlight w:val="none"/>
        </w:rPr>
      </w:pPr>
      <w:r>
        <w:rPr>
          <w:rFonts w:hint="eastAsia" w:ascii="宋体" w:hAnsi="宋体" w:eastAsia="宋体" w:cs="宋体"/>
          <w:color w:val="auto"/>
          <w:kern w:val="0"/>
          <w:sz w:val="24"/>
          <w:highlight w:val="none"/>
          <w:lang w:val="zh-CN"/>
        </w:rPr>
        <w:t>日期：年月日</w:t>
      </w:r>
    </w:p>
    <w:p w14:paraId="78EEBF67">
      <w:pPr>
        <w:widowControl/>
        <w:jc w:val="left"/>
        <w:rPr>
          <w:rFonts w:hint="eastAsia" w:ascii="宋体" w:hAnsi="宋体" w:eastAsia="宋体" w:cs="宋体"/>
          <w:b/>
          <w:bCs/>
          <w:color w:val="auto"/>
          <w:sz w:val="24"/>
          <w:highlight w:val="none"/>
        </w:rPr>
        <w:sectPr>
          <w:pgSz w:w="11906" w:h="16838"/>
          <w:pgMar w:top="1134" w:right="1134" w:bottom="1134" w:left="1134" w:header="720" w:footer="720" w:gutter="0"/>
          <w:cols w:space="720" w:num="1"/>
          <w:docGrid w:type="lines" w:linePitch="331" w:charSpace="0"/>
        </w:sectPr>
      </w:pPr>
    </w:p>
    <w:p w14:paraId="23FE66DD">
      <w:pPr>
        <w:pStyle w:val="18"/>
        <w:jc w:val="center"/>
        <w:outlineLvl w:val="1"/>
        <w:rPr>
          <w:rFonts w:hint="eastAsia" w:ascii="宋体" w:hAnsi="宋体" w:eastAsia="宋体" w:cs="宋体"/>
          <w:b/>
          <w:bCs/>
          <w:color w:val="auto"/>
          <w:sz w:val="28"/>
          <w:szCs w:val="28"/>
          <w:highlight w:val="none"/>
        </w:rPr>
      </w:pPr>
      <w:bookmarkStart w:id="29" w:name="_Toc11766"/>
      <w:r>
        <w:rPr>
          <w:rFonts w:hint="eastAsia" w:ascii="宋体" w:hAnsi="宋体" w:eastAsia="宋体" w:cs="宋体"/>
          <w:b/>
          <w:bCs/>
          <w:color w:val="auto"/>
          <w:sz w:val="28"/>
          <w:szCs w:val="28"/>
          <w:highlight w:val="none"/>
        </w:rPr>
        <w:t>第五节报价文件格式</w:t>
      </w:r>
      <w:bookmarkEnd w:id="29"/>
    </w:p>
    <w:p w14:paraId="31C5283E">
      <w:pPr>
        <w:snapToGrid w:val="0"/>
        <w:spacing w:before="165" w:beforeLines="50" w:after="50" w:line="400" w:lineRule="exact"/>
        <w:rPr>
          <w:rFonts w:hint="eastAsia" w:ascii="宋体" w:hAnsi="宋体" w:eastAsia="宋体" w:cs="宋体"/>
          <w:bCs/>
          <w:color w:val="auto"/>
          <w:sz w:val="32"/>
          <w:szCs w:val="20"/>
          <w:highlight w:val="none"/>
        </w:rPr>
      </w:pPr>
      <w:r>
        <w:rPr>
          <w:rFonts w:hint="eastAsia" w:ascii="宋体" w:hAnsi="宋体" w:eastAsia="宋体" w:cs="宋体"/>
          <w:bCs/>
          <w:color w:val="auto"/>
          <w:highlight w:val="none"/>
        </w:rPr>
        <w:t>电子投标文件</w:t>
      </w:r>
    </w:p>
    <w:p w14:paraId="1748A909">
      <w:pPr>
        <w:snapToGrid w:val="0"/>
        <w:spacing w:before="165" w:beforeLines="50" w:after="50" w:line="400" w:lineRule="exact"/>
        <w:jc w:val="center"/>
        <w:rPr>
          <w:rFonts w:hint="eastAsia" w:ascii="宋体" w:hAnsi="宋体" w:eastAsia="宋体" w:cs="宋体"/>
          <w:bCs/>
          <w:color w:val="auto"/>
          <w:sz w:val="24"/>
          <w:szCs w:val="20"/>
          <w:highlight w:val="none"/>
        </w:rPr>
      </w:pPr>
    </w:p>
    <w:p w14:paraId="3E1AE417">
      <w:pPr>
        <w:snapToGrid w:val="0"/>
        <w:spacing w:before="165" w:beforeLines="50" w:after="50" w:line="400" w:lineRule="exact"/>
        <w:jc w:val="center"/>
        <w:rPr>
          <w:rFonts w:hint="eastAsia" w:ascii="宋体" w:hAnsi="宋体" w:eastAsia="宋体" w:cs="宋体"/>
          <w:b/>
          <w:bCs/>
          <w:color w:val="auto"/>
          <w:sz w:val="32"/>
          <w:szCs w:val="32"/>
          <w:highlight w:val="none"/>
        </w:rPr>
      </w:pPr>
      <w:r>
        <w:rPr>
          <w:rFonts w:hint="eastAsia" w:ascii="宋体" w:hAnsi="宋体" w:eastAsia="宋体" w:cs="宋体"/>
          <w:b/>
          <w:bCs/>
          <w:color w:val="auto"/>
          <w:sz w:val="32"/>
          <w:szCs w:val="32"/>
          <w:highlight w:val="none"/>
        </w:rPr>
        <w:t>报价文件（封面）</w:t>
      </w:r>
    </w:p>
    <w:p w14:paraId="243C6CAA">
      <w:pPr>
        <w:snapToGrid w:val="0"/>
        <w:spacing w:before="165" w:beforeLines="50" w:after="50" w:line="400" w:lineRule="exact"/>
        <w:rPr>
          <w:rFonts w:hint="eastAsia" w:ascii="宋体" w:hAnsi="宋体" w:eastAsia="宋体" w:cs="宋体"/>
          <w:bCs/>
          <w:color w:val="auto"/>
          <w:sz w:val="24"/>
          <w:szCs w:val="20"/>
          <w:highlight w:val="none"/>
        </w:rPr>
      </w:pPr>
    </w:p>
    <w:p w14:paraId="6B4C2709">
      <w:pPr>
        <w:snapToGrid w:val="0"/>
        <w:spacing w:before="165" w:beforeLines="50" w:after="50" w:line="400" w:lineRule="exact"/>
        <w:rPr>
          <w:rFonts w:hint="eastAsia" w:ascii="宋体" w:hAnsi="宋体" w:eastAsia="宋体" w:cs="宋体"/>
          <w:bCs/>
          <w:color w:val="auto"/>
          <w:sz w:val="24"/>
          <w:szCs w:val="20"/>
          <w:highlight w:val="none"/>
        </w:rPr>
      </w:pPr>
    </w:p>
    <w:p w14:paraId="04C6980F">
      <w:pPr>
        <w:snapToGrid w:val="0"/>
        <w:spacing w:before="165" w:beforeLines="50" w:after="50" w:line="400" w:lineRule="exact"/>
        <w:rPr>
          <w:rFonts w:hint="eastAsia" w:ascii="宋体" w:hAnsi="宋体" w:eastAsia="宋体" w:cs="宋体"/>
          <w:bCs/>
          <w:color w:val="auto"/>
          <w:sz w:val="24"/>
          <w:szCs w:val="20"/>
          <w:highlight w:val="none"/>
        </w:rPr>
      </w:pPr>
    </w:p>
    <w:p w14:paraId="214E18D3">
      <w:pPr>
        <w:snapToGrid w:val="0"/>
        <w:spacing w:before="165" w:beforeLines="50" w:after="50" w:line="400" w:lineRule="exact"/>
        <w:rPr>
          <w:rFonts w:hint="eastAsia" w:ascii="宋体" w:hAnsi="宋体" w:eastAsia="宋体" w:cs="宋体"/>
          <w:bCs/>
          <w:color w:val="auto"/>
          <w:sz w:val="24"/>
          <w:szCs w:val="20"/>
          <w:highlight w:val="none"/>
        </w:rPr>
      </w:pPr>
    </w:p>
    <w:p w14:paraId="5F3AC814">
      <w:pPr>
        <w:snapToGrid w:val="0"/>
        <w:spacing w:before="165" w:beforeLines="50" w:after="50" w:line="400" w:lineRule="exact"/>
        <w:ind w:firstLine="360" w:firstLineChars="150"/>
        <w:rPr>
          <w:rFonts w:hint="eastAsia" w:ascii="宋体" w:hAnsi="宋体" w:eastAsia="宋体" w:cs="宋体"/>
          <w:bCs/>
          <w:color w:val="auto"/>
          <w:sz w:val="24"/>
          <w:highlight w:val="none"/>
          <w:lang w:eastAsia="zh-CN"/>
        </w:rPr>
      </w:pPr>
      <w:r>
        <w:rPr>
          <w:rFonts w:hint="eastAsia" w:ascii="宋体" w:hAnsi="宋体" w:eastAsia="宋体" w:cs="宋体"/>
          <w:bCs/>
          <w:color w:val="auto"/>
          <w:sz w:val="24"/>
          <w:highlight w:val="none"/>
        </w:rPr>
        <w:t>项目名称：</w:t>
      </w:r>
    </w:p>
    <w:p w14:paraId="146A57A7">
      <w:pPr>
        <w:snapToGrid w:val="0"/>
        <w:spacing w:before="165" w:beforeLines="50" w:after="50" w:line="400" w:lineRule="exact"/>
        <w:ind w:firstLine="360" w:firstLineChars="150"/>
        <w:rPr>
          <w:rFonts w:hint="eastAsia" w:ascii="宋体" w:hAnsi="宋体" w:eastAsia="宋体" w:cs="宋体"/>
          <w:bCs/>
          <w:color w:val="auto"/>
          <w:sz w:val="24"/>
          <w:highlight w:val="none"/>
        </w:rPr>
      </w:pPr>
    </w:p>
    <w:p w14:paraId="0793C829">
      <w:pPr>
        <w:snapToGrid w:val="0"/>
        <w:spacing w:before="165" w:beforeLines="50" w:after="50" w:line="400" w:lineRule="exact"/>
        <w:ind w:firstLine="360" w:firstLineChars="150"/>
        <w:rPr>
          <w:rFonts w:hint="eastAsia" w:ascii="宋体" w:hAnsi="宋体" w:eastAsia="宋体" w:cs="宋体"/>
          <w:bCs/>
          <w:color w:val="auto"/>
          <w:sz w:val="24"/>
          <w:highlight w:val="none"/>
          <w:lang w:eastAsia="zh-CN"/>
        </w:rPr>
      </w:pPr>
      <w:r>
        <w:rPr>
          <w:rFonts w:hint="eastAsia" w:ascii="宋体" w:hAnsi="宋体" w:eastAsia="宋体" w:cs="宋体"/>
          <w:bCs/>
          <w:color w:val="auto"/>
          <w:sz w:val="24"/>
          <w:highlight w:val="none"/>
        </w:rPr>
        <w:t>项目编号：</w:t>
      </w:r>
    </w:p>
    <w:p w14:paraId="37A27A68">
      <w:pPr>
        <w:snapToGrid w:val="0"/>
        <w:spacing w:before="165" w:beforeLines="50" w:after="50" w:line="400" w:lineRule="exact"/>
        <w:ind w:firstLine="360" w:firstLineChars="150"/>
        <w:rPr>
          <w:rFonts w:hint="eastAsia" w:ascii="宋体" w:hAnsi="宋体" w:eastAsia="宋体" w:cs="宋体"/>
          <w:bCs/>
          <w:color w:val="auto"/>
          <w:sz w:val="24"/>
          <w:highlight w:val="none"/>
        </w:rPr>
      </w:pPr>
    </w:p>
    <w:p w14:paraId="3D2C8708">
      <w:pPr>
        <w:snapToGrid w:val="0"/>
        <w:spacing w:before="165" w:beforeLines="50" w:after="50" w:line="400" w:lineRule="exact"/>
        <w:ind w:firstLine="360" w:firstLineChars="150"/>
        <w:rPr>
          <w:rFonts w:hint="eastAsia" w:ascii="宋体" w:hAnsi="宋体" w:eastAsia="宋体" w:cs="宋体"/>
          <w:bCs/>
          <w:color w:val="auto"/>
          <w:sz w:val="24"/>
          <w:highlight w:val="none"/>
        </w:rPr>
      </w:pPr>
      <w:r>
        <w:rPr>
          <w:rFonts w:hint="eastAsia" w:ascii="宋体" w:hAnsi="宋体" w:eastAsia="宋体" w:cs="宋体"/>
          <w:bCs/>
          <w:color w:val="auto"/>
          <w:sz w:val="24"/>
          <w:highlight w:val="none"/>
        </w:rPr>
        <w:t>所投分标：</w:t>
      </w:r>
    </w:p>
    <w:p w14:paraId="2DB6226A">
      <w:pPr>
        <w:snapToGrid w:val="0"/>
        <w:spacing w:before="165" w:beforeLines="50" w:after="50" w:line="400" w:lineRule="exact"/>
        <w:ind w:firstLine="360" w:firstLineChars="150"/>
        <w:rPr>
          <w:rFonts w:hint="eastAsia" w:ascii="宋体" w:hAnsi="宋体" w:eastAsia="宋体" w:cs="宋体"/>
          <w:bCs/>
          <w:color w:val="auto"/>
          <w:sz w:val="24"/>
          <w:highlight w:val="none"/>
        </w:rPr>
      </w:pPr>
    </w:p>
    <w:p w14:paraId="620B5C14">
      <w:pPr>
        <w:snapToGrid w:val="0"/>
        <w:spacing w:before="165" w:beforeLines="50" w:after="50" w:line="400" w:lineRule="exact"/>
        <w:ind w:firstLine="360" w:firstLineChars="150"/>
        <w:rPr>
          <w:rFonts w:hint="eastAsia" w:ascii="宋体" w:hAnsi="宋体" w:eastAsia="宋体" w:cs="宋体"/>
          <w:bCs/>
          <w:color w:val="auto"/>
          <w:sz w:val="24"/>
          <w:highlight w:val="none"/>
        </w:rPr>
      </w:pPr>
      <w:r>
        <w:rPr>
          <w:rFonts w:hint="eastAsia" w:ascii="宋体" w:hAnsi="宋体" w:eastAsia="宋体" w:cs="宋体"/>
          <w:bCs/>
          <w:color w:val="auto"/>
          <w:sz w:val="24"/>
          <w:highlight w:val="none"/>
        </w:rPr>
        <w:t>投标人名称：</w:t>
      </w:r>
    </w:p>
    <w:p w14:paraId="4C04959E">
      <w:pPr>
        <w:snapToGrid w:val="0"/>
        <w:spacing w:before="165" w:beforeLines="50" w:after="50" w:line="400" w:lineRule="exact"/>
        <w:ind w:firstLine="360" w:firstLineChars="150"/>
        <w:rPr>
          <w:rFonts w:hint="eastAsia" w:ascii="宋体" w:hAnsi="宋体" w:eastAsia="宋体" w:cs="宋体"/>
          <w:bCs/>
          <w:color w:val="auto"/>
          <w:sz w:val="24"/>
          <w:highlight w:val="none"/>
        </w:rPr>
      </w:pPr>
    </w:p>
    <w:p w14:paraId="0170B539">
      <w:pPr>
        <w:snapToGrid w:val="0"/>
        <w:spacing w:before="165" w:beforeLines="50" w:after="50" w:line="400" w:lineRule="exact"/>
        <w:ind w:firstLine="360" w:firstLineChars="150"/>
        <w:rPr>
          <w:rFonts w:hint="eastAsia" w:ascii="宋体" w:hAnsi="宋体" w:eastAsia="宋体" w:cs="宋体"/>
          <w:bCs/>
          <w:color w:val="auto"/>
          <w:sz w:val="24"/>
          <w:highlight w:val="none"/>
        </w:rPr>
      </w:pPr>
      <w:r>
        <w:rPr>
          <w:rFonts w:hint="eastAsia" w:ascii="宋体" w:hAnsi="宋体" w:eastAsia="宋体" w:cs="宋体"/>
          <w:bCs/>
          <w:color w:val="auto"/>
          <w:sz w:val="24"/>
          <w:highlight w:val="none"/>
        </w:rPr>
        <w:t>投标人地址：</w:t>
      </w:r>
    </w:p>
    <w:p w14:paraId="196CA1EE">
      <w:pPr>
        <w:pStyle w:val="9"/>
        <w:snapToGrid w:val="0"/>
        <w:spacing w:before="50" w:after="50" w:line="400" w:lineRule="exact"/>
        <w:ind w:firstLine="960" w:firstLineChars="400"/>
        <w:rPr>
          <w:rFonts w:hint="eastAsia" w:ascii="宋体" w:hAnsi="宋体" w:eastAsia="宋体" w:cs="宋体"/>
          <w:bCs/>
          <w:color w:val="auto"/>
          <w:sz w:val="24"/>
          <w:szCs w:val="24"/>
          <w:highlight w:val="none"/>
        </w:rPr>
      </w:pPr>
    </w:p>
    <w:p w14:paraId="457B6F63">
      <w:pPr>
        <w:snapToGrid w:val="0"/>
        <w:spacing w:before="165" w:beforeLines="50" w:after="50" w:line="400" w:lineRule="exact"/>
        <w:ind w:firstLine="720" w:firstLineChars="300"/>
        <w:rPr>
          <w:rFonts w:hint="eastAsia" w:ascii="宋体" w:hAnsi="宋体" w:eastAsia="宋体" w:cs="宋体"/>
          <w:color w:val="auto"/>
          <w:sz w:val="24"/>
          <w:highlight w:val="none"/>
        </w:rPr>
      </w:pPr>
      <w:r>
        <w:rPr>
          <w:rFonts w:hint="eastAsia" w:ascii="宋体" w:hAnsi="宋体" w:eastAsia="宋体" w:cs="宋体"/>
          <w:color w:val="auto"/>
          <w:sz w:val="24"/>
          <w:highlight w:val="none"/>
        </w:rPr>
        <w:t>年月日</w:t>
      </w:r>
    </w:p>
    <w:p w14:paraId="3C824EAD">
      <w:pPr>
        <w:widowControl/>
        <w:jc w:val="left"/>
        <w:rPr>
          <w:rFonts w:hint="eastAsia" w:ascii="宋体" w:hAnsi="宋体" w:eastAsia="宋体" w:cs="宋体"/>
          <w:color w:val="auto"/>
          <w:sz w:val="24"/>
          <w:highlight w:val="none"/>
        </w:rPr>
        <w:sectPr>
          <w:pgSz w:w="11906" w:h="16838"/>
          <w:pgMar w:top="1134" w:right="1134" w:bottom="1134" w:left="1134" w:header="720" w:footer="720" w:gutter="0"/>
          <w:cols w:space="720" w:num="1"/>
          <w:docGrid w:type="lines" w:linePitch="331" w:charSpace="0"/>
        </w:sectPr>
      </w:pPr>
    </w:p>
    <w:p w14:paraId="2876CAA6">
      <w:pPr>
        <w:rPr>
          <w:rFonts w:hint="eastAsia" w:ascii="宋体" w:hAnsi="宋体" w:eastAsia="宋体" w:cs="宋体"/>
          <w:color w:val="auto"/>
          <w:highlight w:val="none"/>
        </w:rPr>
      </w:pPr>
    </w:p>
    <w:p w14:paraId="646F9533">
      <w:pPr>
        <w:snapToGrid w:val="0"/>
        <w:spacing w:before="165" w:beforeLines="50" w:after="50" w:line="400" w:lineRule="exact"/>
        <w:jc w:val="center"/>
        <w:rPr>
          <w:rFonts w:hint="eastAsia" w:ascii="宋体" w:hAnsi="宋体" w:eastAsia="宋体" w:cs="宋体"/>
          <w:b/>
          <w:bCs/>
          <w:color w:val="auto"/>
          <w:sz w:val="32"/>
          <w:szCs w:val="32"/>
          <w:highlight w:val="none"/>
        </w:rPr>
      </w:pPr>
      <w:r>
        <w:rPr>
          <w:rFonts w:hint="eastAsia" w:ascii="宋体" w:hAnsi="宋体" w:eastAsia="宋体" w:cs="宋体"/>
          <w:b/>
          <w:bCs/>
          <w:color w:val="auto"/>
          <w:sz w:val="32"/>
          <w:szCs w:val="32"/>
          <w:highlight w:val="none"/>
        </w:rPr>
        <w:t>报价文件目录</w:t>
      </w:r>
    </w:p>
    <w:p w14:paraId="728370AE">
      <w:pPr>
        <w:rPr>
          <w:rFonts w:hint="eastAsia" w:ascii="宋体" w:hAnsi="宋体" w:eastAsia="宋体" w:cs="宋体"/>
          <w:color w:val="auto"/>
          <w:highlight w:val="none"/>
        </w:rPr>
      </w:pPr>
    </w:p>
    <w:p w14:paraId="59C28C0C">
      <w:pPr>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一、投标函………………………………………………………（页码）</w:t>
      </w:r>
    </w:p>
    <w:p w14:paraId="2F0263A2">
      <w:pPr>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二、开标一览表…………………………………………………（页码）</w:t>
      </w:r>
    </w:p>
    <w:p w14:paraId="39498402">
      <w:pPr>
        <w:spacing w:line="360" w:lineRule="auto"/>
        <w:rPr>
          <w:rFonts w:hint="eastAsia" w:ascii="宋体" w:hAnsi="宋体" w:eastAsia="宋体" w:cs="宋体"/>
          <w:color w:val="auto"/>
          <w:sz w:val="24"/>
          <w:highlight w:val="none"/>
        </w:rPr>
      </w:pPr>
      <w:r>
        <w:rPr>
          <w:rFonts w:hint="eastAsia" w:ascii="宋体" w:hAnsi="宋体" w:eastAsia="宋体" w:cs="宋体"/>
          <w:color w:val="auto"/>
          <w:kern w:val="0"/>
          <w:sz w:val="24"/>
          <w:highlight w:val="none"/>
        </w:rPr>
        <w:t>三、中小企业声明函……………………………………………（页码）</w:t>
      </w:r>
    </w:p>
    <w:p w14:paraId="2D5312C6">
      <w:pPr>
        <w:widowControl/>
        <w:jc w:val="left"/>
        <w:rPr>
          <w:rFonts w:hint="eastAsia" w:ascii="宋体" w:hAnsi="宋体" w:eastAsia="宋体" w:cs="宋体"/>
          <w:color w:val="auto"/>
          <w:sz w:val="30"/>
          <w:szCs w:val="20"/>
          <w:highlight w:val="none"/>
        </w:rPr>
        <w:sectPr>
          <w:pgSz w:w="11906" w:h="16838"/>
          <w:pgMar w:top="1134" w:right="1134" w:bottom="1134" w:left="1134" w:header="720" w:footer="720" w:gutter="0"/>
          <w:cols w:space="720" w:num="1"/>
          <w:docGrid w:type="lines" w:linePitch="331" w:charSpace="0"/>
        </w:sectPr>
      </w:pPr>
    </w:p>
    <w:p w14:paraId="7C2CEDFB">
      <w:pPr>
        <w:pStyle w:val="18"/>
        <w:spacing w:line="500" w:lineRule="exact"/>
        <w:jc w:val="center"/>
        <w:rPr>
          <w:rFonts w:hint="eastAsia" w:ascii="宋体" w:hAnsi="宋体" w:eastAsia="宋体" w:cs="宋体"/>
          <w:b/>
          <w:bCs/>
          <w:color w:val="auto"/>
          <w:sz w:val="30"/>
          <w:szCs w:val="30"/>
          <w:highlight w:val="none"/>
        </w:rPr>
      </w:pPr>
      <w:r>
        <w:rPr>
          <w:rFonts w:hint="eastAsia" w:ascii="宋体" w:hAnsi="宋体" w:eastAsia="宋体" w:cs="宋体"/>
          <w:b/>
          <w:bCs/>
          <w:color w:val="auto"/>
          <w:sz w:val="30"/>
          <w:szCs w:val="30"/>
          <w:highlight w:val="none"/>
        </w:rPr>
        <w:t>一、投标函</w:t>
      </w:r>
    </w:p>
    <w:p w14:paraId="27D1E27A">
      <w:pPr>
        <w:pStyle w:val="18"/>
        <w:spacing w:line="440" w:lineRule="exact"/>
        <w:ind w:firstLine="420" w:firstLineChars="200"/>
        <w:rPr>
          <w:rFonts w:hint="eastAsia" w:ascii="宋体" w:hAnsi="宋体" w:eastAsia="宋体" w:cs="宋体"/>
          <w:color w:val="auto"/>
          <w:highlight w:val="none"/>
          <w:lang w:eastAsia="zh-CN"/>
        </w:rPr>
      </w:pPr>
      <w:r>
        <w:rPr>
          <w:rFonts w:hint="eastAsia" w:ascii="宋体" w:hAnsi="宋体" w:eastAsia="宋体" w:cs="宋体"/>
          <w:color w:val="auto"/>
          <w:highlight w:val="none"/>
        </w:rPr>
        <w:t>致：</w:t>
      </w:r>
      <w:r>
        <w:rPr>
          <w:rFonts w:hint="eastAsia" w:ascii="宋体" w:hAnsi="宋体" w:eastAsia="宋体" w:cs="宋体"/>
          <w:color w:val="auto"/>
          <w:highlight w:val="none"/>
          <w:u w:val="single"/>
          <w:lang w:eastAsia="zh-CN"/>
        </w:rPr>
        <w:t>广西哲通项目管理有限公司</w:t>
      </w:r>
    </w:p>
    <w:p w14:paraId="69FAE745">
      <w:pPr>
        <w:pStyle w:val="18"/>
        <w:spacing w:line="440" w:lineRule="exact"/>
        <w:ind w:firstLine="420" w:firstLineChars="200"/>
        <w:rPr>
          <w:rFonts w:hint="eastAsia" w:ascii="宋体" w:hAnsi="宋体" w:eastAsia="宋体" w:cs="宋体"/>
          <w:color w:val="auto"/>
          <w:highlight w:val="none"/>
          <w:lang w:eastAsia="zh-CN"/>
        </w:rPr>
      </w:pPr>
      <w:r>
        <w:rPr>
          <w:rFonts w:hint="eastAsia" w:ascii="宋体" w:hAnsi="宋体" w:eastAsia="宋体" w:cs="宋体"/>
          <w:color w:val="auto"/>
          <w:highlight w:val="none"/>
        </w:rPr>
        <w:t>我方已仔细阅读了贵方组织的</w:t>
      </w:r>
      <w:r>
        <w:rPr>
          <w:rFonts w:hint="eastAsia" w:ascii="宋体" w:hAnsi="宋体" w:cs="宋体"/>
          <w:color w:val="auto"/>
          <w:szCs w:val="21"/>
          <w:highlight w:val="none"/>
          <w:u w:val="single"/>
          <w:lang w:eastAsia="zh-CN"/>
        </w:rPr>
        <w:t>（</w:t>
      </w:r>
      <w:r>
        <w:rPr>
          <w:rFonts w:hint="eastAsia" w:ascii="宋体" w:hAnsi="宋体" w:cs="宋体"/>
          <w:color w:val="auto"/>
          <w:szCs w:val="21"/>
          <w:highlight w:val="none"/>
          <w:u w:val="single"/>
          <w:lang w:val="en-US" w:eastAsia="zh-CN"/>
        </w:rPr>
        <w:t>项目名称</w:t>
      </w:r>
      <w:r>
        <w:rPr>
          <w:rFonts w:hint="eastAsia" w:ascii="宋体" w:hAnsi="宋体" w:cs="宋体"/>
          <w:color w:val="auto"/>
          <w:szCs w:val="21"/>
          <w:highlight w:val="none"/>
          <w:u w:val="single"/>
          <w:lang w:eastAsia="zh-CN"/>
        </w:rPr>
        <w:t>）</w:t>
      </w:r>
      <w:r>
        <w:rPr>
          <w:rFonts w:hint="eastAsia" w:ascii="宋体" w:hAnsi="宋体" w:eastAsia="宋体" w:cs="宋体"/>
          <w:color w:val="auto"/>
          <w:highlight w:val="none"/>
        </w:rPr>
        <w:t>项目（项目编号：</w:t>
      </w:r>
      <w:r>
        <w:rPr>
          <w:rFonts w:hint="eastAsia" w:hAnsi="宋体" w:cs="宋体"/>
          <w:color w:val="auto"/>
          <w:highlight w:val="none"/>
          <w:lang w:eastAsia="zh-CN"/>
        </w:rPr>
        <w:t>NNZC2026-G3-270174-GXZT</w:t>
      </w:r>
      <w:r>
        <w:rPr>
          <w:rFonts w:hint="eastAsia" w:ascii="宋体" w:hAnsi="宋体" w:eastAsia="宋体" w:cs="宋体"/>
          <w:color w:val="auto"/>
          <w:highlight w:val="none"/>
        </w:rPr>
        <w:t>）的招标文件的全部内容，授权(全权代表姓名)(职务、职称)为全权代表，现正式递交下述文件参加贵方组织的本次政府采购活动：</w:t>
      </w:r>
    </w:p>
    <w:p w14:paraId="789D7FA1">
      <w:pPr>
        <w:pStyle w:val="18"/>
        <w:spacing w:line="440" w:lineRule="exact"/>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一、报价文件电子版一份（包含按投标人须知前附表要求提交的全部文件）；</w:t>
      </w:r>
    </w:p>
    <w:p w14:paraId="3FBACB74">
      <w:pPr>
        <w:pStyle w:val="18"/>
        <w:spacing w:line="440" w:lineRule="exact"/>
        <w:ind w:firstLine="482"/>
        <w:rPr>
          <w:rFonts w:hint="eastAsia" w:ascii="宋体" w:hAnsi="宋体" w:eastAsia="宋体" w:cs="宋体"/>
          <w:color w:val="auto"/>
          <w:highlight w:val="none"/>
        </w:rPr>
      </w:pPr>
      <w:r>
        <w:rPr>
          <w:rFonts w:hint="eastAsia" w:ascii="宋体" w:hAnsi="宋体" w:eastAsia="宋体" w:cs="宋体"/>
          <w:color w:val="auto"/>
          <w:highlight w:val="none"/>
        </w:rPr>
        <w:t>二、资格文件电子版一份（包含按投标人须知前附表要求提交的全部文件）；</w:t>
      </w:r>
    </w:p>
    <w:p w14:paraId="23FC7331">
      <w:pPr>
        <w:pStyle w:val="18"/>
        <w:spacing w:line="440" w:lineRule="exact"/>
        <w:ind w:firstLine="482"/>
        <w:rPr>
          <w:rFonts w:hint="eastAsia" w:ascii="宋体" w:hAnsi="宋体" w:eastAsia="宋体" w:cs="宋体"/>
          <w:color w:val="auto"/>
          <w:highlight w:val="none"/>
        </w:rPr>
      </w:pPr>
      <w:r>
        <w:rPr>
          <w:rFonts w:hint="eastAsia" w:ascii="宋体" w:hAnsi="宋体" w:eastAsia="宋体" w:cs="宋体"/>
          <w:color w:val="auto"/>
          <w:highlight w:val="none"/>
        </w:rPr>
        <w:t>三、技术文件电子版一份（包含按投标人须知前附表要求提交的全部文件）；</w:t>
      </w:r>
    </w:p>
    <w:p w14:paraId="0D43AD92">
      <w:pPr>
        <w:pStyle w:val="18"/>
        <w:spacing w:line="440" w:lineRule="exact"/>
        <w:ind w:firstLine="482"/>
        <w:rPr>
          <w:rFonts w:hint="eastAsia" w:ascii="宋体" w:hAnsi="宋体" w:eastAsia="宋体" w:cs="宋体"/>
          <w:color w:val="auto"/>
          <w:highlight w:val="none"/>
        </w:rPr>
      </w:pPr>
      <w:r>
        <w:rPr>
          <w:rFonts w:hint="eastAsia" w:ascii="宋体" w:hAnsi="宋体" w:eastAsia="宋体" w:cs="宋体"/>
          <w:color w:val="auto"/>
          <w:highlight w:val="none"/>
        </w:rPr>
        <w:t>四、商务文件电子版一份（包含按投标人须知前附表要求提交的全部文件）；</w:t>
      </w:r>
    </w:p>
    <w:p w14:paraId="660A923E">
      <w:pPr>
        <w:pStyle w:val="18"/>
        <w:spacing w:line="440" w:lineRule="exact"/>
        <w:ind w:firstLine="482"/>
        <w:rPr>
          <w:rFonts w:hint="eastAsia" w:ascii="宋体" w:hAnsi="宋体" w:eastAsia="宋体" w:cs="宋体"/>
          <w:color w:val="auto"/>
          <w:highlight w:val="none"/>
        </w:rPr>
      </w:pPr>
      <w:r>
        <w:rPr>
          <w:rFonts w:hint="eastAsia" w:ascii="宋体" w:hAnsi="宋体" w:eastAsia="宋体" w:cs="宋体"/>
          <w:color w:val="auto"/>
          <w:highlight w:val="none"/>
        </w:rPr>
        <w:t>据此函，签字人兹宣布：</w:t>
      </w:r>
    </w:p>
    <w:p w14:paraId="4F538E00">
      <w:pPr>
        <w:pStyle w:val="18"/>
        <w:spacing w:line="360" w:lineRule="exact"/>
        <w:ind w:firstLine="420" w:firstLineChars="200"/>
        <w:rPr>
          <w:rFonts w:hint="eastAsia" w:ascii="宋体" w:hAnsi="宋体" w:eastAsia="宋体" w:cs="宋体"/>
          <w:color w:val="auto"/>
          <w:highlight w:val="none"/>
          <w:u w:val="single"/>
        </w:rPr>
      </w:pPr>
      <w:r>
        <w:rPr>
          <w:rFonts w:hint="eastAsia" w:ascii="宋体" w:hAnsi="宋体" w:eastAsia="宋体" w:cs="宋体"/>
          <w:color w:val="auto"/>
          <w:highlight w:val="none"/>
        </w:rPr>
        <w:t>1、我方愿意以（大写）人民币元(￥元)的投标总报价，</w:t>
      </w:r>
      <w:r>
        <w:rPr>
          <w:rFonts w:hint="eastAsia" w:ascii="宋体" w:hAnsi="宋体" w:eastAsia="宋体" w:cs="宋体"/>
          <w:color w:val="auto"/>
          <w:highlight w:val="none"/>
          <w:lang w:val="en-US" w:eastAsia="zh-CN"/>
        </w:rPr>
        <w:t>服务</w:t>
      </w:r>
      <w:r>
        <w:rPr>
          <w:rFonts w:hint="eastAsia" w:ascii="宋体" w:hAnsi="宋体" w:eastAsia="宋体" w:cs="宋体"/>
          <w:color w:val="auto"/>
          <w:highlight w:val="none"/>
        </w:rPr>
        <w:t>时间，提供本项目招标文件第二章“服务需求”中的相应的采购内容。</w:t>
      </w:r>
    </w:p>
    <w:p w14:paraId="381F2AFD">
      <w:pPr>
        <w:pStyle w:val="18"/>
        <w:spacing w:line="360" w:lineRule="exact"/>
        <w:ind w:firstLine="420" w:firstLineChars="200"/>
        <w:rPr>
          <w:rFonts w:hint="eastAsia" w:ascii="宋体" w:hAnsi="宋体" w:eastAsia="宋体" w:cs="宋体"/>
          <w:color w:val="auto"/>
          <w:highlight w:val="none"/>
          <w:u w:val="single"/>
        </w:rPr>
      </w:pPr>
      <w:r>
        <w:rPr>
          <w:rFonts w:hint="eastAsia" w:ascii="宋体" w:hAnsi="宋体" w:eastAsia="宋体" w:cs="宋体"/>
          <w:color w:val="auto"/>
          <w:highlight w:val="none"/>
        </w:rPr>
        <w:t>2、我方同意自本项目招标文件“第三章投标人须知”第一节投标人须知前附表第21.2项规定的投标截止时间（开标时间）起遵循本投标函，并承诺在“投标人须知前附表”第17.2项规定的投标有效期内不修改、撤销投标文件。</w:t>
      </w:r>
    </w:p>
    <w:p w14:paraId="2550D616">
      <w:pPr>
        <w:pStyle w:val="18"/>
        <w:spacing w:line="360" w:lineRule="exact"/>
        <w:ind w:firstLine="420" w:firstLineChars="200"/>
        <w:rPr>
          <w:rFonts w:hint="eastAsia" w:ascii="宋体" w:hAnsi="宋体" w:eastAsia="宋体" w:cs="宋体"/>
          <w:color w:val="auto"/>
          <w:highlight w:val="none"/>
          <w:u w:val="single"/>
        </w:rPr>
      </w:pPr>
      <w:r>
        <w:rPr>
          <w:rFonts w:hint="eastAsia" w:ascii="宋体" w:hAnsi="宋体" w:eastAsia="宋体" w:cs="宋体"/>
          <w:color w:val="auto"/>
          <w:highlight w:val="none"/>
        </w:rPr>
        <w:t>3、我方所递交的投标文件及有关资料都是内容完整、真实和准确的。</w:t>
      </w:r>
    </w:p>
    <w:p w14:paraId="0A1A97E3">
      <w:pPr>
        <w:pStyle w:val="18"/>
        <w:spacing w:line="440" w:lineRule="exact"/>
        <w:ind w:firstLine="482"/>
        <w:rPr>
          <w:rFonts w:hint="eastAsia" w:ascii="宋体" w:hAnsi="宋体" w:eastAsia="宋体" w:cs="宋体"/>
          <w:color w:val="auto"/>
          <w:highlight w:val="none"/>
        </w:rPr>
      </w:pPr>
      <w:r>
        <w:rPr>
          <w:rFonts w:hint="eastAsia" w:ascii="宋体" w:hAnsi="宋体" w:eastAsia="宋体" w:cs="宋体"/>
          <w:color w:val="auto"/>
          <w:highlight w:val="none"/>
        </w:rPr>
        <w:t>4、</w:t>
      </w:r>
      <w:r>
        <w:rPr>
          <w:rFonts w:hint="eastAsia" w:ascii="宋体" w:hAnsi="宋体" w:eastAsia="宋体" w:cs="宋体"/>
          <w:color w:val="auto"/>
          <w:szCs w:val="21"/>
          <w:highlight w:val="none"/>
        </w:rPr>
        <w:t>如本项目采购内容涉及须符合国家强制规定的，我方承诺我方本次投标（包括资格条件和所投产品）均符合国家有关强制规定。</w:t>
      </w:r>
    </w:p>
    <w:p w14:paraId="02770547">
      <w:pPr>
        <w:pStyle w:val="18"/>
        <w:spacing w:line="440" w:lineRule="exact"/>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5、如我方中标，我方承诺在收到中标通知书后，在中标通知书规定的期限内，根据招标文件、我方的投标文件及有关澄清承诺书的要求按第五章“拟签订的合同文本”与采购人订立书面合同，并按照合同约定承担完成合同的责任和义务。</w:t>
      </w:r>
    </w:p>
    <w:p w14:paraId="1CA93752">
      <w:pPr>
        <w:pStyle w:val="18"/>
        <w:spacing w:line="440" w:lineRule="exact"/>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6、我方已详细审核招标文件，我方知道必须放弃提出含糊不清或误解问题的权利。</w:t>
      </w:r>
    </w:p>
    <w:p w14:paraId="0B597130">
      <w:pPr>
        <w:pStyle w:val="18"/>
        <w:spacing w:line="440" w:lineRule="exact"/>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7、我方同意应贵方要求提供与本投标有关的任何数据或资料。若贵方需要，我方愿意提供我方作出的一切承诺的证明材料。</w:t>
      </w:r>
    </w:p>
    <w:p w14:paraId="3F41EBB3">
      <w:pPr>
        <w:pStyle w:val="18"/>
        <w:spacing w:line="440" w:lineRule="exact"/>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8、我方完全理解贵方不一定接受投标报价最低的投标人为中标供应商的行为。</w:t>
      </w:r>
    </w:p>
    <w:p w14:paraId="02D85206">
      <w:pPr>
        <w:pStyle w:val="18"/>
        <w:spacing w:line="440" w:lineRule="exact"/>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9、我方将严格遵守《中华人民共和国政府采购法》第七十七条的规定，即供应商有下列情形之一的，处以采购金额千分之五以上千分之十以下的罚款，列入不良行为记录名单，在一至三年内禁止参加政府采购活动，有违法所得的，并处没收违法所得，情节严重的，由工商行政管理机关吊销营业执照；构成犯罪的，依法追究刑事责任：</w:t>
      </w:r>
    </w:p>
    <w:p w14:paraId="12FD6128">
      <w:pPr>
        <w:pStyle w:val="18"/>
        <w:numPr>
          <w:ilvl w:val="0"/>
          <w:numId w:val="6"/>
        </w:numPr>
        <w:spacing w:line="440" w:lineRule="exact"/>
        <w:rPr>
          <w:rFonts w:hint="eastAsia" w:ascii="宋体" w:hAnsi="宋体" w:eastAsia="宋体" w:cs="宋体"/>
          <w:color w:val="auto"/>
          <w:highlight w:val="none"/>
        </w:rPr>
      </w:pPr>
      <w:r>
        <w:rPr>
          <w:rFonts w:hint="eastAsia" w:ascii="宋体" w:hAnsi="宋体" w:eastAsia="宋体" w:cs="宋体"/>
          <w:color w:val="auto"/>
          <w:highlight w:val="none"/>
        </w:rPr>
        <w:t>提供虚假材料谋取中标、成交的；</w:t>
      </w:r>
    </w:p>
    <w:p w14:paraId="0DEAD751">
      <w:pPr>
        <w:pStyle w:val="18"/>
        <w:numPr>
          <w:ilvl w:val="0"/>
          <w:numId w:val="6"/>
        </w:numPr>
        <w:spacing w:line="440" w:lineRule="exact"/>
        <w:rPr>
          <w:rFonts w:hint="eastAsia" w:ascii="宋体" w:hAnsi="宋体" w:eastAsia="宋体" w:cs="宋体"/>
          <w:color w:val="auto"/>
          <w:highlight w:val="none"/>
        </w:rPr>
      </w:pPr>
      <w:r>
        <w:rPr>
          <w:rFonts w:hint="eastAsia" w:ascii="宋体" w:hAnsi="宋体" w:eastAsia="宋体" w:cs="宋体"/>
          <w:color w:val="auto"/>
          <w:highlight w:val="none"/>
        </w:rPr>
        <w:t>采取不正当手段诋毁、排挤其他供应商的；</w:t>
      </w:r>
    </w:p>
    <w:p w14:paraId="0B4BD591">
      <w:pPr>
        <w:pStyle w:val="18"/>
        <w:numPr>
          <w:ilvl w:val="0"/>
          <w:numId w:val="6"/>
        </w:numPr>
        <w:spacing w:line="440" w:lineRule="exact"/>
        <w:rPr>
          <w:rFonts w:hint="eastAsia" w:ascii="宋体" w:hAnsi="宋体" w:eastAsia="宋体" w:cs="宋体"/>
          <w:color w:val="auto"/>
          <w:highlight w:val="none"/>
        </w:rPr>
      </w:pPr>
      <w:r>
        <w:rPr>
          <w:rFonts w:hint="eastAsia" w:ascii="宋体" w:hAnsi="宋体" w:eastAsia="宋体" w:cs="宋体"/>
          <w:color w:val="auto"/>
          <w:highlight w:val="none"/>
        </w:rPr>
        <w:t>与采购人、其他供应商或者采购代理机构恶意串通的；</w:t>
      </w:r>
    </w:p>
    <w:p w14:paraId="16549734">
      <w:pPr>
        <w:pStyle w:val="18"/>
        <w:numPr>
          <w:ilvl w:val="0"/>
          <w:numId w:val="6"/>
        </w:numPr>
        <w:spacing w:line="440" w:lineRule="exact"/>
        <w:rPr>
          <w:rFonts w:hint="eastAsia" w:ascii="宋体" w:hAnsi="宋体" w:eastAsia="宋体" w:cs="宋体"/>
          <w:color w:val="auto"/>
          <w:highlight w:val="none"/>
        </w:rPr>
      </w:pPr>
      <w:r>
        <w:rPr>
          <w:rFonts w:hint="eastAsia" w:ascii="宋体" w:hAnsi="宋体" w:eastAsia="宋体" w:cs="宋体"/>
          <w:color w:val="auto"/>
          <w:highlight w:val="none"/>
        </w:rPr>
        <w:t>向采购人、采购代理机构行贿或者提供其他不正当利益的；</w:t>
      </w:r>
    </w:p>
    <w:p w14:paraId="79BCCD11">
      <w:pPr>
        <w:pStyle w:val="18"/>
        <w:numPr>
          <w:ilvl w:val="0"/>
          <w:numId w:val="6"/>
        </w:numPr>
        <w:spacing w:line="440" w:lineRule="exact"/>
        <w:rPr>
          <w:rFonts w:hint="eastAsia" w:ascii="宋体" w:hAnsi="宋体" w:eastAsia="宋体" w:cs="宋体"/>
          <w:color w:val="auto"/>
          <w:highlight w:val="none"/>
        </w:rPr>
      </w:pPr>
      <w:r>
        <w:rPr>
          <w:rFonts w:hint="eastAsia" w:ascii="宋体" w:hAnsi="宋体" w:eastAsia="宋体" w:cs="宋体"/>
          <w:color w:val="auto"/>
          <w:highlight w:val="none"/>
        </w:rPr>
        <w:t>在招标采购过程中与采购人进行协商谈判的；</w:t>
      </w:r>
    </w:p>
    <w:p w14:paraId="6C34A9E7">
      <w:pPr>
        <w:pStyle w:val="18"/>
        <w:numPr>
          <w:ilvl w:val="0"/>
          <w:numId w:val="6"/>
        </w:numPr>
        <w:spacing w:line="440" w:lineRule="exact"/>
        <w:rPr>
          <w:rFonts w:hint="eastAsia" w:ascii="宋体" w:hAnsi="宋体" w:eastAsia="宋体" w:cs="宋体"/>
          <w:color w:val="auto"/>
          <w:highlight w:val="none"/>
        </w:rPr>
      </w:pPr>
      <w:r>
        <w:rPr>
          <w:rFonts w:hint="eastAsia" w:ascii="宋体" w:hAnsi="宋体" w:eastAsia="宋体" w:cs="宋体"/>
          <w:color w:val="auto"/>
          <w:highlight w:val="none"/>
        </w:rPr>
        <w:t>拒绝有关部门监督检查或提供虚假情况的。</w:t>
      </w:r>
    </w:p>
    <w:p w14:paraId="6CB4D17E">
      <w:pPr>
        <w:pStyle w:val="18"/>
        <w:spacing w:line="440" w:lineRule="exact"/>
        <w:ind w:left="420"/>
        <w:rPr>
          <w:rFonts w:hint="eastAsia" w:ascii="宋体" w:hAnsi="宋体" w:eastAsia="宋体" w:cs="宋体"/>
          <w:color w:val="auto"/>
          <w:highlight w:val="none"/>
          <w:lang w:eastAsia="zh-CN"/>
        </w:rPr>
      </w:pPr>
      <w:r>
        <w:rPr>
          <w:rFonts w:hint="eastAsia" w:ascii="宋体" w:hAnsi="宋体" w:eastAsia="宋体" w:cs="宋体"/>
          <w:color w:val="auto"/>
          <w:highlight w:val="none"/>
        </w:rPr>
        <w:t>10、我方及由本人担任法定代表人的其他机构最近三年内被处罚的违法行为有：</w:t>
      </w:r>
    </w:p>
    <w:p w14:paraId="28FBF1D8">
      <w:pPr>
        <w:pStyle w:val="18"/>
        <w:spacing w:line="440" w:lineRule="exact"/>
        <w:ind w:left="420"/>
        <w:rPr>
          <w:rFonts w:hint="eastAsia" w:ascii="宋体" w:hAnsi="宋体" w:eastAsia="宋体" w:cs="宋体"/>
          <w:color w:val="auto"/>
          <w:highlight w:val="none"/>
          <w:lang w:eastAsia="zh-CN"/>
        </w:rPr>
      </w:pPr>
    </w:p>
    <w:p w14:paraId="2DB5E3E4">
      <w:pPr>
        <w:pStyle w:val="18"/>
        <w:spacing w:line="360" w:lineRule="auto"/>
        <w:ind w:firstLine="420"/>
        <w:rPr>
          <w:rFonts w:hint="eastAsia" w:ascii="宋体" w:hAnsi="宋体" w:eastAsia="宋体" w:cs="宋体"/>
          <w:color w:val="auto"/>
          <w:highlight w:val="none"/>
        </w:rPr>
      </w:pPr>
      <w:r>
        <w:rPr>
          <w:rFonts w:hint="eastAsia" w:ascii="宋体" w:hAnsi="宋体" w:eastAsia="宋体" w:cs="宋体"/>
          <w:color w:val="auto"/>
          <w:highlight w:val="none"/>
        </w:rPr>
        <w:t>11、以上事项如有虚假或隐瞒，我方愿意承担一切后果，并不再寻求任何旨在减轻或免除法律责任的辩解。</w:t>
      </w:r>
    </w:p>
    <w:p w14:paraId="1A0CA260">
      <w:pPr>
        <w:pStyle w:val="18"/>
        <w:spacing w:line="360" w:lineRule="auto"/>
        <w:ind w:firstLine="420"/>
        <w:rPr>
          <w:rFonts w:hint="eastAsia" w:ascii="宋体" w:hAnsi="宋体" w:eastAsia="宋体" w:cs="宋体"/>
          <w:color w:val="auto"/>
          <w:highlight w:val="none"/>
        </w:rPr>
      </w:pPr>
      <w:r>
        <w:rPr>
          <w:rFonts w:hint="eastAsia" w:ascii="宋体" w:hAnsi="宋体" w:eastAsia="宋体" w:cs="宋体"/>
          <w:color w:val="auto"/>
          <w:highlight w:val="none"/>
        </w:rPr>
        <w:t>12、与本投标有关的一切正式往来信函请寄：</w:t>
      </w:r>
    </w:p>
    <w:p w14:paraId="4D5C9F81">
      <w:pPr>
        <w:pStyle w:val="18"/>
        <w:spacing w:line="360" w:lineRule="auto"/>
        <w:ind w:firstLine="420"/>
        <w:rPr>
          <w:rFonts w:hint="eastAsia" w:ascii="宋体" w:hAnsi="宋体" w:eastAsia="宋体" w:cs="宋体"/>
          <w:color w:val="auto"/>
          <w:highlight w:val="none"/>
          <w:lang w:eastAsia="zh-CN"/>
        </w:rPr>
      </w:pPr>
      <w:r>
        <w:rPr>
          <w:rFonts w:hint="eastAsia" w:ascii="宋体" w:hAnsi="宋体" w:eastAsia="宋体" w:cs="宋体"/>
          <w:color w:val="auto"/>
          <w:highlight w:val="none"/>
        </w:rPr>
        <w:t>地址：</w:t>
      </w:r>
    </w:p>
    <w:p w14:paraId="3043B4CE">
      <w:pPr>
        <w:pStyle w:val="18"/>
        <w:spacing w:line="360" w:lineRule="auto"/>
        <w:ind w:firstLine="420"/>
        <w:rPr>
          <w:rFonts w:hint="eastAsia" w:ascii="宋体" w:hAnsi="宋体" w:eastAsia="宋体" w:cs="宋体"/>
          <w:color w:val="auto"/>
          <w:highlight w:val="none"/>
          <w:u w:val="single"/>
        </w:rPr>
      </w:pPr>
      <w:r>
        <w:rPr>
          <w:rFonts w:hint="eastAsia" w:ascii="宋体" w:hAnsi="宋体" w:eastAsia="宋体" w:cs="宋体"/>
          <w:color w:val="auto"/>
          <w:highlight w:val="none"/>
        </w:rPr>
        <w:t>电话：</w:t>
      </w:r>
      <w:r>
        <w:rPr>
          <w:rFonts w:hint="eastAsia" w:ascii="宋体" w:hAnsi="宋体" w:eastAsia="宋体" w:cs="宋体"/>
          <w:color w:val="auto"/>
          <w:highlight w:val="none"/>
          <w:u w:val="single"/>
        </w:rPr>
        <w:t>　　　　　　　　　</w:t>
      </w:r>
    </w:p>
    <w:p w14:paraId="0A930550">
      <w:pPr>
        <w:pStyle w:val="18"/>
        <w:spacing w:line="360" w:lineRule="auto"/>
        <w:ind w:firstLine="420"/>
        <w:rPr>
          <w:rFonts w:hint="eastAsia" w:ascii="宋体" w:hAnsi="宋体" w:eastAsia="宋体" w:cs="宋体"/>
          <w:color w:val="auto"/>
          <w:highlight w:val="none"/>
        </w:rPr>
      </w:pPr>
      <w:r>
        <w:rPr>
          <w:rFonts w:hint="eastAsia" w:ascii="宋体" w:hAnsi="宋体" w:eastAsia="宋体" w:cs="宋体"/>
          <w:color w:val="auto"/>
          <w:highlight w:val="none"/>
        </w:rPr>
        <w:t>传真：</w:t>
      </w:r>
      <w:r>
        <w:rPr>
          <w:rFonts w:hint="eastAsia" w:ascii="宋体" w:hAnsi="宋体" w:eastAsia="宋体" w:cs="宋体"/>
          <w:color w:val="auto"/>
          <w:highlight w:val="none"/>
          <w:u w:val="single"/>
        </w:rPr>
        <w:t>　　　　　　　　　　　　　　　　　　　　　　　　　　　　</w:t>
      </w:r>
    </w:p>
    <w:p w14:paraId="2C04C74D">
      <w:pPr>
        <w:pStyle w:val="18"/>
        <w:spacing w:line="360" w:lineRule="auto"/>
        <w:ind w:firstLine="420"/>
        <w:rPr>
          <w:rFonts w:hint="eastAsia" w:ascii="宋体" w:hAnsi="宋体" w:eastAsia="宋体" w:cs="宋体"/>
          <w:color w:val="auto"/>
          <w:highlight w:val="none"/>
          <w:u w:val="single"/>
          <w:lang w:eastAsia="zh-CN"/>
        </w:rPr>
      </w:pPr>
      <w:r>
        <w:rPr>
          <w:rFonts w:hint="eastAsia" w:ascii="宋体" w:hAnsi="宋体" w:eastAsia="宋体" w:cs="宋体"/>
          <w:color w:val="auto"/>
          <w:highlight w:val="none"/>
        </w:rPr>
        <w:t>邮政编码：</w:t>
      </w:r>
    </w:p>
    <w:p w14:paraId="365E2762">
      <w:pPr>
        <w:pStyle w:val="18"/>
        <w:spacing w:line="360" w:lineRule="auto"/>
        <w:ind w:firstLine="420"/>
        <w:rPr>
          <w:rFonts w:hint="eastAsia" w:ascii="宋体" w:hAnsi="宋体" w:eastAsia="宋体" w:cs="宋体"/>
          <w:color w:val="auto"/>
          <w:highlight w:val="none"/>
          <w:u w:val="single"/>
          <w:lang w:eastAsia="zh-CN"/>
        </w:rPr>
      </w:pPr>
      <w:r>
        <w:rPr>
          <w:rFonts w:hint="eastAsia" w:ascii="宋体" w:hAnsi="宋体" w:eastAsia="宋体" w:cs="宋体"/>
          <w:color w:val="auto"/>
          <w:highlight w:val="none"/>
        </w:rPr>
        <w:t>开户名称：</w:t>
      </w:r>
    </w:p>
    <w:p w14:paraId="79BB0536">
      <w:pPr>
        <w:pStyle w:val="18"/>
        <w:spacing w:line="360" w:lineRule="auto"/>
        <w:ind w:firstLine="420"/>
        <w:rPr>
          <w:rFonts w:hint="eastAsia" w:ascii="宋体" w:hAnsi="宋体" w:eastAsia="宋体" w:cs="宋体"/>
          <w:color w:val="auto"/>
          <w:highlight w:val="none"/>
          <w:u w:val="single"/>
          <w:lang w:eastAsia="zh-CN"/>
        </w:rPr>
      </w:pPr>
      <w:r>
        <w:rPr>
          <w:rFonts w:hint="eastAsia" w:ascii="宋体" w:hAnsi="宋体" w:eastAsia="宋体" w:cs="宋体"/>
          <w:color w:val="auto"/>
          <w:highlight w:val="none"/>
        </w:rPr>
        <w:t>开户银行：</w:t>
      </w:r>
    </w:p>
    <w:p w14:paraId="28EE5484">
      <w:pPr>
        <w:pStyle w:val="18"/>
        <w:spacing w:line="360" w:lineRule="auto"/>
        <w:ind w:firstLine="420"/>
        <w:rPr>
          <w:rFonts w:hint="eastAsia" w:ascii="宋体" w:hAnsi="宋体" w:eastAsia="宋体" w:cs="宋体"/>
          <w:color w:val="auto"/>
          <w:highlight w:val="none"/>
          <w:u w:val="single"/>
          <w:lang w:eastAsia="zh-CN"/>
        </w:rPr>
      </w:pPr>
      <w:r>
        <w:rPr>
          <w:rFonts w:hint="eastAsia" w:ascii="宋体" w:hAnsi="宋体" w:eastAsia="宋体" w:cs="宋体"/>
          <w:color w:val="auto"/>
          <w:highlight w:val="none"/>
        </w:rPr>
        <w:t>银行账号：</w:t>
      </w:r>
    </w:p>
    <w:p w14:paraId="52A5987E">
      <w:pPr>
        <w:snapToGrid w:val="0"/>
        <w:spacing w:line="360" w:lineRule="auto"/>
        <w:ind w:firstLine="5040" w:firstLineChars="2100"/>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lang w:val="zh-CN"/>
        </w:rPr>
        <w:t>投标人名称(电子签章)：</w:t>
      </w:r>
    </w:p>
    <w:p w14:paraId="21F7152E">
      <w:pPr>
        <w:snapToGrid w:val="0"/>
        <w:spacing w:line="360" w:lineRule="auto"/>
        <w:ind w:firstLine="5160" w:firstLineChars="2150"/>
        <w:rPr>
          <w:rFonts w:hint="eastAsia" w:ascii="宋体" w:hAnsi="宋体" w:eastAsia="宋体" w:cs="宋体"/>
          <w:color w:val="auto"/>
          <w:kern w:val="0"/>
          <w:sz w:val="24"/>
          <w:highlight w:val="none"/>
          <w:lang w:val="zh-CN"/>
        </w:rPr>
      </w:pPr>
      <w:r>
        <w:rPr>
          <w:rFonts w:hint="eastAsia" w:ascii="宋体" w:hAnsi="宋体" w:eastAsia="宋体" w:cs="宋体"/>
          <w:color w:val="auto"/>
          <w:kern w:val="0"/>
          <w:sz w:val="24"/>
          <w:highlight w:val="none"/>
          <w:lang w:val="zh-CN"/>
        </w:rPr>
        <w:t>日期</w:t>
      </w:r>
      <w:r>
        <w:rPr>
          <w:rFonts w:hint="eastAsia" w:ascii="宋体" w:hAnsi="宋体" w:eastAsia="宋体" w:cs="宋体"/>
          <w:color w:val="auto"/>
          <w:kern w:val="0"/>
          <w:sz w:val="24"/>
          <w:highlight w:val="none"/>
        </w:rPr>
        <w:t>：年</w:t>
      </w:r>
      <w:r>
        <w:rPr>
          <w:rFonts w:hint="eastAsia" w:ascii="宋体" w:hAnsi="宋体" w:eastAsia="宋体" w:cs="宋体"/>
          <w:color w:val="auto"/>
          <w:kern w:val="0"/>
          <w:sz w:val="24"/>
          <w:highlight w:val="none"/>
          <w:lang w:val="zh-CN"/>
        </w:rPr>
        <w:t>月日</w:t>
      </w:r>
    </w:p>
    <w:p w14:paraId="406FC2E8">
      <w:pPr>
        <w:widowControl/>
        <w:spacing w:line="360" w:lineRule="auto"/>
        <w:jc w:val="left"/>
        <w:rPr>
          <w:rFonts w:hint="eastAsia" w:ascii="宋体" w:hAnsi="宋体" w:eastAsia="宋体" w:cs="宋体"/>
          <w:color w:val="auto"/>
          <w:kern w:val="0"/>
          <w:sz w:val="24"/>
          <w:highlight w:val="none"/>
          <w:lang w:val="zh-CN"/>
        </w:rPr>
        <w:sectPr>
          <w:pgSz w:w="11906" w:h="16838"/>
          <w:pgMar w:top="1134" w:right="1134" w:bottom="1134" w:left="1134" w:header="720" w:footer="720" w:gutter="0"/>
          <w:cols w:space="720" w:num="1"/>
          <w:docGrid w:type="lines" w:linePitch="331" w:charSpace="0"/>
        </w:sectPr>
      </w:pPr>
    </w:p>
    <w:p w14:paraId="6AEF0E38">
      <w:pPr>
        <w:pStyle w:val="18"/>
        <w:spacing w:line="360" w:lineRule="auto"/>
        <w:jc w:val="center"/>
        <w:rPr>
          <w:rFonts w:hint="eastAsia" w:ascii="宋体" w:hAnsi="宋体" w:eastAsia="宋体" w:cs="宋体"/>
          <w:b/>
          <w:color w:val="auto"/>
          <w:sz w:val="30"/>
          <w:szCs w:val="30"/>
          <w:highlight w:val="none"/>
        </w:rPr>
      </w:pPr>
      <w:r>
        <w:rPr>
          <w:rFonts w:hint="eastAsia" w:ascii="宋体" w:hAnsi="宋体" w:eastAsia="宋体" w:cs="宋体"/>
          <w:color w:val="auto"/>
          <w:sz w:val="30"/>
          <w:highlight w:val="none"/>
        </w:rPr>
        <w:t>二、</w:t>
      </w:r>
      <w:r>
        <w:rPr>
          <w:rFonts w:hint="eastAsia" w:ascii="宋体" w:hAnsi="宋体" w:eastAsia="宋体" w:cs="宋体"/>
          <w:b/>
          <w:color w:val="auto"/>
          <w:sz w:val="30"/>
          <w:szCs w:val="30"/>
          <w:highlight w:val="none"/>
        </w:rPr>
        <w:t>开标一览表</w:t>
      </w:r>
      <w:r>
        <w:rPr>
          <w:rFonts w:hint="eastAsia" w:ascii="宋体" w:hAnsi="宋体" w:eastAsia="宋体" w:cs="宋体"/>
          <w:b/>
          <w:color w:val="auto"/>
          <w:kern w:val="0"/>
          <w:sz w:val="24"/>
          <w:highlight w:val="none"/>
          <w:lang w:val="zh-CN"/>
        </w:rPr>
        <w:t>(单位均为人民币元)</w:t>
      </w:r>
    </w:p>
    <w:p w14:paraId="13CF3A5D">
      <w:pPr>
        <w:snapToGrid w:val="0"/>
        <w:spacing w:before="50" w:after="50" w:line="240" w:lineRule="auto"/>
        <w:rPr>
          <w:rFonts w:hint="eastAsia" w:ascii="宋体" w:hAnsi="宋体" w:eastAsia="宋体" w:cs="宋体"/>
          <w:color w:val="auto"/>
          <w:sz w:val="24"/>
          <w:highlight w:val="none"/>
          <w:lang w:eastAsia="zh-CN"/>
        </w:rPr>
      </w:pPr>
      <w:r>
        <w:rPr>
          <w:rFonts w:hint="eastAsia" w:ascii="宋体" w:hAnsi="宋体" w:eastAsia="宋体" w:cs="宋体"/>
          <w:color w:val="auto"/>
          <w:sz w:val="24"/>
          <w:highlight w:val="none"/>
        </w:rPr>
        <w:t>项目名称：</w:t>
      </w:r>
      <w:r>
        <w:rPr>
          <w:rFonts w:hint="eastAsia" w:ascii="宋体" w:hAnsi="宋体" w:eastAsia="宋体" w:cs="宋体"/>
          <w:color w:val="auto"/>
          <w:sz w:val="24"/>
          <w:highlight w:val="none"/>
          <w:u w:val="single"/>
        </w:rPr>
        <w:t>（项目名称）</w:t>
      </w:r>
    </w:p>
    <w:p w14:paraId="3E40FEA9">
      <w:pPr>
        <w:snapToGrid w:val="0"/>
        <w:spacing w:before="50" w:after="50" w:line="240" w:lineRule="auto"/>
        <w:rPr>
          <w:rFonts w:hint="default" w:ascii="宋体" w:hAnsi="宋体" w:eastAsia="宋体" w:cs="宋体"/>
          <w:color w:val="auto"/>
          <w:sz w:val="24"/>
          <w:highlight w:val="none"/>
          <w:lang w:val="en-US" w:eastAsia="zh-CN"/>
        </w:rPr>
      </w:pPr>
      <w:r>
        <w:rPr>
          <w:rFonts w:hint="eastAsia" w:ascii="宋体" w:hAnsi="宋体" w:eastAsia="宋体" w:cs="宋体"/>
          <w:color w:val="auto"/>
          <w:sz w:val="24"/>
          <w:highlight w:val="none"/>
        </w:rPr>
        <w:t>项目编号：</w:t>
      </w:r>
      <w:r>
        <w:rPr>
          <w:rFonts w:hint="eastAsia" w:ascii="宋体" w:hAnsi="宋体" w:cs="宋体"/>
          <w:color w:val="auto"/>
          <w:sz w:val="24"/>
          <w:highlight w:val="none"/>
          <w:u w:val="single"/>
          <w:lang w:val="en-US" w:eastAsia="zh-CN"/>
        </w:rPr>
        <w:t xml:space="preserve">       </w:t>
      </w:r>
    </w:p>
    <w:p w14:paraId="6B98291E">
      <w:pPr>
        <w:snapToGrid w:val="0"/>
        <w:spacing w:before="50" w:after="50" w:line="240" w:lineRule="auto"/>
        <w:rPr>
          <w:rFonts w:hint="eastAsia" w:ascii="宋体" w:hAnsi="宋体" w:eastAsia="宋体" w:cs="宋体"/>
          <w:color w:val="auto"/>
          <w:sz w:val="24"/>
          <w:highlight w:val="none"/>
          <w:u w:val="single"/>
          <w:lang w:eastAsia="zh-CN"/>
        </w:rPr>
      </w:pPr>
      <w:r>
        <w:rPr>
          <w:rFonts w:hint="eastAsia" w:ascii="宋体" w:hAnsi="宋体" w:eastAsia="宋体" w:cs="宋体"/>
          <w:color w:val="auto"/>
          <w:sz w:val="24"/>
          <w:highlight w:val="none"/>
        </w:rPr>
        <w:t>分标：</w:t>
      </w:r>
    </w:p>
    <w:p w14:paraId="62E40500">
      <w:pPr>
        <w:pStyle w:val="18"/>
        <w:spacing w:line="240" w:lineRule="auto"/>
        <w:rPr>
          <w:rFonts w:hint="eastAsia" w:ascii="宋体" w:hAnsi="宋体" w:eastAsia="宋体" w:cs="宋体"/>
          <w:b/>
          <w:color w:val="auto"/>
          <w:sz w:val="32"/>
          <w:highlight w:val="none"/>
          <w:lang w:eastAsia="zh-CN"/>
        </w:rPr>
      </w:pPr>
      <w:r>
        <w:rPr>
          <w:rFonts w:hint="eastAsia" w:ascii="宋体" w:hAnsi="宋体" w:eastAsia="宋体" w:cs="宋体"/>
          <w:color w:val="auto"/>
          <w:sz w:val="24"/>
          <w:highlight w:val="none"/>
        </w:rPr>
        <w:t>投标人名称：</w:t>
      </w:r>
    </w:p>
    <w:tbl>
      <w:tblPr>
        <w:tblStyle w:val="3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19"/>
        <w:gridCol w:w="1260"/>
        <w:gridCol w:w="2064"/>
        <w:gridCol w:w="1080"/>
        <w:gridCol w:w="1260"/>
        <w:gridCol w:w="1516"/>
        <w:gridCol w:w="957"/>
        <w:gridCol w:w="957"/>
      </w:tblGrid>
      <w:tr w14:paraId="3A438C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33" w:hRule="atLeast"/>
        </w:trPr>
        <w:tc>
          <w:tcPr>
            <w:tcW w:w="719" w:type="dxa"/>
            <w:tcBorders>
              <w:top w:val="single" w:color="auto" w:sz="4" w:space="0"/>
              <w:left w:val="single" w:color="auto" w:sz="4" w:space="0"/>
              <w:bottom w:val="single" w:color="auto" w:sz="4" w:space="0"/>
              <w:right w:val="single" w:color="auto" w:sz="4" w:space="0"/>
            </w:tcBorders>
            <w:noWrap w:val="0"/>
            <w:vAlign w:val="center"/>
          </w:tcPr>
          <w:p w14:paraId="5EF7B97E">
            <w:pPr>
              <w:rPr>
                <w:rFonts w:hint="eastAsia" w:ascii="宋体" w:hAnsi="宋体" w:eastAsia="宋体" w:cs="宋体"/>
                <w:color w:val="auto"/>
                <w:szCs w:val="22"/>
                <w:highlight w:val="none"/>
              </w:rPr>
            </w:pPr>
            <w:r>
              <w:rPr>
                <w:rFonts w:hint="eastAsia" w:ascii="宋体" w:hAnsi="宋体" w:eastAsia="宋体" w:cs="宋体"/>
                <w:color w:val="auto"/>
                <w:szCs w:val="22"/>
                <w:highlight w:val="none"/>
              </w:rPr>
              <w:t>序号</w:t>
            </w:r>
          </w:p>
        </w:tc>
        <w:tc>
          <w:tcPr>
            <w:tcW w:w="1260" w:type="dxa"/>
            <w:tcBorders>
              <w:top w:val="single" w:color="auto" w:sz="4" w:space="0"/>
              <w:left w:val="single" w:color="auto" w:sz="4" w:space="0"/>
              <w:bottom w:val="single" w:color="auto" w:sz="4" w:space="0"/>
              <w:right w:val="single" w:color="auto" w:sz="4" w:space="0"/>
            </w:tcBorders>
            <w:noWrap w:val="0"/>
            <w:vAlign w:val="center"/>
          </w:tcPr>
          <w:p w14:paraId="24A4BA61">
            <w:pPr>
              <w:rPr>
                <w:rFonts w:hint="eastAsia" w:ascii="宋体" w:hAnsi="宋体" w:eastAsia="宋体" w:cs="宋体"/>
                <w:color w:val="auto"/>
                <w:szCs w:val="22"/>
                <w:highlight w:val="none"/>
              </w:rPr>
            </w:pPr>
            <w:r>
              <w:rPr>
                <w:rFonts w:hint="eastAsia" w:ascii="宋体" w:hAnsi="宋体" w:eastAsia="宋体" w:cs="宋体"/>
                <w:color w:val="auto"/>
                <w:szCs w:val="22"/>
                <w:highlight w:val="none"/>
              </w:rPr>
              <w:t>服务名称</w:t>
            </w:r>
          </w:p>
        </w:tc>
        <w:tc>
          <w:tcPr>
            <w:tcW w:w="2064" w:type="dxa"/>
            <w:tcBorders>
              <w:top w:val="single" w:color="auto" w:sz="4" w:space="0"/>
              <w:left w:val="single" w:color="auto" w:sz="4" w:space="0"/>
              <w:bottom w:val="single" w:color="auto" w:sz="4" w:space="0"/>
              <w:right w:val="single" w:color="auto" w:sz="4" w:space="0"/>
            </w:tcBorders>
            <w:noWrap w:val="0"/>
            <w:vAlign w:val="center"/>
          </w:tcPr>
          <w:p w14:paraId="4ADE8E64">
            <w:pPr>
              <w:jc w:val="center"/>
              <w:rPr>
                <w:rFonts w:hint="eastAsia" w:ascii="宋体" w:hAnsi="宋体" w:eastAsia="宋体" w:cs="宋体"/>
                <w:color w:val="auto"/>
                <w:szCs w:val="22"/>
                <w:highlight w:val="none"/>
              </w:rPr>
            </w:pPr>
            <w:r>
              <w:rPr>
                <w:rFonts w:hint="eastAsia" w:ascii="宋体" w:hAnsi="宋体" w:eastAsia="宋体" w:cs="宋体"/>
                <w:color w:val="auto"/>
                <w:szCs w:val="22"/>
                <w:highlight w:val="none"/>
              </w:rPr>
              <w:t>具体服务内容</w:t>
            </w:r>
          </w:p>
        </w:tc>
        <w:tc>
          <w:tcPr>
            <w:tcW w:w="1080" w:type="dxa"/>
            <w:tcBorders>
              <w:top w:val="single" w:color="auto" w:sz="4" w:space="0"/>
              <w:left w:val="single" w:color="auto" w:sz="4" w:space="0"/>
              <w:bottom w:val="single" w:color="auto" w:sz="4" w:space="0"/>
              <w:right w:val="single" w:color="auto" w:sz="4" w:space="0"/>
            </w:tcBorders>
            <w:noWrap w:val="0"/>
            <w:vAlign w:val="center"/>
          </w:tcPr>
          <w:p w14:paraId="6592AE39">
            <w:pPr>
              <w:jc w:val="center"/>
              <w:rPr>
                <w:rFonts w:hint="eastAsia" w:ascii="宋体" w:hAnsi="宋体" w:eastAsia="宋体" w:cs="宋体"/>
                <w:color w:val="auto"/>
                <w:szCs w:val="22"/>
                <w:highlight w:val="none"/>
              </w:rPr>
            </w:pPr>
            <w:r>
              <w:rPr>
                <w:rFonts w:hint="eastAsia" w:ascii="宋体" w:hAnsi="宋体" w:eastAsia="宋体" w:cs="宋体"/>
                <w:color w:val="auto"/>
                <w:szCs w:val="22"/>
                <w:highlight w:val="none"/>
              </w:rPr>
              <w:t>数量①</w:t>
            </w:r>
          </w:p>
        </w:tc>
        <w:tc>
          <w:tcPr>
            <w:tcW w:w="1260" w:type="dxa"/>
            <w:tcBorders>
              <w:top w:val="single" w:color="auto" w:sz="4" w:space="0"/>
              <w:left w:val="single" w:color="auto" w:sz="4" w:space="0"/>
              <w:bottom w:val="single" w:color="auto" w:sz="4" w:space="0"/>
              <w:right w:val="single" w:color="auto" w:sz="4" w:space="0"/>
            </w:tcBorders>
            <w:noWrap w:val="0"/>
            <w:vAlign w:val="center"/>
          </w:tcPr>
          <w:p w14:paraId="5A3EE919">
            <w:pPr>
              <w:rPr>
                <w:rFonts w:hint="eastAsia" w:ascii="宋体" w:hAnsi="宋体" w:eastAsia="宋体" w:cs="宋体"/>
                <w:color w:val="auto"/>
                <w:szCs w:val="22"/>
                <w:highlight w:val="none"/>
              </w:rPr>
            </w:pPr>
            <w:r>
              <w:rPr>
                <w:rFonts w:hint="eastAsia" w:ascii="宋体" w:hAnsi="宋体" w:eastAsia="宋体" w:cs="宋体"/>
                <w:color w:val="auto"/>
                <w:szCs w:val="22"/>
                <w:highlight w:val="none"/>
              </w:rPr>
              <w:t>单价(元)②</w:t>
            </w:r>
          </w:p>
        </w:tc>
        <w:tc>
          <w:tcPr>
            <w:tcW w:w="1516" w:type="dxa"/>
            <w:tcBorders>
              <w:top w:val="single" w:color="auto" w:sz="4" w:space="0"/>
              <w:left w:val="single" w:color="auto" w:sz="4" w:space="0"/>
              <w:bottom w:val="single" w:color="auto" w:sz="4" w:space="0"/>
              <w:right w:val="single" w:color="auto" w:sz="4" w:space="0"/>
            </w:tcBorders>
            <w:noWrap w:val="0"/>
            <w:vAlign w:val="center"/>
          </w:tcPr>
          <w:p w14:paraId="13709561">
            <w:pPr>
              <w:rPr>
                <w:rFonts w:hint="eastAsia" w:ascii="宋体" w:hAnsi="宋体" w:eastAsia="宋体" w:cs="宋体"/>
                <w:color w:val="auto"/>
                <w:szCs w:val="22"/>
                <w:highlight w:val="none"/>
              </w:rPr>
            </w:pPr>
            <w:r>
              <w:rPr>
                <w:rFonts w:hint="eastAsia" w:ascii="宋体" w:hAnsi="宋体" w:eastAsia="宋体" w:cs="宋体"/>
                <w:color w:val="auto"/>
                <w:szCs w:val="22"/>
                <w:highlight w:val="none"/>
              </w:rPr>
              <w:t>单项合价（元）</w:t>
            </w:r>
          </w:p>
          <w:p w14:paraId="2F62BC25">
            <w:pPr>
              <w:rPr>
                <w:rFonts w:hint="eastAsia" w:ascii="宋体" w:hAnsi="宋体" w:eastAsia="宋体" w:cs="宋体"/>
                <w:color w:val="auto"/>
                <w:szCs w:val="22"/>
                <w:highlight w:val="none"/>
              </w:rPr>
            </w:pPr>
            <w:r>
              <w:rPr>
                <w:rFonts w:hint="eastAsia" w:ascii="宋体" w:hAnsi="宋体" w:eastAsia="宋体" w:cs="宋体"/>
                <w:color w:val="auto"/>
                <w:szCs w:val="22"/>
                <w:highlight w:val="none"/>
              </w:rPr>
              <w:t>③＝①×②</w:t>
            </w:r>
          </w:p>
        </w:tc>
        <w:tc>
          <w:tcPr>
            <w:tcW w:w="957" w:type="dxa"/>
            <w:tcBorders>
              <w:top w:val="single" w:color="auto" w:sz="4" w:space="0"/>
              <w:left w:val="single" w:color="auto" w:sz="4" w:space="0"/>
              <w:bottom w:val="single" w:color="auto" w:sz="4" w:space="0"/>
              <w:right w:val="single" w:color="auto" w:sz="4" w:space="0"/>
            </w:tcBorders>
            <w:noWrap w:val="0"/>
            <w:vAlign w:val="top"/>
          </w:tcPr>
          <w:p w14:paraId="414FF078">
            <w:pPr>
              <w:spacing w:line="360" w:lineRule="auto"/>
              <w:jc w:val="center"/>
              <w:rPr>
                <w:rFonts w:hint="eastAsia" w:ascii="宋体" w:hAnsi="宋体" w:eastAsia="宋体" w:cs="宋体"/>
                <w:color w:val="auto"/>
                <w:szCs w:val="22"/>
                <w:highlight w:val="none"/>
              </w:rPr>
            </w:pPr>
            <w:r>
              <w:rPr>
                <w:rFonts w:hint="eastAsia" w:ascii="宋体" w:hAnsi="宋体" w:eastAsia="宋体" w:cs="宋体"/>
                <w:color w:val="auto"/>
                <w:szCs w:val="22"/>
                <w:highlight w:val="none"/>
              </w:rPr>
              <w:t>服务要求（年限）</w:t>
            </w:r>
          </w:p>
        </w:tc>
        <w:tc>
          <w:tcPr>
            <w:tcW w:w="957" w:type="dxa"/>
            <w:tcBorders>
              <w:top w:val="single" w:color="auto" w:sz="4" w:space="0"/>
              <w:left w:val="single" w:color="auto" w:sz="4" w:space="0"/>
              <w:bottom w:val="single" w:color="auto" w:sz="4" w:space="0"/>
              <w:right w:val="single" w:color="auto" w:sz="4" w:space="0"/>
            </w:tcBorders>
            <w:noWrap w:val="0"/>
            <w:vAlign w:val="center"/>
          </w:tcPr>
          <w:p w14:paraId="6D39C06B">
            <w:pPr>
              <w:rPr>
                <w:rFonts w:hint="eastAsia" w:ascii="宋体" w:hAnsi="宋体" w:eastAsia="宋体" w:cs="宋体"/>
                <w:color w:val="auto"/>
                <w:szCs w:val="22"/>
                <w:highlight w:val="none"/>
              </w:rPr>
            </w:pPr>
            <w:r>
              <w:rPr>
                <w:rFonts w:hint="eastAsia" w:ascii="宋体" w:hAnsi="宋体" w:eastAsia="宋体" w:cs="宋体"/>
                <w:color w:val="auto"/>
                <w:szCs w:val="22"/>
                <w:highlight w:val="none"/>
              </w:rPr>
              <w:t>备注</w:t>
            </w:r>
          </w:p>
        </w:tc>
      </w:tr>
      <w:tr w14:paraId="7DCCE9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5" w:hRule="atLeast"/>
        </w:trPr>
        <w:tc>
          <w:tcPr>
            <w:tcW w:w="719" w:type="dxa"/>
            <w:tcBorders>
              <w:top w:val="single" w:color="auto" w:sz="4" w:space="0"/>
              <w:left w:val="single" w:color="auto" w:sz="4" w:space="0"/>
              <w:bottom w:val="single" w:color="auto" w:sz="4" w:space="0"/>
              <w:right w:val="single" w:color="auto" w:sz="4" w:space="0"/>
            </w:tcBorders>
            <w:noWrap w:val="0"/>
            <w:vAlign w:val="center"/>
          </w:tcPr>
          <w:p w14:paraId="508EE15E">
            <w:pPr>
              <w:rPr>
                <w:rFonts w:hint="eastAsia" w:ascii="宋体" w:hAnsi="宋体" w:eastAsia="宋体" w:cs="宋体"/>
                <w:color w:val="auto"/>
                <w:szCs w:val="22"/>
                <w:highlight w:val="none"/>
              </w:rPr>
            </w:pPr>
            <w:r>
              <w:rPr>
                <w:rFonts w:hint="eastAsia" w:ascii="宋体" w:hAnsi="宋体" w:eastAsia="宋体" w:cs="宋体"/>
                <w:color w:val="auto"/>
                <w:szCs w:val="22"/>
                <w:highlight w:val="none"/>
              </w:rPr>
              <w:t>1</w:t>
            </w:r>
          </w:p>
        </w:tc>
        <w:tc>
          <w:tcPr>
            <w:tcW w:w="1260" w:type="dxa"/>
            <w:tcBorders>
              <w:top w:val="single" w:color="auto" w:sz="4" w:space="0"/>
              <w:left w:val="single" w:color="auto" w:sz="4" w:space="0"/>
              <w:bottom w:val="single" w:color="auto" w:sz="4" w:space="0"/>
              <w:right w:val="single" w:color="auto" w:sz="4" w:space="0"/>
            </w:tcBorders>
            <w:noWrap w:val="0"/>
            <w:vAlign w:val="center"/>
          </w:tcPr>
          <w:p w14:paraId="317BCC2C">
            <w:pPr>
              <w:rPr>
                <w:rFonts w:hint="eastAsia" w:ascii="宋体" w:hAnsi="宋体" w:eastAsia="宋体" w:cs="宋体"/>
                <w:color w:val="auto"/>
                <w:szCs w:val="22"/>
                <w:highlight w:val="none"/>
              </w:rPr>
            </w:pPr>
          </w:p>
        </w:tc>
        <w:tc>
          <w:tcPr>
            <w:tcW w:w="2064" w:type="dxa"/>
            <w:tcBorders>
              <w:top w:val="single" w:color="auto" w:sz="4" w:space="0"/>
              <w:left w:val="single" w:color="auto" w:sz="4" w:space="0"/>
              <w:bottom w:val="single" w:color="auto" w:sz="4" w:space="0"/>
              <w:right w:val="single" w:color="auto" w:sz="4" w:space="0"/>
            </w:tcBorders>
            <w:noWrap w:val="0"/>
            <w:vAlign w:val="center"/>
          </w:tcPr>
          <w:p w14:paraId="00372DF4">
            <w:pPr>
              <w:rPr>
                <w:rFonts w:hint="eastAsia" w:ascii="宋体" w:hAnsi="宋体" w:eastAsia="宋体" w:cs="宋体"/>
                <w:color w:val="auto"/>
                <w:szCs w:val="22"/>
                <w:highlight w:val="none"/>
              </w:rPr>
            </w:pPr>
          </w:p>
        </w:tc>
        <w:tc>
          <w:tcPr>
            <w:tcW w:w="1080" w:type="dxa"/>
            <w:tcBorders>
              <w:top w:val="single" w:color="auto" w:sz="4" w:space="0"/>
              <w:left w:val="single" w:color="auto" w:sz="4" w:space="0"/>
              <w:bottom w:val="single" w:color="auto" w:sz="4" w:space="0"/>
              <w:right w:val="single" w:color="auto" w:sz="4" w:space="0"/>
            </w:tcBorders>
            <w:noWrap w:val="0"/>
            <w:vAlign w:val="center"/>
          </w:tcPr>
          <w:p w14:paraId="440A130E">
            <w:pPr>
              <w:rPr>
                <w:rFonts w:hint="eastAsia" w:ascii="宋体" w:hAnsi="宋体" w:eastAsia="宋体" w:cs="宋体"/>
                <w:color w:val="auto"/>
                <w:szCs w:val="22"/>
                <w:highlight w:val="none"/>
              </w:rPr>
            </w:pPr>
          </w:p>
        </w:tc>
        <w:tc>
          <w:tcPr>
            <w:tcW w:w="1260" w:type="dxa"/>
            <w:tcBorders>
              <w:top w:val="single" w:color="auto" w:sz="4" w:space="0"/>
              <w:left w:val="single" w:color="auto" w:sz="4" w:space="0"/>
              <w:bottom w:val="single" w:color="auto" w:sz="4" w:space="0"/>
              <w:right w:val="single" w:color="auto" w:sz="4" w:space="0"/>
            </w:tcBorders>
            <w:noWrap w:val="0"/>
            <w:vAlign w:val="center"/>
          </w:tcPr>
          <w:p w14:paraId="13E8B968">
            <w:pPr>
              <w:rPr>
                <w:rFonts w:hint="eastAsia" w:ascii="宋体" w:hAnsi="宋体" w:eastAsia="宋体" w:cs="宋体"/>
                <w:color w:val="auto"/>
                <w:szCs w:val="22"/>
                <w:highlight w:val="none"/>
              </w:rPr>
            </w:pPr>
          </w:p>
        </w:tc>
        <w:tc>
          <w:tcPr>
            <w:tcW w:w="1516" w:type="dxa"/>
            <w:tcBorders>
              <w:top w:val="single" w:color="auto" w:sz="4" w:space="0"/>
              <w:left w:val="single" w:color="auto" w:sz="4" w:space="0"/>
              <w:bottom w:val="single" w:color="auto" w:sz="4" w:space="0"/>
              <w:right w:val="single" w:color="auto" w:sz="4" w:space="0"/>
            </w:tcBorders>
            <w:noWrap w:val="0"/>
            <w:vAlign w:val="center"/>
          </w:tcPr>
          <w:p w14:paraId="4CBE302C">
            <w:pPr>
              <w:rPr>
                <w:rFonts w:hint="eastAsia" w:ascii="宋体" w:hAnsi="宋体" w:eastAsia="宋体" w:cs="宋体"/>
                <w:color w:val="auto"/>
                <w:szCs w:val="22"/>
                <w:highlight w:val="none"/>
              </w:rPr>
            </w:pPr>
          </w:p>
        </w:tc>
        <w:tc>
          <w:tcPr>
            <w:tcW w:w="957" w:type="dxa"/>
            <w:tcBorders>
              <w:top w:val="single" w:color="auto" w:sz="4" w:space="0"/>
              <w:left w:val="single" w:color="auto" w:sz="4" w:space="0"/>
              <w:bottom w:val="single" w:color="auto" w:sz="4" w:space="0"/>
              <w:right w:val="single" w:color="auto" w:sz="4" w:space="0"/>
            </w:tcBorders>
            <w:noWrap w:val="0"/>
            <w:vAlign w:val="top"/>
          </w:tcPr>
          <w:p w14:paraId="4981A7CF">
            <w:pPr>
              <w:rPr>
                <w:rFonts w:hint="eastAsia" w:ascii="宋体" w:hAnsi="宋体" w:eastAsia="宋体" w:cs="宋体"/>
                <w:color w:val="auto"/>
                <w:szCs w:val="22"/>
                <w:highlight w:val="none"/>
              </w:rPr>
            </w:pPr>
          </w:p>
        </w:tc>
        <w:tc>
          <w:tcPr>
            <w:tcW w:w="957" w:type="dxa"/>
            <w:tcBorders>
              <w:top w:val="single" w:color="auto" w:sz="4" w:space="0"/>
              <w:left w:val="single" w:color="auto" w:sz="4" w:space="0"/>
              <w:bottom w:val="single" w:color="auto" w:sz="4" w:space="0"/>
              <w:right w:val="single" w:color="auto" w:sz="4" w:space="0"/>
            </w:tcBorders>
            <w:noWrap w:val="0"/>
            <w:vAlign w:val="center"/>
          </w:tcPr>
          <w:p w14:paraId="0073A408">
            <w:pPr>
              <w:rPr>
                <w:rFonts w:hint="eastAsia" w:ascii="宋体" w:hAnsi="宋体" w:eastAsia="宋体" w:cs="宋体"/>
                <w:color w:val="auto"/>
                <w:szCs w:val="22"/>
                <w:highlight w:val="none"/>
              </w:rPr>
            </w:pPr>
          </w:p>
        </w:tc>
      </w:tr>
      <w:tr w14:paraId="68D43C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1" w:hRule="atLeast"/>
        </w:trPr>
        <w:tc>
          <w:tcPr>
            <w:tcW w:w="719" w:type="dxa"/>
            <w:tcBorders>
              <w:top w:val="single" w:color="auto" w:sz="4" w:space="0"/>
              <w:left w:val="single" w:color="auto" w:sz="4" w:space="0"/>
              <w:bottom w:val="single" w:color="auto" w:sz="4" w:space="0"/>
              <w:right w:val="single" w:color="auto" w:sz="4" w:space="0"/>
            </w:tcBorders>
            <w:noWrap w:val="0"/>
            <w:vAlign w:val="center"/>
          </w:tcPr>
          <w:p w14:paraId="0A0FC35D">
            <w:pPr>
              <w:rPr>
                <w:rFonts w:hint="eastAsia" w:ascii="宋体" w:hAnsi="宋体" w:eastAsia="宋体" w:cs="宋体"/>
                <w:color w:val="auto"/>
                <w:szCs w:val="22"/>
                <w:highlight w:val="none"/>
              </w:rPr>
            </w:pPr>
            <w:r>
              <w:rPr>
                <w:rFonts w:hint="eastAsia" w:ascii="宋体" w:hAnsi="宋体" w:eastAsia="宋体" w:cs="宋体"/>
                <w:color w:val="auto"/>
                <w:szCs w:val="22"/>
                <w:highlight w:val="none"/>
              </w:rPr>
              <w:t>2</w:t>
            </w:r>
          </w:p>
        </w:tc>
        <w:tc>
          <w:tcPr>
            <w:tcW w:w="1260" w:type="dxa"/>
            <w:tcBorders>
              <w:top w:val="single" w:color="auto" w:sz="4" w:space="0"/>
              <w:left w:val="single" w:color="auto" w:sz="4" w:space="0"/>
              <w:bottom w:val="single" w:color="auto" w:sz="4" w:space="0"/>
              <w:right w:val="single" w:color="auto" w:sz="4" w:space="0"/>
            </w:tcBorders>
            <w:noWrap w:val="0"/>
            <w:vAlign w:val="center"/>
          </w:tcPr>
          <w:p w14:paraId="210146F2">
            <w:pPr>
              <w:rPr>
                <w:rFonts w:hint="eastAsia" w:ascii="宋体" w:hAnsi="宋体" w:eastAsia="宋体" w:cs="宋体"/>
                <w:color w:val="auto"/>
                <w:szCs w:val="22"/>
                <w:highlight w:val="none"/>
              </w:rPr>
            </w:pPr>
          </w:p>
        </w:tc>
        <w:tc>
          <w:tcPr>
            <w:tcW w:w="2064" w:type="dxa"/>
            <w:tcBorders>
              <w:top w:val="single" w:color="auto" w:sz="4" w:space="0"/>
              <w:left w:val="single" w:color="auto" w:sz="4" w:space="0"/>
              <w:bottom w:val="single" w:color="auto" w:sz="4" w:space="0"/>
              <w:right w:val="single" w:color="auto" w:sz="4" w:space="0"/>
            </w:tcBorders>
            <w:noWrap w:val="0"/>
            <w:vAlign w:val="center"/>
          </w:tcPr>
          <w:p w14:paraId="7B2672FA">
            <w:pPr>
              <w:rPr>
                <w:rFonts w:hint="eastAsia" w:ascii="宋体" w:hAnsi="宋体" w:eastAsia="宋体" w:cs="宋体"/>
                <w:color w:val="auto"/>
                <w:szCs w:val="22"/>
                <w:highlight w:val="none"/>
              </w:rPr>
            </w:pPr>
          </w:p>
        </w:tc>
        <w:tc>
          <w:tcPr>
            <w:tcW w:w="1080" w:type="dxa"/>
            <w:tcBorders>
              <w:top w:val="single" w:color="auto" w:sz="4" w:space="0"/>
              <w:left w:val="single" w:color="auto" w:sz="4" w:space="0"/>
              <w:bottom w:val="single" w:color="auto" w:sz="4" w:space="0"/>
              <w:right w:val="single" w:color="auto" w:sz="4" w:space="0"/>
            </w:tcBorders>
            <w:noWrap w:val="0"/>
            <w:vAlign w:val="center"/>
          </w:tcPr>
          <w:p w14:paraId="6391ACB9">
            <w:pPr>
              <w:rPr>
                <w:rFonts w:hint="eastAsia" w:ascii="宋体" w:hAnsi="宋体" w:eastAsia="宋体" w:cs="宋体"/>
                <w:color w:val="auto"/>
                <w:szCs w:val="22"/>
                <w:highlight w:val="none"/>
              </w:rPr>
            </w:pPr>
          </w:p>
        </w:tc>
        <w:tc>
          <w:tcPr>
            <w:tcW w:w="1260" w:type="dxa"/>
            <w:tcBorders>
              <w:top w:val="single" w:color="auto" w:sz="4" w:space="0"/>
              <w:left w:val="single" w:color="auto" w:sz="4" w:space="0"/>
              <w:bottom w:val="single" w:color="auto" w:sz="4" w:space="0"/>
              <w:right w:val="single" w:color="auto" w:sz="4" w:space="0"/>
            </w:tcBorders>
            <w:noWrap w:val="0"/>
            <w:vAlign w:val="center"/>
          </w:tcPr>
          <w:p w14:paraId="667BBCFE">
            <w:pPr>
              <w:rPr>
                <w:rFonts w:hint="eastAsia" w:ascii="宋体" w:hAnsi="宋体" w:eastAsia="宋体" w:cs="宋体"/>
                <w:color w:val="auto"/>
                <w:szCs w:val="22"/>
                <w:highlight w:val="none"/>
              </w:rPr>
            </w:pPr>
          </w:p>
        </w:tc>
        <w:tc>
          <w:tcPr>
            <w:tcW w:w="1516" w:type="dxa"/>
            <w:tcBorders>
              <w:top w:val="single" w:color="auto" w:sz="4" w:space="0"/>
              <w:left w:val="single" w:color="auto" w:sz="4" w:space="0"/>
              <w:bottom w:val="single" w:color="auto" w:sz="4" w:space="0"/>
              <w:right w:val="single" w:color="auto" w:sz="4" w:space="0"/>
            </w:tcBorders>
            <w:noWrap w:val="0"/>
            <w:vAlign w:val="center"/>
          </w:tcPr>
          <w:p w14:paraId="26B251E5">
            <w:pPr>
              <w:rPr>
                <w:rFonts w:hint="eastAsia" w:ascii="宋体" w:hAnsi="宋体" w:eastAsia="宋体" w:cs="宋体"/>
                <w:color w:val="auto"/>
                <w:szCs w:val="22"/>
                <w:highlight w:val="none"/>
              </w:rPr>
            </w:pPr>
          </w:p>
        </w:tc>
        <w:tc>
          <w:tcPr>
            <w:tcW w:w="957" w:type="dxa"/>
            <w:tcBorders>
              <w:top w:val="single" w:color="auto" w:sz="4" w:space="0"/>
              <w:left w:val="single" w:color="auto" w:sz="4" w:space="0"/>
              <w:bottom w:val="single" w:color="auto" w:sz="4" w:space="0"/>
              <w:right w:val="single" w:color="auto" w:sz="4" w:space="0"/>
            </w:tcBorders>
            <w:noWrap w:val="0"/>
            <w:vAlign w:val="top"/>
          </w:tcPr>
          <w:p w14:paraId="5F9CD89E">
            <w:pPr>
              <w:rPr>
                <w:rFonts w:hint="eastAsia" w:ascii="宋体" w:hAnsi="宋体" w:eastAsia="宋体" w:cs="宋体"/>
                <w:color w:val="auto"/>
                <w:szCs w:val="22"/>
                <w:highlight w:val="none"/>
              </w:rPr>
            </w:pPr>
          </w:p>
        </w:tc>
        <w:tc>
          <w:tcPr>
            <w:tcW w:w="957" w:type="dxa"/>
            <w:tcBorders>
              <w:top w:val="single" w:color="auto" w:sz="4" w:space="0"/>
              <w:left w:val="single" w:color="auto" w:sz="4" w:space="0"/>
              <w:bottom w:val="single" w:color="auto" w:sz="4" w:space="0"/>
              <w:right w:val="single" w:color="auto" w:sz="4" w:space="0"/>
            </w:tcBorders>
            <w:noWrap w:val="0"/>
            <w:vAlign w:val="center"/>
          </w:tcPr>
          <w:p w14:paraId="24B6F4BE">
            <w:pPr>
              <w:rPr>
                <w:rFonts w:hint="eastAsia" w:ascii="宋体" w:hAnsi="宋体" w:eastAsia="宋体" w:cs="宋体"/>
                <w:color w:val="auto"/>
                <w:szCs w:val="22"/>
                <w:highlight w:val="none"/>
              </w:rPr>
            </w:pPr>
          </w:p>
        </w:tc>
      </w:tr>
      <w:tr w14:paraId="0B91C8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98" w:hRule="atLeast"/>
        </w:trPr>
        <w:tc>
          <w:tcPr>
            <w:tcW w:w="719" w:type="dxa"/>
            <w:tcBorders>
              <w:top w:val="single" w:color="auto" w:sz="4" w:space="0"/>
              <w:left w:val="single" w:color="auto" w:sz="4" w:space="0"/>
              <w:bottom w:val="single" w:color="auto" w:sz="4" w:space="0"/>
              <w:right w:val="single" w:color="auto" w:sz="4" w:space="0"/>
            </w:tcBorders>
            <w:noWrap w:val="0"/>
            <w:vAlign w:val="center"/>
          </w:tcPr>
          <w:p w14:paraId="715053EA">
            <w:pPr>
              <w:rPr>
                <w:rFonts w:hint="eastAsia" w:ascii="宋体" w:hAnsi="宋体" w:eastAsia="宋体" w:cs="宋体"/>
                <w:color w:val="auto"/>
                <w:szCs w:val="22"/>
                <w:highlight w:val="none"/>
              </w:rPr>
            </w:pPr>
            <w:r>
              <w:rPr>
                <w:rFonts w:hint="eastAsia" w:ascii="宋体" w:hAnsi="宋体" w:eastAsia="宋体" w:cs="宋体"/>
                <w:color w:val="auto"/>
                <w:szCs w:val="22"/>
                <w:highlight w:val="none"/>
              </w:rPr>
              <w:t>...</w:t>
            </w:r>
          </w:p>
        </w:tc>
        <w:tc>
          <w:tcPr>
            <w:tcW w:w="1260" w:type="dxa"/>
            <w:tcBorders>
              <w:top w:val="single" w:color="auto" w:sz="4" w:space="0"/>
              <w:left w:val="single" w:color="auto" w:sz="4" w:space="0"/>
              <w:bottom w:val="single" w:color="auto" w:sz="4" w:space="0"/>
              <w:right w:val="single" w:color="auto" w:sz="4" w:space="0"/>
            </w:tcBorders>
            <w:noWrap w:val="0"/>
            <w:vAlign w:val="center"/>
          </w:tcPr>
          <w:p w14:paraId="479132A0">
            <w:pPr>
              <w:rPr>
                <w:rFonts w:hint="eastAsia" w:ascii="宋体" w:hAnsi="宋体" w:eastAsia="宋体" w:cs="宋体"/>
                <w:color w:val="auto"/>
                <w:szCs w:val="22"/>
                <w:highlight w:val="none"/>
              </w:rPr>
            </w:pPr>
          </w:p>
        </w:tc>
        <w:tc>
          <w:tcPr>
            <w:tcW w:w="2064" w:type="dxa"/>
            <w:tcBorders>
              <w:top w:val="single" w:color="auto" w:sz="4" w:space="0"/>
              <w:left w:val="single" w:color="auto" w:sz="4" w:space="0"/>
              <w:bottom w:val="single" w:color="auto" w:sz="4" w:space="0"/>
              <w:right w:val="single" w:color="auto" w:sz="4" w:space="0"/>
            </w:tcBorders>
            <w:noWrap w:val="0"/>
            <w:vAlign w:val="center"/>
          </w:tcPr>
          <w:p w14:paraId="60EE3515">
            <w:pPr>
              <w:rPr>
                <w:rFonts w:hint="eastAsia" w:ascii="宋体" w:hAnsi="宋体" w:eastAsia="宋体" w:cs="宋体"/>
                <w:color w:val="auto"/>
                <w:szCs w:val="22"/>
                <w:highlight w:val="none"/>
              </w:rPr>
            </w:pPr>
          </w:p>
        </w:tc>
        <w:tc>
          <w:tcPr>
            <w:tcW w:w="1080" w:type="dxa"/>
            <w:tcBorders>
              <w:top w:val="single" w:color="auto" w:sz="4" w:space="0"/>
              <w:left w:val="single" w:color="auto" w:sz="4" w:space="0"/>
              <w:bottom w:val="single" w:color="auto" w:sz="4" w:space="0"/>
              <w:right w:val="single" w:color="auto" w:sz="4" w:space="0"/>
            </w:tcBorders>
            <w:noWrap w:val="0"/>
            <w:vAlign w:val="center"/>
          </w:tcPr>
          <w:p w14:paraId="08297AE0">
            <w:pPr>
              <w:rPr>
                <w:rFonts w:hint="eastAsia" w:ascii="宋体" w:hAnsi="宋体" w:eastAsia="宋体" w:cs="宋体"/>
                <w:color w:val="auto"/>
                <w:szCs w:val="22"/>
                <w:highlight w:val="none"/>
              </w:rPr>
            </w:pPr>
          </w:p>
        </w:tc>
        <w:tc>
          <w:tcPr>
            <w:tcW w:w="1260" w:type="dxa"/>
            <w:tcBorders>
              <w:top w:val="single" w:color="auto" w:sz="4" w:space="0"/>
              <w:left w:val="single" w:color="auto" w:sz="4" w:space="0"/>
              <w:bottom w:val="single" w:color="auto" w:sz="4" w:space="0"/>
              <w:right w:val="single" w:color="auto" w:sz="4" w:space="0"/>
            </w:tcBorders>
            <w:noWrap w:val="0"/>
            <w:vAlign w:val="center"/>
          </w:tcPr>
          <w:p w14:paraId="69BD594D">
            <w:pPr>
              <w:rPr>
                <w:rFonts w:hint="eastAsia" w:ascii="宋体" w:hAnsi="宋体" w:eastAsia="宋体" w:cs="宋体"/>
                <w:color w:val="auto"/>
                <w:szCs w:val="22"/>
                <w:highlight w:val="none"/>
              </w:rPr>
            </w:pPr>
          </w:p>
        </w:tc>
        <w:tc>
          <w:tcPr>
            <w:tcW w:w="1516" w:type="dxa"/>
            <w:tcBorders>
              <w:top w:val="single" w:color="auto" w:sz="4" w:space="0"/>
              <w:left w:val="single" w:color="auto" w:sz="4" w:space="0"/>
              <w:bottom w:val="single" w:color="auto" w:sz="4" w:space="0"/>
              <w:right w:val="single" w:color="auto" w:sz="4" w:space="0"/>
            </w:tcBorders>
            <w:noWrap w:val="0"/>
            <w:vAlign w:val="center"/>
          </w:tcPr>
          <w:p w14:paraId="6119B230">
            <w:pPr>
              <w:rPr>
                <w:rFonts w:hint="eastAsia" w:ascii="宋体" w:hAnsi="宋体" w:eastAsia="宋体" w:cs="宋体"/>
                <w:color w:val="auto"/>
                <w:szCs w:val="22"/>
                <w:highlight w:val="none"/>
              </w:rPr>
            </w:pPr>
          </w:p>
        </w:tc>
        <w:tc>
          <w:tcPr>
            <w:tcW w:w="957" w:type="dxa"/>
            <w:tcBorders>
              <w:top w:val="single" w:color="auto" w:sz="4" w:space="0"/>
              <w:left w:val="single" w:color="auto" w:sz="4" w:space="0"/>
              <w:bottom w:val="single" w:color="auto" w:sz="4" w:space="0"/>
              <w:right w:val="single" w:color="auto" w:sz="4" w:space="0"/>
            </w:tcBorders>
            <w:noWrap w:val="0"/>
            <w:vAlign w:val="top"/>
          </w:tcPr>
          <w:p w14:paraId="2EFFE5BD">
            <w:pPr>
              <w:rPr>
                <w:rFonts w:hint="eastAsia" w:ascii="宋体" w:hAnsi="宋体" w:eastAsia="宋体" w:cs="宋体"/>
                <w:color w:val="auto"/>
                <w:szCs w:val="22"/>
                <w:highlight w:val="none"/>
              </w:rPr>
            </w:pPr>
          </w:p>
        </w:tc>
        <w:tc>
          <w:tcPr>
            <w:tcW w:w="957" w:type="dxa"/>
            <w:tcBorders>
              <w:top w:val="single" w:color="auto" w:sz="4" w:space="0"/>
              <w:left w:val="single" w:color="auto" w:sz="4" w:space="0"/>
              <w:bottom w:val="single" w:color="auto" w:sz="4" w:space="0"/>
              <w:right w:val="single" w:color="auto" w:sz="4" w:space="0"/>
            </w:tcBorders>
            <w:noWrap w:val="0"/>
            <w:vAlign w:val="center"/>
          </w:tcPr>
          <w:p w14:paraId="440B6F4E">
            <w:pPr>
              <w:rPr>
                <w:rFonts w:hint="eastAsia" w:ascii="宋体" w:hAnsi="宋体" w:eastAsia="宋体" w:cs="宋体"/>
                <w:color w:val="auto"/>
                <w:szCs w:val="22"/>
                <w:highlight w:val="none"/>
              </w:rPr>
            </w:pPr>
          </w:p>
        </w:tc>
      </w:tr>
      <w:tr w14:paraId="3C73C6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trPr>
        <w:tc>
          <w:tcPr>
            <w:tcW w:w="9813" w:type="dxa"/>
            <w:gridSpan w:val="8"/>
            <w:tcBorders>
              <w:top w:val="single" w:color="auto" w:sz="4" w:space="0"/>
              <w:left w:val="single" w:color="auto" w:sz="4" w:space="0"/>
              <w:bottom w:val="single" w:color="auto" w:sz="4" w:space="0"/>
              <w:right w:val="single" w:color="auto" w:sz="4" w:space="0"/>
            </w:tcBorders>
            <w:noWrap w:val="0"/>
            <w:vAlign w:val="top"/>
          </w:tcPr>
          <w:p w14:paraId="4101AB65">
            <w:pPr>
              <w:rPr>
                <w:rFonts w:hint="eastAsia" w:ascii="宋体" w:hAnsi="宋体" w:eastAsia="宋体" w:cs="宋体"/>
                <w:color w:val="auto"/>
                <w:szCs w:val="22"/>
                <w:highlight w:val="none"/>
              </w:rPr>
            </w:pPr>
            <w:r>
              <w:rPr>
                <w:rFonts w:hint="eastAsia" w:ascii="宋体" w:hAnsi="宋体" w:eastAsia="宋体" w:cs="宋体"/>
                <w:color w:val="auto"/>
                <w:szCs w:val="22"/>
                <w:highlight w:val="none"/>
              </w:rPr>
              <w:t>报价合计（包含税费等所有费用）：（大写）人民币（￥元）</w:t>
            </w:r>
          </w:p>
        </w:tc>
      </w:tr>
      <w:tr w14:paraId="222CED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trPr>
        <w:tc>
          <w:tcPr>
            <w:tcW w:w="9813" w:type="dxa"/>
            <w:gridSpan w:val="8"/>
            <w:tcBorders>
              <w:top w:val="single" w:color="auto" w:sz="4" w:space="0"/>
              <w:left w:val="single" w:color="auto" w:sz="4" w:space="0"/>
              <w:bottom w:val="single" w:color="auto" w:sz="4" w:space="0"/>
              <w:right w:val="single" w:color="auto" w:sz="4" w:space="0"/>
            </w:tcBorders>
            <w:noWrap w:val="0"/>
            <w:vAlign w:val="top"/>
          </w:tcPr>
          <w:p w14:paraId="1E030F57">
            <w:pPr>
              <w:rPr>
                <w:rFonts w:hint="eastAsia" w:ascii="宋体" w:hAnsi="宋体" w:eastAsia="宋体" w:cs="宋体"/>
                <w:color w:val="auto"/>
                <w:szCs w:val="22"/>
                <w:highlight w:val="none"/>
              </w:rPr>
            </w:pPr>
            <w:r>
              <w:rPr>
                <w:rFonts w:hint="eastAsia" w:ascii="宋体" w:hAnsi="宋体" w:eastAsia="宋体" w:cs="宋体"/>
                <w:color w:val="auto"/>
                <w:szCs w:val="21"/>
                <w:highlight w:val="none"/>
                <w:u w:val="single"/>
              </w:rPr>
              <w:t>　　</w:t>
            </w:r>
            <w:r>
              <w:rPr>
                <w:rFonts w:hint="eastAsia" w:ascii="宋体" w:hAnsi="宋体" w:eastAsia="宋体" w:cs="宋体"/>
                <w:color w:val="auto"/>
                <w:szCs w:val="21"/>
                <w:highlight w:val="none"/>
              </w:rPr>
              <w:t>分标（此处有分标时填写具体分标号，无分标时填写“无”）</w:t>
            </w:r>
          </w:p>
        </w:tc>
      </w:tr>
      <w:tr w14:paraId="02514B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24" w:hRule="atLeast"/>
        </w:trPr>
        <w:tc>
          <w:tcPr>
            <w:tcW w:w="9813" w:type="dxa"/>
            <w:gridSpan w:val="8"/>
            <w:tcBorders>
              <w:top w:val="single" w:color="auto" w:sz="4" w:space="0"/>
              <w:left w:val="single" w:color="auto" w:sz="4" w:space="0"/>
              <w:bottom w:val="single" w:color="auto" w:sz="4" w:space="0"/>
              <w:right w:val="single" w:color="auto" w:sz="4" w:space="0"/>
            </w:tcBorders>
            <w:noWrap w:val="0"/>
            <w:vAlign w:val="top"/>
          </w:tcPr>
          <w:p w14:paraId="30BFBAB2">
            <w:pPr>
              <w:rPr>
                <w:rFonts w:hint="eastAsia" w:ascii="宋体" w:hAnsi="宋体" w:eastAsia="宋体" w:cs="宋体"/>
                <w:color w:val="auto"/>
                <w:szCs w:val="22"/>
                <w:highlight w:val="none"/>
              </w:rPr>
            </w:pPr>
            <w:r>
              <w:rPr>
                <w:rFonts w:hint="eastAsia" w:ascii="宋体" w:hAnsi="宋体" w:eastAsia="宋体" w:cs="宋体"/>
                <w:color w:val="auto"/>
                <w:szCs w:val="22"/>
                <w:highlight w:val="none"/>
              </w:rPr>
              <w:t>验收标准：</w:t>
            </w:r>
          </w:p>
        </w:tc>
      </w:tr>
    </w:tbl>
    <w:p w14:paraId="4F707C70">
      <w:pPr>
        <w:snapToGrid w:val="0"/>
        <w:spacing w:before="50" w:after="50" w:line="360" w:lineRule="auto"/>
        <w:ind w:firstLine="480" w:firstLineChars="200"/>
        <w:jc w:val="left"/>
        <w:rPr>
          <w:rFonts w:hint="eastAsia" w:ascii="宋体" w:hAnsi="宋体" w:eastAsia="宋体" w:cs="宋体"/>
          <w:color w:val="auto"/>
          <w:kern w:val="0"/>
          <w:sz w:val="24"/>
          <w:highlight w:val="none"/>
          <w:lang w:val="zh-CN"/>
        </w:rPr>
      </w:pPr>
      <w:r>
        <w:rPr>
          <w:rFonts w:hint="eastAsia" w:ascii="宋体" w:hAnsi="宋体" w:eastAsia="宋体" w:cs="宋体"/>
          <w:color w:val="auto"/>
          <w:kern w:val="0"/>
          <w:sz w:val="24"/>
          <w:highlight w:val="none"/>
          <w:lang w:val="zh-CN"/>
        </w:rPr>
        <w:t>注：</w:t>
      </w:r>
    </w:p>
    <w:p w14:paraId="5D104777">
      <w:pPr>
        <w:snapToGrid w:val="0"/>
        <w:spacing w:before="50" w:after="50" w:line="360" w:lineRule="auto"/>
        <w:ind w:firstLine="480" w:firstLineChars="200"/>
        <w:jc w:val="left"/>
        <w:rPr>
          <w:rFonts w:hint="eastAsia" w:ascii="宋体" w:hAnsi="宋体" w:eastAsia="宋体" w:cs="宋体"/>
          <w:color w:val="auto"/>
          <w:kern w:val="0"/>
          <w:sz w:val="24"/>
          <w:highlight w:val="none"/>
          <w:lang w:val="zh-CN"/>
        </w:rPr>
      </w:pPr>
      <w:r>
        <w:rPr>
          <w:rFonts w:hint="eastAsia" w:ascii="宋体" w:hAnsi="宋体" w:eastAsia="宋体" w:cs="宋体"/>
          <w:color w:val="auto"/>
          <w:kern w:val="0"/>
          <w:sz w:val="24"/>
          <w:highlight w:val="none"/>
          <w:lang w:val="zh-CN"/>
        </w:rPr>
        <w:t>1、投标人需按本表格式填写，不得自行更改，也不得留空,如有多分标，按分标分别提供开标一览表，必须加盖投标人有效电子公章，</w:t>
      </w:r>
      <w:r>
        <w:rPr>
          <w:rFonts w:hint="eastAsia" w:ascii="宋体" w:hAnsi="宋体" w:eastAsia="宋体" w:cs="宋体"/>
          <w:b/>
          <w:color w:val="auto"/>
          <w:kern w:val="0"/>
          <w:sz w:val="24"/>
          <w:highlight w:val="none"/>
          <w:lang w:val="zh-CN"/>
        </w:rPr>
        <w:t>否则其投标作无效标处理。</w:t>
      </w:r>
    </w:p>
    <w:p w14:paraId="59F86008">
      <w:pPr>
        <w:snapToGrid w:val="0"/>
        <w:spacing w:before="50" w:after="50" w:line="360" w:lineRule="auto"/>
        <w:ind w:firstLine="480" w:firstLineChars="200"/>
        <w:jc w:val="left"/>
        <w:rPr>
          <w:rFonts w:hint="eastAsia" w:ascii="宋体" w:hAnsi="宋体" w:eastAsia="宋体" w:cs="宋体"/>
          <w:color w:val="auto"/>
          <w:kern w:val="0"/>
          <w:sz w:val="24"/>
          <w:highlight w:val="none"/>
          <w:lang w:val="zh-CN"/>
        </w:rPr>
      </w:pPr>
      <w:r>
        <w:rPr>
          <w:rFonts w:hint="eastAsia" w:ascii="宋体" w:hAnsi="宋体" w:eastAsia="宋体" w:cs="宋体"/>
          <w:color w:val="auto"/>
          <w:kern w:val="0"/>
          <w:sz w:val="24"/>
          <w:highlight w:val="none"/>
          <w:lang w:val="zh-CN"/>
        </w:rPr>
        <w:t>2、本表内容均不能涂改，</w:t>
      </w:r>
      <w:r>
        <w:rPr>
          <w:rFonts w:hint="eastAsia" w:ascii="宋体" w:hAnsi="宋体" w:eastAsia="宋体" w:cs="宋体"/>
          <w:b/>
          <w:color w:val="auto"/>
          <w:kern w:val="0"/>
          <w:sz w:val="24"/>
          <w:highlight w:val="none"/>
          <w:lang w:val="zh-CN"/>
        </w:rPr>
        <w:t>否则其投标作无效标处理。</w:t>
      </w:r>
    </w:p>
    <w:p w14:paraId="333C4C30">
      <w:pPr>
        <w:snapToGrid w:val="0"/>
        <w:spacing w:before="50" w:after="50" w:line="360" w:lineRule="auto"/>
        <w:ind w:firstLine="480" w:firstLineChars="200"/>
        <w:jc w:val="left"/>
        <w:rPr>
          <w:rFonts w:hint="eastAsia" w:ascii="宋体" w:hAnsi="宋体" w:eastAsia="宋体" w:cs="宋体"/>
          <w:b/>
          <w:color w:val="auto"/>
          <w:kern w:val="0"/>
          <w:sz w:val="24"/>
          <w:highlight w:val="none"/>
          <w:lang w:val="zh-CN"/>
        </w:rPr>
      </w:pPr>
      <w:r>
        <w:rPr>
          <w:rFonts w:hint="eastAsia" w:ascii="宋体" w:hAnsi="宋体" w:eastAsia="宋体" w:cs="宋体"/>
          <w:color w:val="auto"/>
          <w:kern w:val="0"/>
          <w:sz w:val="24"/>
          <w:highlight w:val="none"/>
          <w:lang w:val="zh-CN"/>
        </w:rPr>
        <w:t>3、如为联合体投标，“投标人名称”处必须列明联合体各方名称，并标注联合体牵头人名称，且盖章处须加盖联合体各方公章，</w:t>
      </w:r>
      <w:r>
        <w:rPr>
          <w:rFonts w:hint="eastAsia" w:ascii="宋体" w:hAnsi="宋体" w:eastAsia="宋体" w:cs="宋体"/>
          <w:b/>
          <w:color w:val="auto"/>
          <w:kern w:val="0"/>
          <w:sz w:val="24"/>
          <w:highlight w:val="none"/>
          <w:lang w:val="zh-CN"/>
        </w:rPr>
        <w:t>否则其投标作无效标处理。</w:t>
      </w:r>
    </w:p>
    <w:p w14:paraId="44F7E22F">
      <w:pPr>
        <w:snapToGrid w:val="0"/>
        <w:spacing w:line="360" w:lineRule="auto"/>
        <w:ind w:firstLine="480" w:firstLineChars="200"/>
        <w:jc w:val="left"/>
        <w:rPr>
          <w:rFonts w:hint="eastAsia" w:ascii="宋体" w:hAnsi="宋体" w:eastAsia="宋体" w:cs="宋体"/>
          <w:color w:val="auto"/>
          <w:kern w:val="0"/>
          <w:sz w:val="24"/>
          <w:highlight w:val="none"/>
          <w:lang w:val="zh-CN"/>
        </w:rPr>
      </w:pPr>
      <w:r>
        <w:rPr>
          <w:rFonts w:hint="eastAsia" w:ascii="宋体" w:hAnsi="宋体" w:eastAsia="宋体" w:cs="宋体"/>
          <w:color w:val="auto"/>
          <w:kern w:val="0"/>
          <w:sz w:val="24"/>
          <w:highlight w:val="none"/>
          <w:lang w:val="zh-CN"/>
        </w:rPr>
        <w:t>4、以上表格要求细分项目及报价，在“具体服务内容”一栏中，填写具体服务范围、服务时间、服务标准。</w:t>
      </w:r>
    </w:p>
    <w:p w14:paraId="73639ED5">
      <w:pPr>
        <w:snapToGrid w:val="0"/>
        <w:spacing w:line="360" w:lineRule="auto"/>
        <w:ind w:firstLine="480" w:firstLineChars="200"/>
        <w:jc w:val="left"/>
        <w:rPr>
          <w:rFonts w:hint="eastAsia" w:ascii="宋体" w:hAnsi="宋体" w:eastAsia="宋体" w:cs="宋体"/>
          <w:color w:val="auto"/>
          <w:kern w:val="0"/>
          <w:sz w:val="24"/>
          <w:highlight w:val="none"/>
          <w:lang w:val="zh-CN"/>
        </w:rPr>
      </w:pPr>
      <w:r>
        <w:rPr>
          <w:rFonts w:hint="eastAsia" w:ascii="宋体" w:hAnsi="宋体" w:eastAsia="宋体" w:cs="宋体"/>
          <w:color w:val="auto"/>
          <w:kern w:val="0"/>
          <w:sz w:val="24"/>
          <w:highlight w:val="none"/>
          <w:lang w:val="zh-CN"/>
        </w:rPr>
        <w:t>5、特别提示：采购机构将对项目名称和项目编号，中标供应商名称、地址和中标金额，主要中标标的的名称、服务范围、服务要求、服务时间、服务标准等予以公示。</w:t>
      </w:r>
    </w:p>
    <w:p w14:paraId="4407F461">
      <w:pPr>
        <w:snapToGrid w:val="0"/>
        <w:spacing w:line="360" w:lineRule="auto"/>
        <w:ind w:firstLine="480" w:firstLineChars="200"/>
        <w:jc w:val="left"/>
        <w:rPr>
          <w:rFonts w:hint="eastAsia" w:ascii="宋体" w:hAnsi="宋体" w:eastAsia="宋体" w:cs="宋体"/>
          <w:color w:val="auto"/>
          <w:kern w:val="0"/>
          <w:sz w:val="24"/>
          <w:highlight w:val="none"/>
          <w:lang w:val="zh-CN"/>
        </w:rPr>
      </w:pPr>
      <w:r>
        <w:rPr>
          <w:rFonts w:hint="eastAsia" w:ascii="宋体" w:hAnsi="宋体" w:eastAsia="宋体" w:cs="宋体"/>
          <w:color w:val="auto"/>
          <w:kern w:val="0"/>
          <w:sz w:val="24"/>
          <w:szCs w:val="22"/>
          <w:highlight w:val="none"/>
          <w:lang w:val="zh-CN"/>
        </w:rPr>
        <w:t>6、</w:t>
      </w:r>
      <w:r>
        <w:rPr>
          <w:rFonts w:hint="eastAsia" w:ascii="宋体" w:hAnsi="宋体" w:eastAsia="宋体" w:cs="宋体"/>
          <w:color w:val="auto"/>
          <w:kern w:val="0"/>
          <w:sz w:val="24"/>
          <w:highlight w:val="none"/>
          <w:lang w:val="zh-CN"/>
        </w:rPr>
        <w:t>符合招标文件中列明的可享受中小企业扶持政策的投标人，请填写中小企业声明函。注：投标人提供的中小企业声明函内容不实的，属于提供虚假材料谋取中标、成交，依照《中华人民共和国政府采购法》等国家有关规定追究相应责任。</w:t>
      </w:r>
    </w:p>
    <w:p w14:paraId="1ED573C6">
      <w:pPr>
        <w:snapToGrid w:val="0"/>
        <w:spacing w:line="360" w:lineRule="auto"/>
        <w:ind w:firstLine="5040" w:firstLineChars="2100"/>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lang w:val="zh-CN"/>
        </w:rPr>
        <w:t>投标人名称(电子签章)：</w:t>
      </w:r>
    </w:p>
    <w:p w14:paraId="00846D8B">
      <w:pPr>
        <w:snapToGrid w:val="0"/>
        <w:spacing w:line="360" w:lineRule="auto"/>
        <w:ind w:firstLine="5160" w:firstLineChars="2150"/>
        <w:rPr>
          <w:rFonts w:hint="eastAsia" w:ascii="宋体" w:hAnsi="宋体" w:eastAsia="宋体" w:cs="宋体"/>
          <w:color w:val="auto"/>
          <w:kern w:val="0"/>
          <w:sz w:val="24"/>
          <w:highlight w:val="none"/>
          <w:lang w:val="zh-CN"/>
        </w:rPr>
      </w:pPr>
      <w:r>
        <w:rPr>
          <w:rFonts w:hint="eastAsia" w:ascii="宋体" w:hAnsi="宋体" w:eastAsia="宋体" w:cs="宋体"/>
          <w:color w:val="auto"/>
          <w:kern w:val="0"/>
          <w:sz w:val="24"/>
          <w:highlight w:val="none"/>
          <w:lang w:val="zh-CN"/>
        </w:rPr>
        <w:t>日期</w:t>
      </w:r>
      <w:r>
        <w:rPr>
          <w:rFonts w:hint="eastAsia" w:ascii="宋体" w:hAnsi="宋体" w:eastAsia="宋体" w:cs="宋体"/>
          <w:color w:val="auto"/>
          <w:kern w:val="0"/>
          <w:sz w:val="24"/>
          <w:highlight w:val="none"/>
        </w:rPr>
        <w:t>：年</w:t>
      </w:r>
      <w:r>
        <w:rPr>
          <w:rFonts w:hint="eastAsia" w:ascii="宋体" w:hAnsi="宋体" w:eastAsia="宋体" w:cs="宋体"/>
          <w:color w:val="auto"/>
          <w:kern w:val="0"/>
          <w:sz w:val="24"/>
          <w:highlight w:val="none"/>
          <w:lang w:val="zh-CN"/>
        </w:rPr>
        <w:t>月日</w:t>
      </w:r>
    </w:p>
    <w:p w14:paraId="3279A840">
      <w:pPr>
        <w:widowControl/>
        <w:jc w:val="left"/>
        <w:rPr>
          <w:rFonts w:hint="eastAsia" w:ascii="宋体" w:hAnsi="宋体" w:eastAsia="宋体" w:cs="宋体"/>
          <w:color w:val="auto"/>
          <w:sz w:val="30"/>
          <w:szCs w:val="20"/>
          <w:highlight w:val="none"/>
        </w:rPr>
        <w:sectPr>
          <w:pgSz w:w="11906" w:h="16838"/>
          <w:pgMar w:top="1134" w:right="1134" w:bottom="1134" w:left="1134" w:header="720" w:footer="720" w:gutter="0"/>
          <w:cols w:space="720" w:num="1"/>
          <w:docGrid w:type="lines" w:linePitch="331" w:charSpace="0"/>
        </w:sectPr>
      </w:pPr>
    </w:p>
    <w:p w14:paraId="739DF1AD">
      <w:pPr>
        <w:pStyle w:val="18"/>
        <w:jc w:val="center"/>
        <w:rPr>
          <w:rFonts w:hint="eastAsia" w:ascii="宋体" w:hAnsi="宋体" w:eastAsia="宋体" w:cs="宋体"/>
          <w:b/>
          <w:color w:val="auto"/>
          <w:sz w:val="30"/>
          <w:szCs w:val="30"/>
          <w:highlight w:val="none"/>
        </w:rPr>
      </w:pPr>
      <w:r>
        <w:rPr>
          <w:rFonts w:hint="eastAsia" w:ascii="宋体" w:hAnsi="宋体" w:eastAsia="宋体" w:cs="宋体"/>
          <w:b/>
          <w:color w:val="auto"/>
          <w:sz w:val="30"/>
          <w:szCs w:val="30"/>
          <w:highlight w:val="none"/>
        </w:rPr>
        <w:t>三、中小企业声明函</w:t>
      </w:r>
    </w:p>
    <w:p w14:paraId="0513E5C9">
      <w:pPr>
        <w:pStyle w:val="15"/>
        <w:spacing w:line="240" w:lineRule="auto"/>
        <w:ind w:firstLine="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说明：</w:t>
      </w:r>
    </w:p>
    <w:p w14:paraId="2D62C621">
      <w:pPr>
        <w:pStyle w:val="15"/>
        <w:spacing w:line="240" w:lineRule="auto"/>
        <w:ind w:firstLine="404"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1、本声明函主要供参加政府采购活动的中小企业填写，非中小企业无需填写。</w:t>
      </w:r>
    </w:p>
    <w:p w14:paraId="675B2CCB">
      <w:pPr>
        <w:pStyle w:val="15"/>
        <w:spacing w:line="240" w:lineRule="auto"/>
        <w:ind w:firstLine="404"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2、小型、微型企业提供中型企业提供的服务的，视同为中型企业。</w:t>
      </w:r>
    </w:p>
    <w:p w14:paraId="20E925CF">
      <w:pPr>
        <w:pStyle w:val="15"/>
        <w:spacing w:line="240" w:lineRule="auto"/>
        <w:ind w:firstLine="404" w:firstLineChars="200"/>
        <w:rPr>
          <w:rFonts w:hint="eastAsia" w:ascii="宋体" w:hAnsi="宋体" w:eastAsia="宋体" w:cs="宋体"/>
          <w:color w:val="auto"/>
          <w:sz w:val="21"/>
          <w:szCs w:val="21"/>
          <w:highlight w:val="none"/>
        </w:rPr>
      </w:pPr>
    </w:p>
    <w:p w14:paraId="30086460">
      <w:pPr>
        <w:pStyle w:val="14"/>
        <w:spacing w:line="500" w:lineRule="exact"/>
        <w:ind w:right="142"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本公司（联合体）郑重声明，根据《政府采购促进中小企业发展管理办法》（财库﹝2020﹞46号）的规定，本公司（联合体）参加</w:t>
      </w:r>
      <w:r>
        <w:rPr>
          <w:rFonts w:hint="eastAsia" w:ascii="宋体" w:hAnsi="宋体" w:eastAsia="宋体" w:cs="宋体"/>
          <w:color w:val="auto"/>
          <w:highlight w:val="none"/>
          <w:u w:val="single"/>
        </w:rPr>
        <w:t>（</w:t>
      </w:r>
      <w:r>
        <w:rPr>
          <w:rFonts w:hint="eastAsia" w:ascii="宋体" w:hAnsi="宋体" w:eastAsia="宋体" w:cs="宋体"/>
          <w:color w:val="auto"/>
          <w:highlight w:val="none"/>
          <w:u w:val="single"/>
          <w:lang w:val="en-US" w:eastAsia="zh-CN"/>
        </w:rPr>
        <w:t>采购人名称</w:t>
      </w:r>
      <w:r>
        <w:rPr>
          <w:rFonts w:hint="eastAsia" w:ascii="宋体" w:hAnsi="宋体" w:eastAsia="宋体" w:cs="宋体"/>
          <w:color w:val="auto"/>
          <w:highlight w:val="none"/>
          <w:u w:val="single"/>
        </w:rPr>
        <w:t>）</w:t>
      </w:r>
      <w:r>
        <w:rPr>
          <w:rFonts w:hint="eastAsia" w:ascii="宋体" w:hAnsi="宋体" w:eastAsia="宋体" w:cs="宋体"/>
          <w:color w:val="auto"/>
          <w:highlight w:val="none"/>
        </w:rPr>
        <w:t>的</w:t>
      </w:r>
      <w:r>
        <w:rPr>
          <w:rFonts w:hint="eastAsia" w:ascii="宋体" w:hAnsi="宋体" w:eastAsia="宋体" w:cs="宋体"/>
          <w:color w:val="auto"/>
          <w:highlight w:val="none"/>
          <w:u w:val="single"/>
        </w:rPr>
        <w:t>（项目名称）</w:t>
      </w:r>
      <w:r>
        <w:rPr>
          <w:rFonts w:hint="eastAsia" w:ascii="宋体" w:hAnsi="宋体" w:eastAsia="宋体" w:cs="宋体"/>
          <w:color w:val="auto"/>
          <w:highlight w:val="none"/>
        </w:rPr>
        <w:t>采购活动，服务全部由符合政策要求的中小企业承接。相关企业（含联合体中的中小企业、签订分包意向协议的中小企业）的具体情况如下：</w:t>
      </w:r>
    </w:p>
    <w:p w14:paraId="2C46D7F0">
      <w:pPr>
        <w:tabs>
          <w:tab w:val="left" w:pos="1384"/>
          <w:tab w:val="left" w:pos="4562"/>
          <w:tab w:val="left" w:pos="6803"/>
        </w:tabs>
        <w:spacing w:before="13" w:line="500" w:lineRule="exact"/>
        <w:ind w:right="142" w:firstLine="600" w:firstLineChars="286"/>
        <w:rPr>
          <w:rFonts w:hint="eastAsia" w:ascii="宋体" w:hAnsi="宋体" w:eastAsia="宋体" w:cs="宋体"/>
          <w:color w:val="auto"/>
          <w:szCs w:val="21"/>
          <w:highlight w:val="none"/>
        </w:rPr>
      </w:pPr>
      <w:r>
        <w:rPr>
          <w:rFonts w:hint="eastAsia" w:ascii="宋体" w:hAnsi="宋体" w:eastAsia="宋体" w:cs="宋体"/>
          <w:color w:val="auto"/>
          <w:szCs w:val="21"/>
          <w:highlight w:val="none"/>
        </w:rPr>
        <w:t>1.</w:t>
      </w:r>
      <w:r>
        <w:rPr>
          <w:rFonts w:hint="eastAsia" w:ascii="宋体" w:hAnsi="宋体" w:eastAsia="宋体" w:cs="宋体"/>
          <w:color w:val="auto"/>
          <w:szCs w:val="21"/>
          <w:highlight w:val="none"/>
          <w:u w:val="single"/>
        </w:rPr>
        <w:t>（标的名称）</w:t>
      </w:r>
      <w:r>
        <w:rPr>
          <w:rFonts w:hint="eastAsia" w:ascii="宋体" w:hAnsi="宋体" w:eastAsia="宋体" w:cs="宋体"/>
          <w:color w:val="auto"/>
          <w:szCs w:val="21"/>
          <w:highlight w:val="none"/>
        </w:rPr>
        <w:t>，属于</w:t>
      </w:r>
      <w:r>
        <w:rPr>
          <w:rFonts w:hint="eastAsia" w:ascii="宋体" w:hAnsi="宋体" w:eastAsia="宋体" w:cs="宋体"/>
          <w:color w:val="auto"/>
          <w:szCs w:val="21"/>
          <w:highlight w:val="none"/>
          <w:u w:val="single"/>
        </w:rPr>
        <w:t>（采购文件中明确的所属行业）</w:t>
      </w:r>
      <w:r>
        <w:rPr>
          <w:rFonts w:hint="eastAsia" w:ascii="宋体" w:hAnsi="宋体" w:eastAsia="宋体" w:cs="宋体"/>
          <w:color w:val="auto"/>
          <w:szCs w:val="21"/>
          <w:highlight w:val="none"/>
        </w:rPr>
        <w:t>；承接企业为</w:t>
      </w:r>
      <w:r>
        <w:rPr>
          <w:rFonts w:hint="eastAsia" w:ascii="宋体" w:hAnsi="宋体" w:eastAsia="宋体" w:cs="宋体"/>
          <w:color w:val="auto"/>
          <w:szCs w:val="21"/>
          <w:highlight w:val="none"/>
          <w:u w:val="single"/>
        </w:rPr>
        <w:t>（企业名称）</w:t>
      </w:r>
      <w:r>
        <w:rPr>
          <w:rFonts w:hint="eastAsia" w:ascii="宋体" w:hAnsi="宋体" w:eastAsia="宋体" w:cs="宋体"/>
          <w:color w:val="auto"/>
          <w:szCs w:val="21"/>
          <w:highlight w:val="none"/>
        </w:rPr>
        <w:t>，从业人员人，营业收入为万元，资产总额为万元，属于</w:t>
      </w:r>
      <w:r>
        <w:rPr>
          <w:rFonts w:hint="eastAsia" w:ascii="宋体" w:hAnsi="宋体" w:eastAsia="宋体" w:cs="宋体"/>
          <w:color w:val="auto"/>
          <w:szCs w:val="21"/>
          <w:highlight w:val="none"/>
          <w:u w:val="single"/>
        </w:rPr>
        <w:t>（中型企业、小型企业、微型企业）</w:t>
      </w:r>
      <w:r>
        <w:rPr>
          <w:rFonts w:hint="eastAsia" w:ascii="宋体" w:hAnsi="宋体" w:eastAsia="宋体" w:cs="宋体"/>
          <w:color w:val="auto"/>
          <w:szCs w:val="21"/>
          <w:highlight w:val="none"/>
        </w:rPr>
        <w:t>；</w:t>
      </w:r>
    </w:p>
    <w:p w14:paraId="49A16F51">
      <w:pPr>
        <w:tabs>
          <w:tab w:val="left" w:pos="1065"/>
          <w:tab w:val="left" w:pos="4262"/>
          <w:tab w:val="left" w:pos="6477"/>
        </w:tabs>
        <w:spacing w:before="20" w:line="500" w:lineRule="exact"/>
        <w:ind w:right="84" w:firstLine="600" w:firstLineChars="286"/>
        <w:rPr>
          <w:rFonts w:hint="eastAsia" w:ascii="宋体" w:hAnsi="宋体" w:eastAsia="宋体" w:cs="宋体"/>
          <w:color w:val="auto"/>
          <w:szCs w:val="21"/>
          <w:highlight w:val="none"/>
          <w:u w:val="single"/>
        </w:rPr>
      </w:pPr>
      <w:r>
        <w:rPr>
          <w:rFonts w:hint="eastAsia" w:ascii="宋体" w:hAnsi="宋体" w:eastAsia="宋体" w:cs="宋体"/>
          <w:color w:val="auto"/>
          <w:szCs w:val="21"/>
          <w:highlight w:val="none"/>
        </w:rPr>
        <w:t>2.</w:t>
      </w:r>
      <w:r>
        <w:rPr>
          <w:rFonts w:hint="eastAsia" w:ascii="宋体" w:hAnsi="宋体" w:eastAsia="宋体" w:cs="宋体"/>
          <w:color w:val="auto"/>
          <w:szCs w:val="21"/>
          <w:highlight w:val="none"/>
          <w:u w:val="single"/>
        </w:rPr>
        <w:t>（标的名称）</w:t>
      </w:r>
      <w:r>
        <w:rPr>
          <w:rFonts w:hint="eastAsia" w:ascii="宋体" w:hAnsi="宋体" w:eastAsia="宋体" w:cs="宋体"/>
          <w:color w:val="auto"/>
          <w:szCs w:val="21"/>
          <w:highlight w:val="none"/>
        </w:rPr>
        <w:t>，属于</w:t>
      </w:r>
      <w:r>
        <w:rPr>
          <w:rFonts w:hint="eastAsia" w:ascii="宋体" w:hAnsi="宋体" w:eastAsia="宋体" w:cs="宋体"/>
          <w:color w:val="auto"/>
          <w:szCs w:val="21"/>
          <w:highlight w:val="none"/>
          <w:u w:val="single"/>
        </w:rPr>
        <w:t>（采购文件中明确的所属行业）</w:t>
      </w:r>
      <w:r>
        <w:rPr>
          <w:rFonts w:hint="eastAsia" w:ascii="宋体" w:hAnsi="宋体" w:eastAsia="宋体" w:cs="宋体"/>
          <w:color w:val="auto"/>
          <w:szCs w:val="21"/>
          <w:highlight w:val="none"/>
        </w:rPr>
        <w:t>；承接企业为</w:t>
      </w:r>
      <w:r>
        <w:rPr>
          <w:rFonts w:hint="eastAsia" w:ascii="宋体" w:hAnsi="宋体" w:eastAsia="宋体" w:cs="宋体"/>
          <w:color w:val="auto"/>
          <w:szCs w:val="21"/>
          <w:highlight w:val="none"/>
          <w:u w:val="single"/>
        </w:rPr>
        <w:t>（企业名称）</w:t>
      </w:r>
      <w:r>
        <w:rPr>
          <w:rFonts w:hint="eastAsia" w:ascii="宋体" w:hAnsi="宋体" w:eastAsia="宋体" w:cs="宋体"/>
          <w:color w:val="auto"/>
          <w:szCs w:val="21"/>
          <w:highlight w:val="none"/>
        </w:rPr>
        <w:t>，从业人员人，营业收入为万元，资产总额为万元，属于</w:t>
      </w:r>
      <w:r>
        <w:rPr>
          <w:rFonts w:hint="eastAsia" w:ascii="宋体" w:hAnsi="宋体" w:eastAsia="宋体" w:cs="宋体"/>
          <w:color w:val="auto"/>
          <w:szCs w:val="21"/>
          <w:highlight w:val="none"/>
          <w:u w:val="single"/>
        </w:rPr>
        <w:t>（中型企业、小型企业、微型企业）</w:t>
      </w:r>
      <w:r>
        <w:rPr>
          <w:rFonts w:hint="eastAsia" w:ascii="宋体" w:hAnsi="宋体" w:eastAsia="宋体" w:cs="宋体"/>
          <w:color w:val="auto"/>
          <w:szCs w:val="21"/>
          <w:highlight w:val="none"/>
        </w:rPr>
        <w:t>；</w:t>
      </w:r>
    </w:p>
    <w:p w14:paraId="63407783">
      <w:pPr>
        <w:pStyle w:val="14"/>
        <w:spacing w:before="34" w:line="500" w:lineRule="exact"/>
        <w:ind w:left="765" w:right="142" w:hanging="5"/>
        <w:rPr>
          <w:rFonts w:hint="eastAsia" w:ascii="宋体" w:hAnsi="宋体" w:eastAsia="宋体" w:cs="宋体"/>
          <w:color w:val="auto"/>
          <w:highlight w:val="none"/>
          <w:lang w:eastAsia="zh-CN"/>
        </w:rPr>
      </w:pPr>
      <w:r>
        <w:rPr>
          <w:rFonts w:hint="eastAsia" w:ascii="宋体" w:hAnsi="宋体" w:eastAsia="宋体" w:cs="宋体"/>
          <w:color w:val="auto"/>
          <w:highlight w:val="none"/>
        </w:rPr>
        <w:t>……</w:t>
      </w:r>
    </w:p>
    <w:p w14:paraId="22DFBA1E">
      <w:pPr>
        <w:pStyle w:val="14"/>
        <w:spacing w:before="34" w:line="500" w:lineRule="exact"/>
        <w:ind w:right="142"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以上企业，不属于大企业的分支机构，不存在控股股东为大企业的情形，也不存在与大企业的负责人为同一人的情形。</w:t>
      </w:r>
    </w:p>
    <w:p w14:paraId="2684ED5C">
      <w:pPr>
        <w:pStyle w:val="14"/>
        <w:spacing w:before="34" w:line="500" w:lineRule="exact"/>
        <w:ind w:right="142"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本企业对上述声明内容的真实性负责。如有虚假，将依法承担相应责任。</w:t>
      </w:r>
    </w:p>
    <w:p w14:paraId="2A7215B8">
      <w:pPr>
        <w:pStyle w:val="18"/>
        <w:spacing w:line="360" w:lineRule="auto"/>
        <w:ind w:firstLine="420" w:firstLineChars="200"/>
        <w:rPr>
          <w:rFonts w:hint="eastAsia" w:ascii="宋体" w:hAnsi="宋体" w:eastAsia="宋体" w:cs="宋体"/>
          <w:color w:val="auto"/>
          <w:szCs w:val="21"/>
          <w:highlight w:val="none"/>
        </w:rPr>
      </w:pPr>
    </w:p>
    <w:p w14:paraId="6922D7F4">
      <w:pPr>
        <w:pStyle w:val="18"/>
        <w:spacing w:line="360" w:lineRule="auto"/>
        <w:ind w:firstLine="420" w:firstLineChars="200"/>
        <w:rPr>
          <w:rFonts w:hint="eastAsia" w:ascii="宋体" w:hAnsi="宋体" w:eastAsia="宋体" w:cs="宋体"/>
          <w:color w:val="auto"/>
          <w:szCs w:val="21"/>
          <w:highlight w:val="none"/>
        </w:rPr>
      </w:pPr>
    </w:p>
    <w:p w14:paraId="710C1240">
      <w:pPr>
        <w:snapToGrid w:val="0"/>
        <w:spacing w:line="360" w:lineRule="auto"/>
        <w:ind w:firstLine="5040" w:firstLineChars="2100"/>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lang w:val="zh-CN"/>
        </w:rPr>
        <w:t>投标人名称(电子签章)：</w:t>
      </w:r>
    </w:p>
    <w:p w14:paraId="7280D5F5">
      <w:pPr>
        <w:snapToGrid w:val="0"/>
        <w:spacing w:line="360" w:lineRule="auto"/>
        <w:ind w:firstLine="5160" w:firstLineChars="2150"/>
        <w:rPr>
          <w:rFonts w:hint="eastAsia" w:ascii="宋体" w:hAnsi="宋体" w:eastAsia="宋体" w:cs="宋体"/>
          <w:color w:val="auto"/>
          <w:kern w:val="0"/>
          <w:sz w:val="24"/>
          <w:highlight w:val="none"/>
          <w:lang w:val="zh-CN"/>
        </w:rPr>
      </w:pPr>
      <w:r>
        <w:rPr>
          <w:rFonts w:hint="eastAsia" w:ascii="宋体" w:hAnsi="宋体" w:eastAsia="宋体" w:cs="宋体"/>
          <w:color w:val="auto"/>
          <w:kern w:val="0"/>
          <w:sz w:val="24"/>
          <w:highlight w:val="none"/>
          <w:lang w:val="zh-CN"/>
        </w:rPr>
        <w:t>日期</w:t>
      </w:r>
      <w:r>
        <w:rPr>
          <w:rFonts w:hint="eastAsia" w:ascii="宋体" w:hAnsi="宋体" w:eastAsia="宋体" w:cs="宋体"/>
          <w:color w:val="auto"/>
          <w:kern w:val="0"/>
          <w:sz w:val="24"/>
          <w:highlight w:val="none"/>
        </w:rPr>
        <w:t>：年</w:t>
      </w:r>
      <w:r>
        <w:rPr>
          <w:rFonts w:hint="eastAsia" w:ascii="宋体" w:hAnsi="宋体" w:eastAsia="宋体" w:cs="宋体"/>
          <w:color w:val="auto"/>
          <w:kern w:val="0"/>
          <w:sz w:val="24"/>
          <w:highlight w:val="none"/>
          <w:lang w:val="zh-CN"/>
        </w:rPr>
        <w:t>月日</w:t>
      </w:r>
    </w:p>
    <w:p w14:paraId="60348CB5">
      <w:pPr>
        <w:pStyle w:val="18"/>
        <w:spacing w:line="360" w:lineRule="auto"/>
        <w:ind w:firstLine="420" w:firstLineChars="200"/>
        <w:rPr>
          <w:rFonts w:hint="eastAsia" w:ascii="宋体" w:hAnsi="宋体" w:eastAsia="宋体" w:cs="宋体"/>
          <w:color w:val="auto"/>
          <w:szCs w:val="21"/>
          <w:highlight w:val="none"/>
        </w:rPr>
      </w:pPr>
    </w:p>
    <w:p w14:paraId="356496D9">
      <w:pPr>
        <w:snapToGrid w:val="0"/>
        <w:spacing w:before="50" w:after="165" w:afterLines="50" w:line="360" w:lineRule="auto"/>
        <w:jc w:val="left"/>
        <w:rPr>
          <w:rFonts w:hint="eastAsia" w:ascii="宋体" w:hAnsi="宋体" w:eastAsia="宋体" w:cs="宋体"/>
          <w:color w:val="auto"/>
          <w:sz w:val="20"/>
          <w:highlight w:val="none"/>
        </w:rPr>
      </w:pPr>
      <w:r>
        <w:rPr>
          <w:rFonts w:hint="eastAsia" w:ascii="宋体" w:hAnsi="宋体" w:eastAsia="宋体" w:cs="宋体"/>
          <w:color w:val="auto"/>
          <w:sz w:val="20"/>
          <w:highlight w:val="none"/>
        </w:rPr>
        <w:t>注：</w:t>
      </w:r>
    </w:p>
    <w:p w14:paraId="60B9D81A">
      <w:pPr>
        <w:numPr>
          <w:ilvl w:val="0"/>
          <w:numId w:val="7"/>
        </w:numPr>
        <w:snapToGrid w:val="0"/>
        <w:spacing w:before="50" w:after="165" w:afterLines="50" w:line="360" w:lineRule="auto"/>
        <w:jc w:val="left"/>
        <w:rPr>
          <w:rFonts w:hint="eastAsia" w:ascii="宋体" w:hAnsi="宋体" w:eastAsia="宋体" w:cs="宋体"/>
          <w:color w:val="auto"/>
          <w:sz w:val="20"/>
          <w:highlight w:val="none"/>
        </w:rPr>
      </w:pPr>
      <w:r>
        <w:rPr>
          <w:rFonts w:hint="eastAsia" w:ascii="宋体" w:hAnsi="宋体" w:eastAsia="宋体" w:cs="宋体"/>
          <w:color w:val="auto"/>
          <w:sz w:val="20"/>
          <w:highlight w:val="none"/>
        </w:rPr>
        <w:t>从业人员、营业收入、资产总额填报上一年度数据，无上一年度数据的新成立企业可不填报。</w:t>
      </w:r>
    </w:p>
    <w:p w14:paraId="50DC480A">
      <w:pPr>
        <w:snapToGrid w:val="0"/>
        <w:spacing w:before="50" w:after="165" w:afterLines="50" w:line="360" w:lineRule="auto"/>
        <w:ind w:firstLine="300" w:firstLineChars="150"/>
        <w:jc w:val="left"/>
        <w:rPr>
          <w:rFonts w:hint="eastAsia" w:ascii="宋体" w:hAnsi="宋体" w:eastAsia="宋体" w:cs="宋体"/>
          <w:color w:val="auto"/>
          <w:sz w:val="20"/>
          <w:highlight w:val="none"/>
        </w:rPr>
      </w:pPr>
      <w:r>
        <w:rPr>
          <w:rFonts w:hint="eastAsia" w:ascii="宋体" w:hAnsi="宋体" w:eastAsia="宋体" w:cs="宋体"/>
          <w:color w:val="auto"/>
          <w:sz w:val="20"/>
          <w:highlight w:val="none"/>
        </w:rPr>
        <w:t>2、请根据自己的真实情况出具《中小企业声明函》。依法享受中小企业优惠政策的，采购人或者采购代理机构在公告中标结果时，同时公告其《中小企业声明函》，接受社会监督。</w:t>
      </w:r>
    </w:p>
    <w:p w14:paraId="4612B799">
      <w:pPr>
        <w:widowControl/>
        <w:spacing w:line="360" w:lineRule="auto"/>
        <w:jc w:val="left"/>
        <w:rPr>
          <w:rFonts w:hint="eastAsia" w:ascii="宋体" w:hAnsi="宋体" w:eastAsia="宋体" w:cs="宋体"/>
          <w:color w:val="auto"/>
          <w:sz w:val="20"/>
          <w:highlight w:val="none"/>
        </w:rPr>
        <w:sectPr>
          <w:pgSz w:w="11906" w:h="16838"/>
          <w:pgMar w:top="1134" w:right="1134" w:bottom="1134" w:left="1134" w:header="720" w:footer="720" w:gutter="0"/>
          <w:cols w:space="720" w:num="1"/>
          <w:docGrid w:type="lines" w:linePitch="331" w:charSpace="0"/>
        </w:sectPr>
      </w:pPr>
    </w:p>
    <w:p w14:paraId="5027ABF6">
      <w:pPr>
        <w:snapToGrid w:val="0"/>
        <w:spacing w:before="165" w:beforeLines="50" w:after="50"/>
        <w:jc w:val="center"/>
        <w:outlineLvl w:val="1"/>
        <w:rPr>
          <w:rFonts w:hint="eastAsia" w:ascii="宋体" w:hAnsi="宋体" w:eastAsia="宋体" w:cs="宋体"/>
          <w:b/>
          <w:bCs/>
          <w:color w:val="auto"/>
          <w:sz w:val="28"/>
          <w:szCs w:val="28"/>
          <w:highlight w:val="none"/>
        </w:rPr>
      </w:pPr>
      <w:bookmarkStart w:id="30" w:name="_Toc1085"/>
      <w:r>
        <w:rPr>
          <w:rFonts w:hint="eastAsia" w:ascii="宋体" w:hAnsi="宋体" w:eastAsia="宋体" w:cs="宋体"/>
          <w:b/>
          <w:bCs/>
          <w:color w:val="auto"/>
          <w:sz w:val="28"/>
          <w:szCs w:val="28"/>
          <w:highlight w:val="none"/>
        </w:rPr>
        <w:t>第六节其他文书、文件格式</w:t>
      </w:r>
      <w:bookmarkEnd w:id="30"/>
    </w:p>
    <w:p w14:paraId="57CEE4FB">
      <w:pPr>
        <w:jc w:val="center"/>
        <w:rPr>
          <w:rFonts w:hint="eastAsia" w:ascii="宋体" w:hAnsi="宋体" w:eastAsia="宋体" w:cs="宋体"/>
          <w:b/>
          <w:bCs/>
          <w:color w:val="auto"/>
          <w:sz w:val="32"/>
          <w:szCs w:val="32"/>
          <w:highlight w:val="none"/>
          <w:lang w:val="en"/>
        </w:rPr>
      </w:pPr>
    </w:p>
    <w:p w14:paraId="010EE26E">
      <w:pPr>
        <w:jc w:val="center"/>
        <w:rPr>
          <w:rFonts w:hint="eastAsia" w:ascii="宋体" w:hAnsi="宋体" w:eastAsia="宋体" w:cs="宋体"/>
          <w:b/>
          <w:bCs/>
          <w:color w:val="auto"/>
          <w:sz w:val="32"/>
          <w:szCs w:val="32"/>
          <w:highlight w:val="none"/>
          <w:lang w:val="en"/>
        </w:rPr>
      </w:pPr>
      <w:r>
        <w:rPr>
          <w:rFonts w:hint="eastAsia" w:ascii="宋体" w:hAnsi="宋体" w:eastAsia="宋体" w:cs="宋体"/>
          <w:b/>
          <w:bCs/>
          <w:color w:val="auto"/>
          <w:sz w:val="32"/>
          <w:szCs w:val="32"/>
          <w:highlight w:val="none"/>
          <w:lang w:val="en"/>
        </w:rPr>
        <w:t>知识产权合规性声明</w:t>
      </w:r>
    </w:p>
    <w:p w14:paraId="127A9247">
      <w:pPr>
        <w:rPr>
          <w:rFonts w:hint="eastAsia" w:ascii="宋体" w:hAnsi="宋体" w:eastAsia="宋体" w:cs="宋体"/>
          <w:color w:val="auto"/>
          <w:sz w:val="30"/>
          <w:szCs w:val="30"/>
          <w:highlight w:val="none"/>
          <w:lang w:eastAsia="zh-CN"/>
        </w:rPr>
      </w:pPr>
    </w:p>
    <w:p w14:paraId="6DD3765C">
      <w:pPr>
        <w:ind w:firstLine="600" w:firstLineChars="200"/>
        <w:rPr>
          <w:rFonts w:hint="eastAsia" w:ascii="宋体" w:hAnsi="宋体" w:eastAsia="宋体" w:cs="宋体"/>
          <w:color w:val="auto"/>
          <w:sz w:val="30"/>
          <w:szCs w:val="30"/>
          <w:highlight w:val="none"/>
          <w:lang w:val="en"/>
        </w:rPr>
      </w:pPr>
      <w:r>
        <w:rPr>
          <w:rFonts w:hint="eastAsia" w:ascii="宋体" w:hAnsi="宋体" w:eastAsia="宋体" w:cs="宋体"/>
          <w:color w:val="auto"/>
          <w:sz w:val="30"/>
          <w:szCs w:val="30"/>
          <w:highlight w:val="none"/>
        </w:rPr>
        <w:t>本</w:t>
      </w:r>
      <w:r>
        <w:rPr>
          <w:rFonts w:hint="eastAsia" w:ascii="宋体" w:hAnsi="宋体" w:eastAsia="宋体" w:cs="宋体"/>
          <w:color w:val="auto"/>
          <w:sz w:val="30"/>
          <w:szCs w:val="30"/>
          <w:highlight w:val="none"/>
          <w:lang w:val="en"/>
        </w:rPr>
        <w:t>企业自愿参与政府投资政府采购的</w:t>
      </w:r>
      <w:r>
        <w:rPr>
          <w:rFonts w:hint="eastAsia" w:ascii="宋体" w:hAnsi="宋体" w:eastAsia="宋体" w:cs="宋体"/>
          <w:color w:val="auto"/>
          <w:sz w:val="30"/>
          <w:szCs w:val="30"/>
          <w:highlight w:val="none"/>
          <w:u w:val="single"/>
          <w:lang w:val="en"/>
        </w:rPr>
        <w:t>（项目名称）</w:t>
      </w:r>
      <w:r>
        <w:rPr>
          <w:rFonts w:hint="eastAsia" w:ascii="宋体" w:hAnsi="宋体" w:eastAsia="宋体" w:cs="宋体"/>
          <w:color w:val="auto"/>
          <w:sz w:val="30"/>
          <w:szCs w:val="30"/>
          <w:highlight w:val="none"/>
          <w:lang w:val="en"/>
        </w:rPr>
        <w:t>项目，</w:t>
      </w:r>
      <w:r>
        <w:rPr>
          <w:rFonts w:hint="eastAsia" w:ascii="宋体" w:hAnsi="宋体" w:eastAsia="宋体" w:cs="宋体"/>
          <w:b/>
          <w:bCs/>
          <w:color w:val="auto"/>
          <w:sz w:val="30"/>
          <w:szCs w:val="30"/>
          <w:highlight w:val="none"/>
          <w:lang w:val="en"/>
        </w:rPr>
        <w:t>在此郑重承诺：</w:t>
      </w:r>
      <w:r>
        <w:rPr>
          <w:rFonts w:hint="eastAsia" w:ascii="宋体" w:hAnsi="宋体" w:eastAsia="宋体" w:cs="宋体"/>
          <w:color w:val="auto"/>
          <w:sz w:val="30"/>
          <w:szCs w:val="30"/>
          <w:highlight w:val="none"/>
          <w:lang w:val="en"/>
        </w:rPr>
        <w:t>遵守中国知识产权法律、法规、规章、规范性文件及在中国适用的与知识产权有关的国际公约，所参与项目的知识产权明晰无争议，归属或技术来源正当合法。近三年在知识产权领域不存在违反法律、法规、规章及其他规范性文件的失信行为。所参与的项目不对其他单位及个人的知识产权构成侵权。如经核查确有违反上述承诺应遵守的行为，本企业将承担由此产生的全部责任。</w:t>
      </w:r>
    </w:p>
    <w:p w14:paraId="1344E228">
      <w:pPr>
        <w:snapToGrid w:val="0"/>
        <w:spacing w:line="360" w:lineRule="auto"/>
        <w:ind w:left="5137" w:leftChars="1736" w:hanging="1491" w:hangingChars="825"/>
        <w:rPr>
          <w:rFonts w:hint="eastAsia" w:ascii="宋体" w:hAnsi="宋体" w:eastAsia="宋体" w:cs="宋体"/>
          <w:b/>
          <w:color w:val="auto"/>
          <w:sz w:val="18"/>
          <w:szCs w:val="18"/>
          <w:highlight w:val="none"/>
          <w:lang w:eastAsia="zh-CN"/>
        </w:rPr>
      </w:pPr>
    </w:p>
    <w:p w14:paraId="41B8A247">
      <w:pPr>
        <w:snapToGrid w:val="0"/>
        <w:spacing w:line="360" w:lineRule="auto"/>
        <w:ind w:left="5137" w:leftChars="1736" w:hanging="1491" w:hangingChars="825"/>
        <w:rPr>
          <w:rFonts w:hint="eastAsia" w:ascii="宋体" w:hAnsi="宋体" w:eastAsia="宋体" w:cs="宋体"/>
          <w:b/>
          <w:color w:val="auto"/>
          <w:sz w:val="18"/>
          <w:szCs w:val="18"/>
          <w:highlight w:val="none"/>
        </w:rPr>
      </w:pPr>
    </w:p>
    <w:p w14:paraId="0E1BD8E9">
      <w:pPr>
        <w:snapToGrid w:val="0"/>
        <w:spacing w:line="360" w:lineRule="auto"/>
        <w:ind w:left="5137" w:leftChars="1736" w:hanging="1491" w:hangingChars="825"/>
        <w:rPr>
          <w:rFonts w:hint="eastAsia" w:ascii="宋体" w:hAnsi="宋体" w:eastAsia="宋体" w:cs="宋体"/>
          <w:b/>
          <w:color w:val="auto"/>
          <w:sz w:val="18"/>
          <w:szCs w:val="18"/>
          <w:highlight w:val="none"/>
        </w:rPr>
      </w:pPr>
    </w:p>
    <w:p w14:paraId="3DFF64A8">
      <w:pPr>
        <w:snapToGrid w:val="0"/>
        <w:spacing w:line="360" w:lineRule="auto"/>
        <w:ind w:left="5137" w:leftChars="1736" w:hanging="1491" w:hangingChars="825"/>
        <w:rPr>
          <w:rFonts w:hint="eastAsia" w:ascii="宋体" w:hAnsi="宋体" w:eastAsia="宋体" w:cs="宋体"/>
          <w:b/>
          <w:color w:val="auto"/>
          <w:sz w:val="18"/>
          <w:szCs w:val="18"/>
          <w:highlight w:val="none"/>
        </w:rPr>
      </w:pPr>
    </w:p>
    <w:p w14:paraId="26FC70FF">
      <w:pPr>
        <w:snapToGrid w:val="0"/>
        <w:spacing w:line="360" w:lineRule="auto"/>
        <w:ind w:left="5626" w:leftChars="1736" w:hanging="1980" w:hangingChars="825"/>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lang w:val="zh-CN"/>
        </w:rPr>
        <w:t>投标人名称(电子签章)：</w:t>
      </w:r>
    </w:p>
    <w:p w14:paraId="56D7399C">
      <w:pPr>
        <w:snapToGrid w:val="0"/>
        <w:spacing w:line="360" w:lineRule="auto"/>
        <w:ind w:firstLine="5160" w:firstLineChars="2150"/>
        <w:rPr>
          <w:rFonts w:hint="eastAsia" w:ascii="宋体" w:hAnsi="宋体" w:eastAsia="宋体" w:cs="宋体"/>
          <w:color w:val="auto"/>
          <w:kern w:val="0"/>
          <w:sz w:val="24"/>
          <w:highlight w:val="none"/>
          <w:lang w:val="zh-CN"/>
        </w:rPr>
      </w:pPr>
      <w:r>
        <w:rPr>
          <w:rFonts w:hint="eastAsia" w:ascii="宋体" w:hAnsi="宋体" w:eastAsia="宋体" w:cs="宋体"/>
          <w:color w:val="auto"/>
          <w:kern w:val="0"/>
          <w:sz w:val="24"/>
          <w:highlight w:val="none"/>
          <w:lang w:val="zh-CN"/>
        </w:rPr>
        <w:t>日期</w:t>
      </w:r>
      <w:r>
        <w:rPr>
          <w:rFonts w:hint="eastAsia" w:ascii="宋体" w:hAnsi="宋体" w:eastAsia="宋体" w:cs="宋体"/>
          <w:color w:val="auto"/>
          <w:kern w:val="0"/>
          <w:sz w:val="24"/>
          <w:highlight w:val="none"/>
        </w:rPr>
        <w:t>：年</w:t>
      </w:r>
      <w:r>
        <w:rPr>
          <w:rFonts w:hint="eastAsia" w:ascii="宋体" w:hAnsi="宋体" w:eastAsia="宋体" w:cs="宋体"/>
          <w:color w:val="auto"/>
          <w:kern w:val="0"/>
          <w:sz w:val="24"/>
          <w:highlight w:val="none"/>
          <w:lang w:val="zh-CN"/>
        </w:rPr>
        <w:t>月日</w:t>
      </w:r>
    </w:p>
    <w:p w14:paraId="0074A4FA">
      <w:pPr>
        <w:pStyle w:val="18"/>
        <w:spacing w:line="360" w:lineRule="auto"/>
        <w:jc w:val="center"/>
        <w:rPr>
          <w:rFonts w:hint="eastAsia" w:ascii="宋体" w:hAnsi="宋体" w:eastAsia="宋体" w:cs="宋体"/>
          <w:b/>
          <w:color w:val="auto"/>
          <w:sz w:val="30"/>
          <w:szCs w:val="30"/>
          <w:highlight w:val="none"/>
        </w:rPr>
      </w:pPr>
      <w:r>
        <w:rPr>
          <w:rFonts w:hint="eastAsia" w:ascii="宋体" w:hAnsi="宋体" w:eastAsia="宋体" w:cs="宋体"/>
          <w:b/>
          <w:color w:val="auto"/>
          <w:sz w:val="30"/>
          <w:szCs w:val="30"/>
          <w:highlight w:val="none"/>
        </w:rPr>
        <w:br w:type="page"/>
      </w:r>
      <w:r>
        <w:rPr>
          <w:rFonts w:hint="eastAsia" w:ascii="宋体" w:hAnsi="宋体" w:eastAsia="宋体" w:cs="宋体"/>
          <w:b/>
          <w:color w:val="auto"/>
          <w:sz w:val="30"/>
          <w:szCs w:val="30"/>
          <w:highlight w:val="none"/>
        </w:rPr>
        <w:t>残疾人福利性单位声明函（如有）</w:t>
      </w:r>
    </w:p>
    <w:p w14:paraId="6B85E8C9">
      <w:pPr>
        <w:pStyle w:val="18"/>
        <w:spacing w:line="360" w:lineRule="auto"/>
        <w:jc w:val="center"/>
        <w:rPr>
          <w:rFonts w:hint="eastAsia" w:ascii="宋体" w:hAnsi="宋体" w:eastAsia="宋体" w:cs="宋体"/>
          <w:b/>
          <w:color w:val="auto"/>
          <w:sz w:val="30"/>
          <w:szCs w:val="30"/>
          <w:highlight w:val="none"/>
        </w:rPr>
      </w:pPr>
    </w:p>
    <w:p w14:paraId="7F871CF1">
      <w:pPr>
        <w:pStyle w:val="18"/>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本单位郑重声明，根据《财政部民政部中国残疾人联合会关于促进残疾人就业政府采购政策的通知》（财库〔2017〕141号）的规定，本单位为符合条件的残疾人福利性单位，且本单位参加</w:t>
      </w:r>
      <w:r>
        <w:rPr>
          <w:rFonts w:hint="eastAsia" w:ascii="宋体" w:hAnsi="宋体" w:eastAsia="宋体" w:cs="宋体"/>
          <w:color w:val="auto"/>
          <w:sz w:val="24"/>
          <w:szCs w:val="24"/>
          <w:highlight w:val="none"/>
          <w:u w:val="single"/>
        </w:rPr>
        <w:t>（</w:t>
      </w:r>
      <w:r>
        <w:rPr>
          <w:rFonts w:hint="eastAsia" w:ascii="宋体" w:hAnsi="宋体" w:eastAsia="宋体" w:cs="宋体"/>
          <w:color w:val="auto"/>
          <w:sz w:val="24"/>
          <w:szCs w:val="24"/>
          <w:highlight w:val="none"/>
          <w:u w:val="single"/>
          <w:lang w:val="en-US" w:eastAsia="zh-CN"/>
        </w:rPr>
        <w:t>采购人名称</w:t>
      </w:r>
      <w:r>
        <w:rPr>
          <w:rFonts w:hint="eastAsia" w:ascii="宋体" w:hAnsi="宋体" w:eastAsia="宋体" w:cs="宋体"/>
          <w:color w:val="auto"/>
          <w:sz w:val="24"/>
          <w:szCs w:val="24"/>
          <w:highlight w:val="none"/>
          <w:u w:val="single"/>
        </w:rPr>
        <w:t>）</w:t>
      </w:r>
      <w:r>
        <w:rPr>
          <w:rFonts w:hint="eastAsia" w:ascii="宋体" w:hAnsi="宋体" w:eastAsia="宋体" w:cs="宋体"/>
          <w:color w:val="auto"/>
          <w:sz w:val="24"/>
          <w:szCs w:val="24"/>
          <w:highlight w:val="none"/>
        </w:rPr>
        <w:t>单位的</w:t>
      </w:r>
      <w:r>
        <w:rPr>
          <w:rFonts w:hint="eastAsia" w:ascii="宋体" w:hAnsi="宋体" w:eastAsia="宋体" w:cs="宋体"/>
          <w:color w:val="auto"/>
          <w:sz w:val="24"/>
          <w:szCs w:val="24"/>
          <w:highlight w:val="none"/>
          <w:u w:val="single"/>
        </w:rPr>
        <w:t>（项目名称）</w:t>
      </w:r>
      <w:r>
        <w:rPr>
          <w:rFonts w:hint="eastAsia" w:ascii="宋体" w:hAnsi="宋体" w:eastAsia="宋体" w:cs="宋体"/>
          <w:color w:val="auto"/>
          <w:sz w:val="24"/>
          <w:szCs w:val="24"/>
          <w:highlight w:val="none"/>
        </w:rPr>
        <w:t>项目采购活动提供本单位制造的货物（由本单位承担工程/提供服务），或者提供其他残疾人福利性单位制造的货物（不包括使用非残疾人福利性单位注册商标的货物）。</w:t>
      </w:r>
    </w:p>
    <w:p w14:paraId="5A783705">
      <w:pPr>
        <w:pStyle w:val="18"/>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本公司对上述声明的真实性负责。如有虚假，将依法承担相应责任。</w:t>
      </w:r>
    </w:p>
    <w:p w14:paraId="379DCE46">
      <w:pPr>
        <w:pStyle w:val="18"/>
        <w:spacing w:line="360" w:lineRule="auto"/>
        <w:jc w:val="left"/>
        <w:rPr>
          <w:rFonts w:hint="eastAsia" w:ascii="宋体" w:hAnsi="宋体" w:eastAsia="宋体" w:cs="宋体"/>
          <w:b/>
          <w:color w:val="auto"/>
          <w:szCs w:val="21"/>
          <w:highlight w:val="none"/>
        </w:rPr>
      </w:pPr>
    </w:p>
    <w:p w14:paraId="2F6D4058">
      <w:pPr>
        <w:pStyle w:val="18"/>
        <w:spacing w:line="360" w:lineRule="auto"/>
        <w:jc w:val="left"/>
        <w:rPr>
          <w:rFonts w:hint="eastAsia" w:ascii="宋体" w:hAnsi="宋体" w:eastAsia="宋体" w:cs="宋体"/>
          <w:b/>
          <w:color w:val="auto"/>
          <w:szCs w:val="21"/>
          <w:highlight w:val="none"/>
        </w:rPr>
      </w:pPr>
    </w:p>
    <w:p w14:paraId="2CDD384B">
      <w:pPr>
        <w:snapToGrid w:val="0"/>
        <w:spacing w:line="360" w:lineRule="auto"/>
        <w:ind w:left="5626" w:leftChars="1736" w:hanging="1980" w:hangingChars="825"/>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lang w:val="zh-CN"/>
        </w:rPr>
        <w:t>投标人名称(电子签章)：</w:t>
      </w:r>
    </w:p>
    <w:p w14:paraId="01332879">
      <w:pPr>
        <w:snapToGrid w:val="0"/>
        <w:spacing w:line="360" w:lineRule="auto"/>
        <w:ind w:firstLine="5160" w:firstLineChars="2150"/>
        <w:rPr>
          <w:rFonts w:hint="eastAsia" w:ascii="宋体" w:hAnsi="宋体" w:eastAsia="宋体" w:cs="宋体"/>
          <w:color w:val="auto"/>
          <w:kern w:val="0"/>
          <w:sz w:val="24"/>
          <w:highlight w:val="none"/>
          <w:lang w:val="zh-CN"/>
        </w:rPr>
      </w:pPr>
      <w:r>
        <w:rPr>
          <w:rFonts w:hint="eastAsia" w:ascii="宋体" w:hAnsi="宋体" w:eastAsia="宋体" w:cs="宋体"/>
          <w:color w:val="auto"/>
          <w:kern w:val="0"/>
          <w:sz w:val="24"/>
          <w:highlight w:val="none"/>
          <w:lang w:val="zh-CN"/>
        </w:rPr>
        <w:t>日期</w:t>
      </w:r>
      <w:r>
        <w:rPr>
          <w:rFonts w:hint="eastAsia" w:ascii="宋体" w:hAnsi="宋体" w:eastAsia="宋体" w:cs="宋体"/>
          <w:color w:val="auto"/>
          <w:kern w:val="0"/>
          <w:sz w:val="24"/>
          <w:highlight w:val="none"/>
        </w:rPr>
        <w:t>：年</w:t>
      </w:r>
      <w:r>
        <w:rPr>
          <w:rFonts w:hint="eastAsia" w:ascii="宋体" w:hAnsi="宋体" w:eastAsia="宋体" w:cs="宋体"/>
          <w:color w:val="auto"/>
          <w:kern w:val="0"/>
          <w:sz w:val="24"/>
          <w:highlight w:val="none"/>
          <w:lang w:val="zh-CN"/>
        </w:rPr>
        <w:t>月日</w:t>
      </w:r>
    </w:p>
    <w:p w14:paraId="1D1DC273">
      <w:pPr>
        <w:pStyle w:val="18"/>
        <w:spacing w:line="360" w:lineRule="auto"/>
        <w:ind w:left="5132" w:leftChars="1979" w:hanging="976" w:hangingChars="488"/>
        <w:rPr>
          <w:rFonts w:hint="eastAsia" w:ascii="宋体" w:hAnsi="宋体" w:eastAsia="宋体" w:cs="宋体"/>
          <w:color w:val="auto"/>
          <w:sz w:val="20"/>
          <w:highlight w:val="none"/>
        </w:rPr>
      </w:pPr>
    </w:p>
    <w:p w14:paraId="157E12A5">
      <w:pPr>
        <w:spacing w:line="360" w:lineRule="auto"/>
        <w:ind w:right="420"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注：请根据自己的真实情况出具《残疾人福利性单位声明函》。依法享受中小企业优惠政策的，采购人或者采购代理机构在公告中标结果时，同时公告其《残疾人福利性单位声明函》，接受社会监督；根据《关于政府采购支持监狱企业发展有关问题的通知》（财库[2014]68号）的规定，投标人提供由省级以上监狱管理局、戒毒管理局（含新疆生产建设兵团）出具的属于监狱企业证明文件的，视同为小型和微型企业。</w:t>
      </w:r>
    </w:p>
    <w:p w14:paraId="1F227EAB">
      <w:pPr>
        <w:widowControl/>
        <w:spacing w:line="360" w:lineRule="auto"/>
        <w:jc w:val="left"/>
        <w:rPr>
          <w:rFonts w:hint="eastAsia" w:ascii="宋体" w:hAnsi="宋体" w:eastAsia="宋体" w:cs="宋体"/>
          <w:color w:val="auto"/>
          <w:sz w:val="20"/>
          <w:highlight w:val="none"/>
        </w:rPr>
        <w:sectPr>
          <w:pgSz w:w="11906" w:h="16838"/>
          <w:pgMar w:top="1134" w:right="1134" w:bottom="1134" w:left="1134" w:header="720" w:footer="720" w:gutter="0"/>
          <w:cols w:space="720" w:num="1"/>
          <w:docGrid w:type="lines" w:linePitch="331" w:charSpace="0"/>
        </w:sectPr>
      </w:pPr>
    </w:p>
    <w:p w14:paraId="5AE3EBE9">
      <w:pPr>
        <w:snapToGrid w:val="0"/>
        <w:spacing w:before="50" w:after="165" w:afterLines="50" w:line="360" w:lineRule="auto"/>
        <w:jc w:val="left"/>
        <w:rPr>
          <w:rFonts w:hint="eastAsia" w:ascii="宋体" w:hAnsi="宋体" w:eastAsia="宋体" w:cs="宋体"/>
          <w:color w:val="auto"/>
          <w:sz w:val="20"/>
          <w:highlight w:val="none"/>
        </w:rPr>
      </w:pPr>
    </w:p>
    <w:p w14:paraId="718F231B">
      <w:pPr>
        <w:pStyle w:val="18"/>
        <w:tabs>
          <w:tab w:val="left" w:pos="2472"/>
        </w:tabs>
        <w:spacing w:line="460" w:lineRule="exact"/>
        <w:jc w:val="center"/>
        <w:rPr>
          <w:rFonts w:hint="eastAsia" w:ascii="宋体" w:hAnsi="宋体" w:eastAsia="宋体" w:cs="宋体"/>
          <w:b/>
          <w:color w:val="auto"/>
          <w:sz w:val="36"/>
          <w:highlight w:val="none"/>
        </w:rPr>
      </w:pPr>
    </w:p>
    <w:p w14:paraId="70030687">
      <w:pPr>
        <w:pStyle w:val="18"/>
        <w:tabs>
          <w:tab w:val="left" w:pos="2472"/>
        </w:tabs>
        <w:spacing w:line="460" w:lineRule="exact"/>
        <w:jc w:val="center"/>
        <w:rPr>
          <w:rFonts w:hint="eastAsia" w:ascii="宋体" w:hAnsi="宋体" w:eastAsia="宋体" w:cs="宋体"/>
          <w:b/>
          <w:color w:val="auto"/>
          <w:sz w:val="36"/>
          <w:highlight w:val="none"/>
        </w:rPr>
      </w:pPr>
    </w:p>
    <w:p w14:paraId="43681827">
      <w:pPr>
        <w:pStyle w:val="18"/>
        <w:tabs>
          <w:tab w:val="left" w:pos="2472"/>
        </w:tabs>
        <w:spacing w:line="460" w:lineRule="exact"/>
        <w:jc w:val="center"/>
        <w:rPr>
          <w:rFonts w:hint="eastAsia" w:ascii="宋体" w:hAnsi="宋体" w:eastAsia="宋体" w:cs="宋体"/>
          <w:b/>
          <w:color w:val="auto"/>
          <w:sz w:val="36"/>
          <w:highlight w:val="none"/>
        </w:rPr>
      </w:pPr>
    </w:p>
    <w:p w14:paraId="61E70F62">
      <w:pPr>
        <w:pStyle w:val="18"/>
        <w:tabs>
          <w:tab w:val="left" w:pos="2472"/>
        </w:tabs>
        <w:spacing w:line="460" w:lineRule="exact"/>
        <w:jc w:val="center"/>
        <w:rPr>
          <w:rFonts w:hint="eastAsia" w:ascii="宋体" w:hAnsi="宋体" w:eastAsia="宋体" w:cs="宋体"/>
          <w:b/>
          <w:color w:val="auto"/>
          <w:sz w:val="36"/>
          <w:highlight w:val="none"/>
        </w:rPr>
      </w:pPr>
    </w:p>
    <w:p w14:paraId="37848F77">
      <w:pPr>
        <w:pStyle w:val="18"/>
        <w:tabs>
          <w:tab w:val="left" w:pos="2472"/>
        </w:tabs>
        <w:spacing w:line="460" w:lineRule="exact"/>
        <w:jc w:val="center"/>
        <w:rPr>
          <w:rFonts w:hint="eastAsia" w:ascii="宋体" w:hAnsi="宋体" w:eastAsia="宋体" w:cs="宋体"/>
          <w:b/>
          <w:color w:val="auto"/>
          <w:sz w:val="36"/>
          <w:highlight w:val="none"/>
        </w:rPr>
      </w:pPr>
    </w:p>
    <w:p w14:paraId="79191C43">
      <w:pPr>
        <w:pStyle w:val="18"/>
        <w:tabs>
          <w:tab w:val="left" w:pos="2472"/>
        </w:tabs>
        <w:spacing w:line="460" w:lineRule="exact"/>
        <w:jc w:val="center"/>
        <w:rPr>
          <w:rFonts w:hint="eastAsia" w:ascii="宋体" w:hAnsi="宋体" w:eastAsia="宋体" w:cs="宋体"/>
          <w:b/>
          <w:color w:val="auto"/>
          <w:sz w:val="36"/>
          <w:highlight w:val="none"/>
        </w:rPr>
      </w:pPr>
    </w:p>
    <w:p w14:paraId="7D77A503">
      <w:pPr>
        <w:pStyle w:val="18"/>
        <w:tabs>
          <w:tab w:val="left" w:pos="2472"/>
        </w:tabs>
        <w:spacing w:line="460" w:lineRule="exact"/>
        <w:jc w:val="center"/>
        <w:rPr>
          <w:rFonts w:hint="eastAsia" w:ascii="宋体" w:hAnsi="宋体" w:eastAsia="宋体" w:cs="宋体"/>
          <w:b/>
          <w:color w:val="auto"/>
          <w:sz w:val="36"/>
          <w:highlight w:val="none"/>
        </w:rPr>
      </w:pPr>
    </w:p>
    <w:p w14:paraId="19AF47FB">
      <w:pPr>
        <w:pStyle w:val="18"/>
        <w:tabs>
          <w:tab w:val="left" w:pos="2472"/>
        </w:tabs>
        <w:spacing w:line="460" w:lineRule="exact"/>
        <w:jc w:val="center"/>
        <w:rPr>
          <w:rFonts w:hint="eastAsia" w:ascii="宋体" w:hAnsi="宋体" w:eastAsia="宋体" w:cs="宋体"/>
          <w:b/>
          <w:color w:val="auto"/>
          <w:sz w:val="36"/>
          <w:highlight w:val="none"/>
        </w:rPr>
      </w:pPr>
    </w:p>
    <w:p w14:paraId="2BB755CB">
      <w:pPr>
        <w:pStyle w:val="18"/>
        <w:tabs>
          <w:tab w:val="left" w:pos="2472"/>
        </w:tabs>
        <w:spacing w:line="460" w:lineRule="exact"/>
        <w:jc w:val="center"/>
        <w:rPr>
          <w:rFonts w:hint="eastAsia" w:ascii="宋体" w:hAnsi="宋体" w:eastAsia="宋体" w:cs="宋体"/>
          <w:b/>
          <w:color w:val="auto"/>
          <w:sz w:val="36"/>
          <w:highlight w:val="none"/>
        </w:rPr>
      </w:pPr>
    </w:p>
    <w:p w14:paraId="749C2391">
      <w:pPr>
        <w:pStyle w:val="18"/>
        <w:tabs>
          <w:tab w:val="left" w:pos="2472"/>
        </w:tabs>
        <w:spacing w:line="460" w:lineRule="exact"/>
        <w:jc w:val="center"/>
        <w:rPr>
          <w:rFonts w:hint="eastAsia" w:ascii="宋体" w:hAnsi="宋体" w:eastAsia="宋体" w:cs="宋体"/>
          <w:b/>
          <w:color w:val="auto"/>
          <w:sz w:val="36"/>
          <w:highlight w:val="none"/>
        </w:rPr>
      </w:pPr>
    </w:p>
    <w:p w14:paraId="45E05EF7">
      <w:pPr>
        <w:pStyle w:val="18"/>
        <w:tabs>
          <w:tab w:val="left" w:pos="2472"/>
        </w:tabs>
        <w:spacing w:line="460" w:lineRule="exact"/>
        <w:jc w:val="center"/>
        <w:rPr>
          <w:rFonts w:hint="eastAsia" w:ascii="宋体" w:hAnsi="宋体" w:eastAsia="宋体" w:cs="宋体"/>
          <w:b/>
          <w:color w:val="auto"/>
          <w:sz w:val="36"/>
          <w:highlight w:val="none"/>
        </w:rPr>
      </w:pPr>
    </w:p>
    <w:p w14:paraId="66DF7ECA">
      <w:pPr>
        <w:pStyle w:val="18"/>
        <w:tabs>
          <w:tab w:val="left" w:pos="2472"/>
        </w:tabs>
        <w:spacing w:line="460" w:lineRule="exact"/>
        <w:jc w:val="center"/>
        <w:outlineLvl w:val="0"/>
        <w:rPr>
          <w:rFonts w:hint="eastAsia" w:ascii="宋体" w:hAnsi="宋体" w:eastAsia="宋体" w:cs="宋体"/>
          <w:b/>
          <w:color w:val="auto"/>
          <w:sz w:val="36"/>
          <w:highlight w:val="none"/>
        </w:rPr>
      </w:pPr>
      <w:bookmarkStart w:id="31" w:name="_Toc11806"/>
      <w:r>
        <w:rPr>
          <w:rFonts w:hint="eastAsia" w:ascii="宋体" w:hAnsi="宋体" w:eastAsia="宋体" w:cs="宋体"/>
          <w:b/>
          <w:color w:val="auto"/>
          <w:sz w:val="36"/>
          <w:highlight w:val="none"/>
        </w:rPr>
        <w:t>第七章质疑、投诉证明材料格式</w:t>
      </w:r>
      <w:bookmarkEnd w:id="31"/>
    </w:p>
    <w:p w14:paraId="79643CE7">
      <w:pPr>
        <w:widowControl/>
        <w:spacing w:line="360" w:lineRule="auto"/>
        <w:jc w:val="left"/>
        <w:rPr>
          <w:rFonts w:hint="eastAsia" w:ascii="宋体" w:hAnsi="宋体" w:eastAsia="宋体" w:cs="宋体"/>
          <w:color w:val="auto"/>
          <w:sz w:val="20"/>
          <w:highlight w:val="none"/>
        </w:rPr>
        <w:sectPr>
          <w:pgSz w:w="11906" w:h="16838"/>
          <w:pgMar w:top="1134" w:right="1134" w:bottom="1134" w:left="1134" w:header="720" w:footer="720" w:gutter="0"/>
          <w:cols w:space="720" w:num="1"/>
          <w:docGrid w:type="lines" w:linePitch="331" w:charSpace="0"/>
        </w:sectPr>
      </w:pPr>
    </w:p>
    <w:p w14:paraId="1B14737B">
      <w:pPr>
        <w:pStyle w:val="3"/>
        <w:spacing w:line="240" w:lineRule="auto"/>
        <w:jc w:val="center"/>
        <w:rPr>
          <w:rFonts w:hint="eastAsia" w:ascii="宋体" w:hAnsi="宋体" w:eastAsia="宋体" w:cs="宋体"/>
          <w:b w:val="0"/>
          <w:bCs w:val="0"/>
          <w:color w:val="auto"/>
          <w:sz w:val="32"/>
          <w:szCs w:val="32"/>
          <w:highlight w:val="none"/>
        </w:rPr>
      </w:pPr>
      <w:bookmarkStart w:id="32" w:name="_Toc15308"/>
      <w:r>
        <w:rPr>
          <w:rFonts w:hint="eastAsia" w:ascii="宋体" w:hAnsi="宋体" w:eastAsia="宋体" w:cs="宋体"/>
          <w:b w:val="0"/>
          <w:bCs w:val="0"/>
          <w:color w:val="auto"/>
          <w:sz w:val="32"/>
          <w:szCs w:val="32"/>
          <w:highlight w:val="none"/>
        </w:rPr>
        <w:t>第一节质疑函（格式）</w:t>
      </w:r>
      <w:bookmarkEnd w:id="32"/>
    </w:p>
    <w:p w14:paraId="45C19522">
      <w:pPr>
        <w:spacing w:line="240" w:lineRule="auto"/>
        <w:jc w:val="center"/>
        <w:rPr>
          <w:rFonts w:hint="eastAsia" w:ascii="宋体" w:hAnsi="宋体" w:eastAsia="宋体" w:cs="宋体"/>
          <w:b/>
          <w:bCs/>
          <w:color w:val="auto"/>
          <w:sz w:val="32"/>
          <w:szCs w:val="32"/>
          <w:highlight w:val="none"/>
        </w:rPr>
      </w:pPr>
      <w:r>
        <w:rPr>
          <w:rFonts w:hint="eastAsia" w:ascii="宋体" w:hAnsi="宋体" w:eastAsia="宋体" w:cs="宋体"/>
          <w:b/>
          <w:bCs/>
          <w:color w:val="auto"/>
          <w:sz w:val="32"/>
          <w:szCs w:val="32"/>
          <w:highlight w:val="none"/>
        </w:rPr>
        <w:t>质疑函范本</w:t>
      </w:r>
    </w:p>
    <w:p w14:paraId="2C0C4541">
      <w:pPr>
        <w:keepNext w:val="0"/>
        <w:keepLines w:val="0"/>
        <w:pageBreakBefore w:val="0"/>
        <w:kinsoku/>
        <w:wordWrap/>
        <w:overflowPunct/>
        <w:topLinePunct w:val="0"/>
        <w:autoSpaceDE/>
        <w:autoSpaceDN/>
        <w:bidi w:val="0"/>
        <w:adjustRightInd w:val="0"/>
        <w:snapToGrid w:val="0"/>
        <w:spacing w:before="331" w:beforeLines="100" w:line="360" w:lineRule="exact"/>
        <w:textAlignment w:val="auto"/>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一、质疑供应商基本信息</w:t>
      </w:r>
    </w:p>
    <w:p w14:paraId="336C185D">
      <w:pPr>
        <w:keepNext w:val="0"/>
        <w:keepLines w:val="0"/>
        <w:pageBreakBefore w:val="0"/>
        <w:kinsoku/>
        <w:wordWrap/>
        <w:overflowPunct/>
        <w:topLinePunct w:val="0"/>
        <w:autoSpaceDE/>
        <w:autoSpaceDN/>
        <w:bidi w:val="0"/>
        <w:adjustRightInd w:val="0"/>
        <w:snapToGrid w:val="0"/>
        <w:spacing w:line="360" w:lineRule="exact"/>
        <w:textAlignment w:val="auto"/>
        <w:rPr>
          <w:rFonts w:hint="eastAsia" w:ascii="宋体" w:hAnsi="宋体" w:eastAsia="宋体" w:cs="宋体"/>
          <w:color w:val="auto"/>
          <w:sz w:val="24"/>
          <w:szCs w:val="24"/>
          <w:highlight w:val="none"/>
          <w:u w:val="dotted"/>
          <w:lang w:eastAsia="zh-CN"/>
        </w:rPr>
      </w:pPr>
      <w:r>
        <w:rPr>
          <w:rFonts w:hint="eastAsia" w:ascii="宋体" w:hAnsi="宋体" w:eastAsia="宋体" w:cs="宋体"/>
          <w:color w:val="auto"/>
          <w:sz w:val="24"/>
          <w:szCs w:val="24"/>
          <w:highlight w:val="none"/>
        </w:rPr>
        <w:t>质疑供应商：</w:t>
      </w:r>
    </w:p>
    <w:p w14:paraId="0979BDF1">
      <w:pPr>
        <w:keepNext w:val="0"/>
        <w:keepLines w:val="0"/>
        <w:pageBreakBefore w:val="0"/>
        <w:kinsoku/>
        <w:wordWrap/>
        <w:overflowPunct/>
        <w:topLinePunct w:val="0"/>
        <w:autoSpaceDE/>
        <w:autoSpaceDN/>
        <w:bidi w:val="0"/>
        <w:adjustRightInd w:val="0"/>
        <w:snapToGrid w:val="0"/>
        <w:spacing w:line="360" w:lineRule="exact"/>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地址：邮编：</w:t>
      </w:r>
    </w:p>
    <w:p w14:paraId="185E4AA3">
      <w:pPr>
        <w:keepNext w:val="0"/>
        <w:keepLines w:val="0"/>
        <w:pageBreakBefore w:val="0"/>
        <w:kinsoku/>
        <w:wordWrap/>
        <w:overflowPunct/>
        <w:topLinePunct w:val="0"/>
        <w:autoSpaceDE/>
        <w:autoSpaceDN/>
        <w:bidi w:val="0"/>
        <w:adjustRightInd w:val="0"/>
        <w:snapToGrid w:val="0"/>
        <w:spacing w:line="360" w:lineRule="exact"/>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联系人：联系电话：</w:t>
      </w:r>
    </w:p>
    <w:p w14:paraId="616A2E31">
      <w:pPr>
        <w:keepNext w:val="0"/>
        <w:keepLines w:val="0"/>
        <w:pageBreakBefore w:val="0"/>
        <w:kinsoku/>
        <w:wordWrap/>
        <w:overflowPunct/>
        <w:topLinePunct w:val="0"/>
        <w:autoSpaceDE/>
        <w:autoSpaceDN/>
        <w:bidi w:val="0"/>
        <w:adjustRightInd w:val="0"/>
        <w:snapToGrid w:val="0"/>
        <w:spacing w:line="360" w:lineRule="exact"/>
        <w:textAlignment w:val="auto"/>
        <w:rPr>
          <w:rFonts w:hint="eastAsia" w:ascii="宋体" w:hAnsi="宋体" w:eastAsia="宋体" w:cs="宋体"/>
          <w:color w:val="auto"/>
          <w:sz w:val="24"/>
          <w:szCs w:val="24"/>
          <w:highlight w:val="none"/>
          <w:u w:val="dotted"/>
          <w:lang w:eastAsia="zh-CN"/>
        </w:rPr>
      </w:pPr>
      <w:r>
        <w:rPr>
          <w:rFonts w:hint="eastAsia" w:ascii="宋体" w:hAnsi="宋体" w:eastAsia="宋体" w:cs="宋体"/>
          <w:color w:val="auto"/>
          <w:sz w:val="24"/>
          <w:szCs w:val="24"/>
          <w:highlight w:val="none"/>
        </w:rPr>
        <w:t>授权代表：</w:t>
      </w:r>
    </w:p>
    <w:p w14:paraId="4C44E5AD">
      <w:pPr>
        <w:keepNext w:val="0"/>
        <w:keepLines w:val="0"/>
        <w:pageBreakBefore w:val="0"/>
        <w:kinsoku/>
        <w:wordWrap/>
        <w:overflowPunct/>
        <w:topLinePunct w:val="0"/>
        <w:autoSpaceDE/>
        <w:autoSpaceDN/>
        <w:bidi w:val="0"/>
        <w:adjustRightInd w:val="0"/>
        <w:snapToGrid w:val="0"/>
        <w:spacing w:line="360" w:lineRule="exact"/>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联系电话：</w:t>
      </w:r>
    </w:p>
    <w:p w14:paraId="3457B24D">
      <w:pPr>
        <w:keepNext w:val="0"/>
        <w:keepLines w:val="0"/>
        <w:pageBreakBefore w:val="0"/>
        <w:kinsoku/>
        <w:wordWrap/>
        <w:overflowPunct/>
        <w:topLinePunct w:val="0"/>
        <w:autoSpaceDE/>
        <w:autoSpaceDN/>
        <w:bidi w:val="0"/>
        <w:adjustRightInd w:val="0"/>
        <w:snapToGrid w:val="0"/>
        <w:spacing w:line="360" w:lineRule="exact"/>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地址：邮编：</w:t>
      </w:r>
    </w:p>
    <w:p w14:paraId="27B7271A">
      <w:pPr>
        <w:keepNext w:val="0"/>
        <w:keepLines w:val="0"/>
        <w:pageBreakBefore w:val="0"/>
        <w:kinsoku/>
        <w:wordWrap/>
        <w:overflowPunct/>
        <w:topLinePunct w:val="0"/>
        <w:autoSpaceDE/>
        <w:autoSpaceDN/>
        <w:bidi w:val="0"/>
        <w:adjustRightInd w:val="0"/>
        <w:snapToGrid w:val="0"/>
        <w:spacing w:line="360" w:lineRule="exact"/>
        <w:textAlignment w:val="auto"/>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二、质疑项目基本情况</w:t>
      </w:r>
    </w:p>
    <w:p w14:paraId="79FBCC44">
      <w:pPr>
        <w:keepNext w:val="0"/>
        <w:keepLines w:val="0"/>
        <w:pageBreakBefore w:val="0"/>
        <w:kinsoku/>
        <w:wordWrap/>
        <w:overflowPunct/>
        <w:topLinePunct w:val="0"/>
        <w:autoSpaceDE/>
        <w:autoSpaceDN/>
        <w:bidi w:val="0"/>
        <w:adjustRightInd w:val="0"/>
        <w:snapToGrid w:val="0"/>
        <w:spacing w:line="360" w:lineRule="exact"/>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质疑项目的名称：</w:t>
      </w:r>
    </w:p>
    <w:p w14:paraId="1A2641AC">
      <w:pPr>
        <w:keepNext w:val="0"/>
        <w:keepLines w:val="0"/>
        <w:pageBreakBefore w:val="0"/>
        <w:kinsoku/>
        <w:wordWrap/>
        <w:overflowPunct/>
        <w:topLinePunct w:val="0"/>
        <w:autoSpaceDE/>
        <w:autoSpaceDN/>
        <w:bidi w:val="0"/>
        <w:adjustRightInd w:val="0"/>
        <w:snapToGrid w:val="0"/>
        <w:spacing w:line="360" w:lineRule="exac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质疑项目的编号：</w:t>
      </w:r>
    </w:p>
    <w:p w14:paraId="28713FAB">
      <w:pPr>
        <w:keepNext w:val="0"/>
        <w:keepLines w:val="0"/>
        <w:pageBreakBefore w:val="0"/>
        <w:kinsoku/>
        <w:wordWrap/>
        <w:overflowPunct/>
        <w:topLinePunct w:val="0"/>
        <w:autoSpaceDE/>
        <w:autoSpaceDN/>
        <w:bidi w:val="0"/>
        <w:adjustRightInd w:val="0"/>
        <w:snapToGrid w:val="0"/>
        <w:spacing w:line="360" w:lineRule="exact"/>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包号：</w:t>
      </w:r>
    </w:p>
    <w:p w14:paraId="044E5505">
      <w:pPr>
        <w:keepNext w:val="0"/>
        <w:keepLines w:val="0"/>
        <w:pageBreakBefore w:val="0"/>
        <w:kinsoku/>
        <w:wordWrap/>
        <w:overflowPunct/>
        <w:topLinePunct w:val="0"/>
        <w:autoSpaceDE/>
        <w:autoSpaceDN/>
        <w:bidi w:val="0"/>
        <w:adjustRightInd w:val="0"/>
        <w:snapToGrid w:val="0"/>
        <w:spacing w:line="360" w:lineRule="exact"/>
        <w:textAlignment w:val="auto"/>
        <w:rPr>
          <w:rFonts w:hint="eastAsia" w:ascii="宋体" w:hAnsi="宋体" w:eastAsia="宋体" w:cs="宋体"/>
          <w:color w:val="auto"/>
          <w:sz w:val="24"/>
          <w:szCs w:val="24"/>
          <w:highlight w:val="none"/>
          <w:u w:val="dotted"/>
          <w:lang w:eastAsia="zh-CN"/>
        </w:rPr>
      </w:pPr>
      <w:r>
        <w:rPr>
          <w:rFonts w:hint="eastAsia" w:ascii="宋体" w:hAnsi="宋体" w:eastAsia="宋体" w:cs="宋体"/>
          <w:color w:val="auto"/>
          <w:sz w:val="24"/>
          <w:szCs w:val="24"/>
          <w:highlight w:val="none"/>
        </w:rPr>
        <w:t>采购人名称：</w:t>
      </w:r>
    </w:p>
    <w:p w14:paraId="381AD87A">
      <w:pPr>
        <w:keepNext w:val="0"/>
        <w:keepLines w:val="0"/>
        <w:pageBreakBefore w:val="0"/>
        <w:kinsoku/>
        <w:wordWrap/>
        <w:overflowPunct/>
        <w:topLinePunct w:val="0"/>
        <w:autoSpaceDE/>
        <w:autoSpaceDN/>
        <w:bidi w:val="0"/>
        <w:adjustRightInd w:val="0"/>
        <w:snapToGrid w:val="0"/>
        <w:spacing w:line="360" w:lineRule="exact"/>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采购文件获取日期：</w:t>
      </w:r>
    </w:p>
    <w:p w14:paraId="787D8994">
      <w:pPr>
        <w:keepNext w:val="0"/>
        <w:keepLines w:val="0"/>
        <w:pageBreakBefore w:val="0"/>
        <w:kinsoku/>
        <w:wordWrap/>
        <w:overflowPunct/>
        <w:topLinePunct w:val="0"/>
        <w:autoSpaceDE/>
        <w:autoSpaceDN/>
        <w:bidi w:val="0"/>
        <w:adjustRightInd w:val="0"/>
        <w:snapToGrid w:val="0"/>
        <w:spacing w:line="360" w:lineRule="exact"/>
        <w:textAlignment w:val="auto"/>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三、质疑事项具体内容</w:t>
      </w:r>
    </w:p>
    <w:p w14:paraId="2F8804FE">
      <w:pPr>
        <w:keepNext w:val="0"/>
        <w:keepLines w:val="0"/>
        <w:pageBreakBefore w:val="0"/>
        <w:kinsoku/>
        <w:wordWrap/>
        <w:overflowPunct/>
        <w:topLinePunct w:val="0"/>
        <w:autoSpaceDE/>
        <w:autoSpaceDN/>
        <w:bidi w:val="0"/>
        <w:adjustRightInd w:val="0"/>
        <w:snapToGrid w:val="0"/>
        <w:spacing w:line="360" w:lineRule="exact"/>
        <w:textAlignment w:val="auto"/>
        <w:rPr>
          <w:rFonts w:hint="eastAsia" w:ascii="宋体" w:hAnsi="宋体" w:eastAsia="宋体" w:cs="宋体"/>
          <w:color w:val="auto"/>
          <w:sz w:val="24"/>
          <w:szCs w:val="24"/>
          <w:highlight w:val="none"/>
          <w:u w:val="dotted"/>
          <w:lang w:eastAsia="zh-CN"/>
        </w:rPr>
      </w:pPr>
      <w:r>
        <w:rPr>
          <w:rFonts w:hint="eastAsia" w:ascii="宋体" w:hAnsi="宋体" w:eastAsia="宋体" w:cs="宋体"/>
          <w:color w:val="auto"/>
          <w:sz w:val="24"/>
          <w:szCs w:val="24"/>
          <w:highlight w:val="none"/>
        </w:rPr>
        <w:t>质疑事项1：</w:t>
      </w:r>
    </w:p>
    <w:p w14:paraId="44505CC1">
      <w:pPr>
        <w:keepNext w:val="0"/>
        <w:keepLines w:val="0"/>
        <w:pageBreakBefore w:val="0"/>
        <w:kinsoku/>
        <w:wordWrap/>
        <w:overflowPunct/>
        <w:topLinePunct w:val="0"/>
        <w:autoSpaceDE/>
        <w:autoSpaceDN/>
        <w:bidi w:val="0"/>
        <w:adjustRightInd w:val="0"/>
        <w:snapToGrid w:val="0"/>
        <w:spacing w:line="360" w:lineRule="exact"/>
        <w:textAlignment w:val="auto"/>
        <w:rPr>
          <w:rFonts w:hint="eastAsia" w:ascii="宋体" w:hAnsi="宋体" w:eastAsia="宋体" w:cs="宋体"/>
          <w:color w:val="auto"/>
          <w:sz w:val="24"/>
          <w:szCs w:val="24"/>
          <w:highlight w:val="none"/>
          <w:u w:val="dotted"/>
          <w:lang w:eastAsia="zh-CN"/>
        </w:rPr>
      </w:pPr>
      <w:r>
        <w:rPr>
          <w:rFonts w:hint="eastAsia" w:ascii="宋体" w:hAnsi="宋体" w:eastAsia="宋体" w:cs="宋体"/>
          <w:color w:val="auto"/>
          <w:sz w:val="24"/>
          <w:szCs w:val="24"/>
          <w:highlight w:val="none"/>
        </w:rPr>
        <w:t>事实依据：</w:t>
      </w:r>
    </w:p>
    <w:p w14:paraId="7A6679D6">
      <w:pPr>
        <w:keepNext w:val="0"/>
        <w:keepLines w:val="0"/>
        <w:pageBreakBefore w:val="0"/>
        <w:kinsoku/>
        <w:wordWrap/>
        <w:overflowPunct/>
        <w:topLinePunct w:val="0"/>
        <w:autoSpaceDE/>
        <w:autoSpaceDN/>
        <w:bidi w:val="0"/>
        <w:adjustRightInd w:val="0"/>
        <w:snapToGrid w:val="0"/>
        <w:spacing w:line="360" w:lineRule="exact"/>
        <w:textAlignment w:val="auto"/>
        <w:rPr>
          <w:rFonts w:hint="eastAsia" w:ascii="宋体" w:hAnsi="宋体" w:eastAsia="宋体" w:cs="宋体"/>
          <w:color w:val="auto"/>
          <w:sz w:val="24"/>
          <w:szCs w:val="24"/>
          <w:highlight w:val="none"/>
          <w:u w:val="dotted"/>
          <w:lang w:eastAsia="zh-CN"/>
        </w:rPr>
      </w:pPr>
      <w:r>
        <w:rPr>
          <w:rFonts w:hint="eastAsia" w:ascii="宋体" w:hAnsi="宋体" w:eastAsia="宋体" w:cs="宋体"/>
          <w:color w:val="auto"/>
          <w:sz w:val="24"/>
          <w:szCs w:val="24"/>
          <w:highlight w:val="none"/>
        </w:rPr>
        <w:t>法律依据：</w:t>
      </w:r>
    </w:p>
    <w:p w14:paraId="3D564E23">
      <w:pPr>
        <w:keepNext w:val="0"/>
        <w:keepLines w:val="0"/>
        <w:pageBreakBefore w:val="0"/>
        <w:kinsoku/>
        <w:wordWrap/>
        <w:overflowPunct/>
        <w:topLinePunct w:val="0"/>
        <w:autoSpaceDE/>
        <w:autoSpaceDN/>
        <w:bidi w:val="0"/>
        <w:adjustRightInd w:val="0"/>
        <w:snapToGrid w:val="0"/>
        <w:spacing w:line="360" w:lineRule="exact"/>
        <w:textAlignment w:val="auto"/>
        <w:rPr>
          <w:rFonts w:hint="eastAsia" w:ascii="宋体" w:hAnsi="宋体" w:eastAsia="宋体" w:cs="宋体"/>
          <w:color w:val="auto"/>
          <w:sz w:val="24"/>
          <w:szCs w:val="24"/>
          <w:highlight w:val="none"/>
          <w:u w:val="dotted"/>
        </w:rPr>
      </w:pPr>
      <w:r>
        <w:rPr>
          <w:rFonts w:hint="eastAsia" w:ascii="宋体" w:hAnsi="宋体" w:eastAsia="宋体" w:cs="宋体"/>
          <w:color w:val="auto"/>
          <w:sz w:val="24"/>
          <w:szCs w:val="24"/>
          <w:highlight w:val="none"/>
        </w:rPr>
        <w:t>质疑事项2</w:t>
      </w:r>
    </w:p>
    <w:p w14:paraId="557BB2E2">
      <w:pPr>
        <w:keepNext w:val="0"/>
        <w:keepLines w:val="0"/>
        <w:pageBreakBefore w:val="0"/>
        <w:kinsoku/>
        <w:wordWrap/>
        <w:overflowPunct/>
        <w:topLinePunct w:val="0"/>
        <w:autoSpaceDE/>
        <w:autoSpaceDN/>
        <w:bidi w:val="0"/>
        <w:adjustRightInd w:val="0"/>
        <w:snapToGrid w:val="0"/>
        <w:spacing w:line="360" w:lineRule="exac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w:t>
      </w:r>
    </w:p>
    <w:p w14:paraId="5BC003C2">
      <w:pPr>
        <w:keepNext w:val="0"/>
        <w:keepLines w:val="0"/>
        <w:pageBreakBefore w:val="0"/>
        <w:kinsoku/>
        <w:wordWrap/>
        <w:overflowPunct/>
        <w:topLinePunct w:val="0"/>
        <w:autoSpaceDE/>
        <w:autoSpaceDN/>
        <w:bidi w:val="0"/>
        <w:adjustRightInd w:val="0"/>
        <w:snapToGrid w:val="0"/>
        <w:spacing w:line="360" w:lineRule="exact"/>
        <w:textAlignment w:val="auto"/>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四、与质疑事项相关的质疑请求</w:t>
      </w:r>
    </w:p>
    <w:p w14:paraId="5ADCB321">
      <w:pPr>
        <w:keepNext w:val="0"/>
        <w:keepLines w:val="0"/>
        <w:pageBreakBefore w:val="0"/>
        <w:kinsoku/>
        <w:wordWrap/>
        <w:overflowPunct/>
        <w:topLinePunct w:val="0"/>
        <w:autoSpaceDE/>
        <w:autoSpaceDN/>
        <w:bidi w:val="0"/>
        <w:adjustRightInd w:val="0"/>
        <w:snapToGrid w:val="0"/>
        <w:spacing w:line="360" w:lineRule="exact"/>
        <w:textAlignment w:val="auto"/>
        <w:rPr>
          <w:rFonts w:hint="eastAsia" w:ascii="宋体" w:hAnsi="宋体" w:eastAsia="宋体" w:cs="宋体"/>
          <w:color w:val="auto"/>
          <w:sz w:val="24"/>
          <w:szCs w:val="24"/>
          <w:highlight w:val="none"/>
          <w:u w:val="dotted"/>
          <w:lang w:eastAsia="zh-CN"/>
        </w:rPr>
      </w:pPr>
      <w:r>
        <w:rPr>
          <w:rFonts w:hint="eastAsia" w:ascii="宋体" w:hAnsi="宋体" w:eastAsia="宋体" w:cs="宋体"/>
          <w:color w:val="auto"/>
          <w:sz w:val="24"/>
          <w:szCs w:val="24"/>
          <w:highlight w:val="none"/>
        </w:rPr>
        <w:t>请求：</w:t>
      </w:r>
    </w:p>
    <w:p w14:paraId="7F465097">
      <w:pPr>
        <w:keepNext w:val="0"/>
        <w:keepLines w:val="0"/>
        <w:pageBreakBefore w:val="0"/>
        <w:kinsoku/>
        <w:wordWrap/>
        <w:overflowPunct/>
        <w:topLinePunct w:val="0"/>
        <w:autoSpaceDE/>
        <w:autoSpaceDN/>
        <w:bidi w:val="0"/>
        <w:spacing w:line="360" w:lineRule="exac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签字(签章)：</w:t>
      </w:r>
    </w:p>
    <w:p w14:paraId="2A794213">
      <w:pPr>
        <w:keepNext w:val="0"/>
        <w:keepLines w:val="0"/>
        <w:pageBreakBefore w:val="0"/>
        <w:kinsoku/>
        <w:wordWrap/>
        <w:overflowPunct/>
        <w:topLinePunct w:val="0"/>
        <w:autoSpaceDE/>
        <w:autoSpaceDN/>
        <w:bidi w:val="0"/>
        <w:spacing w:line="360" w:lineRule="exact"/>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公章：</w:t>
      </w:r>
    </w:p>
    <w:p w14:paraId="7B6A8FB9">
      <w:pPr>
        <w:keepNext w:val="0"/>
        <w:keepLines w:val="0"/>
        <w:pageBreakBefore w:val="0"/>
        <w:kinsoku/>
        <w:wordWrap/>
        <w:overflowPunct/>
        <w:topLinePunct w:val="0"/>
        <w:autoSpaceDE/>
        <w:autoSpaceDN/>
        <w:bidi w:val="0"/>
        <w:spacing w:line="360" w:lineRule="exact"/>
        <w:jc w:val="both"/>
        <w:textAlignment w:val="auto"/>
        <w:rPr>
          <w:rFonts w:hint="eastAsia" w:ascii="宋体" w:hAnsi="宋体" w:eastAsia="宋体" w:cs="宋体"/>
          <w:b/>
          <w:bCs/>
          <w:color w:val="auto"/>
          <w:sz w:val="24"/>
          <w:szCs w:val="24"/>
          <w:highlight w:val="none"/>
        </w:rPr>
      </w:pPr>
      <w:r>
        <w:rPr>
          <w:rFonts w:hint="eastAsia" w:ascii="宋体" w:hAnsi="宋体" w:eastAsia="宋体" w:cs="宋体"/>
          <w:color w:val="auto"/>
          <w:sz w:val="24"/>
          <w:szCs w:val="24"/>
          <w:highlight w:val="none"/>
        </w:rPr>
        <w:t>日期：</w:t>
      </w:r>
    </w:p>
    <w:p w14:paraId="73A19066">
      <w:pPr>
        <w:keepNext w:val="0"/>
        <w:keepLines w:val="0"/>
        <w:pageBreakBefore w:val="0"/>
        <w:kinsoku/>
        <w:wordWrap/>
        <w:overflowPunct/>
        <w:topLinePunct w:val="0"/>
        <w:autoSpaceDE/>
        <w:autoSpaceDN/>
        <w:bidi w:val="0"/>
        <w:spacing w:line="360" w:lineRule="exact"/>
        <w:textAlignment w:val="auto"/>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质疑函制作说明：</w:t>
      </w:r>
    </w:p>
    <w:p w14:paraId="6FB9CF02">
      <w:pPr>
        <w:keepNext w:val="0"/>
        <w:keepLines w:val="0"/>
        <w:pageBreakBefore w:val="0"/>
        <w:widowControl/>
        <w:kinsoku/>
        <w:wordWrap/>
        <w:overflowPunct/>
        <w:topLinePunct w:val="0"/>
        <w:autoSpaceDE/>
        <w:autoSpaceDN/>
        <w:bidi w:val="0"/>
        <w:spacing w:line="360" w:lineRule="exact"/>
        <w:ind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1.供应商提出质疑时，应提交质疑函和必要的证明材料。2.质疑供应商若委托代理人进行质疑的，质疑函应按要求列明“授权代表”的有关内容，并在附件中提交由质疑</w:t>
      </w:r>
      <w:r>
        <w:rPr>
          <w:rFonts w:hint="eastAsia" w:ascii="宋体" w:hAnsi="宋体" w:eastAsia="宋体" w:cs="宋体"/>
          <w:color w:val="auto"/>
          <w:kern w:val="0"/>
          <w:sz w:val="24"/>
          <w:szCs w:val="24"/>
          <w:highlight w:val="none"/>
        </w:rPr>
        <w:t>供应商签署的授权委托书。授权委托书应载明代理人的姓名或者名称、代理事项、具体权限、期限和相关事项。</w:t>
      </w:r>
    </w:p>
    <w:p w14:paraId="65CBA608">
      <w:pPr>
        <w:keepNext w:val="0"/>
        <w:keepLines w:val="0"/>
        <w:pageBreakBefore w:val="0"/>
        <w:widowControl/>
        <w:kinsoku/>
        <w:wordWrap/>
        <w:overflowPunct/>
        <w:topLinePunct w:val="0"/>
        <w:autoSpaceDE/>
        <w:autoSpaceDN/>
        <w:bidi w:val="0"/>
        <w:spacing w:line="360" w:lineRule="exact"/>
        <w:ind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3.质疑供应商若对项目的某一分包进行质疑，质疑函中应列明具体分包号。</w:t>
      </w:r>
    </w:p>
    <w:p w14:paraId="6B0D3A8E">
      <w:pPr>
        <w:keepNext w:val="0"/>
        <w:keepLines w:val="0"/>
        <w:pageBreakBefore w:val="0"/>
        <w:widowControl/>
        <w:kinsoku/>
        <w:wordWrap/>
        <w:overflowPunct/>
        <w:topLinePunct w:val="0"/>
        <w:autoSpaceDE/>
        <w:autoSpaceDN/>
        <w:bidi w:val="0"/>
        <w:spacing w:line="360" w:lineRule="exact"/>
        <w:ind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4.质疑函的质疑事项应具体、明确，并有必要的事实依据和法律依据。</w:t>
      </w:r>
    </w:p>
    <w:p w14:paraId="41200D15">
      <w:pPr>
        <w:keepNext w:val="0"/>
        <w:keepLines w:val="0"/>
        <w:pageBreakBefore w:val="0"/>
        <w:widowControl/>
        <w:kinsoku/>
        <w:wordWrap/>
        <w:overflowPunct/>
        <w:topLinePunct w:val="0"/>
        <w:autoSpaceDE/>
        <w:autoSpaceDN/>
        <w:bidi w:val="0"/>
        <w:spacing w:line="360" w:lineRule="exact"/>
        <w:ind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5.质疑函的质疑请求应与质疑事项相关。</w:t>
      </w:r>
    </w:p>
    <w:p w14:paraId="1F4B7D78">
      <w:pPr>
        <w:keepNext w:val="0"/>
        <w:keepLines w:val="0"/>
        <w:pageBreakBefore w:val="0"/>
        <w:widowControl/>
        <w:kinsoku/>
        <w:wordWrap/>
        <w:overflowPunct/>
        <w:topLinePunct w:val="0"/>
        <w:autoSpaceDE/>
        <w:autoSpaceDN/>
        <w:bidi w:val="0"/>
        <w:spacing w:line="360" w:lineRule="exact"/>
        <w:ind w:firstLine="480" w:firstLineChars="200"/>
        <w:jc w:val="left"/>
        <w:textAlignment w:val="auto"/>
        <w:rPr>
          <w:rFonts w:hint="eastAsia" w:ascii="宋体" w:hAnsi="宋体" w:eastAsia="宋体" w:cs="宋体"/>
          <w:color w:val="auto"/>
          <w:sz w:val="30"/>
          <w:szCs w:val="30"/>
          <w:highlight w:val="none"/>
        </w:rPr>
      </w:pPr>
      <w:r>
        <w:rPr>
          <w:rFonts w:hint="eastAsia" w:ascii="宋体" w:hAnsi="宋体" w:eastAsia="宋体" w:cs="宋体"/>
          <w:color w:val="auto"/>
          <w:sz w:val="24"/>
          <w:szCs w:val="24"/>
          <w:highlight w:val="none"/>
        </w:rPr>
        <w:t>6.质疑供应商为自然人的，质疑函应由本人签字；质疑供应商为法人或者其他组织的，质疑函应由法定代表人、主要负责人，或者其授权代表签字或者盖章，并加盖公章。</w:t>
      </w:r>
    </w:p>
    <w:p w14:paraId="6CE1658E">
      <w:pPr>
        <w:keepNext w:val="0"/>
        <w:keepLines w:val="0"/>
        <w:pageBreakBefore w:val="0"/>
        <w:widowControl/>
        <w:kinsoku/>
        <w:wordWrap/>
        <w:overflowPunct/>
        <w:topLinePunct w:val="0"/>
        <w:autoSpaceDE/>
        <w:autoSpaceDN/>
        <w:bidi w:val="0"/>
        <w:spacing w:line="360" w:lineRule="exact"/>
        <w:jc w:val="left"/>
        <w:textAlignment w:val="auto"/>
        <w:rPr>
          <w:rFonts w:hint="eastAsia" w:ascii="宋体" w:hAnsi="宋体" w:eastAsia="宋体" w:cs="宋体"/>
          <w:color w:val="auto"/>
          <w:kern w:val="0"/>
          <w:sz w:val="24"/>
          <w:highlight w:val="none"/>
        </w:rPr>
        <w:sectPr>
          <w:pgSz w:w="11906" w:h="16838"/>
          <w:pgMar w:top="1134" w:right="1134" w:bottom="1134" w:left="1134" w:header="720" w:footer="720" w:gutter="0"/>
          <w:cols w:space="720" w:num="1"/>
          <w:docGrid w:type="lines" w:linePitch="331" w:charSpace="0"/>
        </w:sectPr>
      </w:pPr>
    </w:p>
    <w:p w14:paraId="3CD7B28D">
      <w:pPr>
        <w:pStyle w:val="3"/>
        <w:jc w:val="center"/>
        <w:rPr>
          <w:rFonts w:hint="eastAsia" w:ascii="宋体" w:hAnsi="宋体" w:eastAsia="宋体" w:cs="宋体"/>
          <w:b w:val="0"/>
          <w:bCs w:val="0"/>
          <w:color w:val="auto"/>
          <w:highlight w:val="none"/>
        </w:rPr>
      </w:pPr>
      <w:bookmarkStart w:id="33" w:name="_Toc31876"/>
      <w:r>
        <w:rPr>
          <w:rFonts w:hint="eastAsia" w:ascii="宋体" w:hAnsi="宋体" w:eastAsia="宋体" w:cs="宋体"/>
          <w:b w:val="0"/>
          <w:bCs w:val="0"/>
          <w:color w:val="auto"/>
          <w:highlight w:val="none"/>
        </w:rPr>
        <w:t>第二节投诉书（格式）</w:t>
      </w:r>
      <w:bookmarkEnd w:id="33"/>
    </w:p>
    <w:p w14:paraId="34E2D30B">
      <w:pPr>
        <w:jc w:val="center"/>
        <w:rPr>
          <w:rFonts w:hint="eastAsia" w:ascii="宋体" w:hAnsi="宋体" w:eastAsia="宋体" w:cs="宋体"/>
          <w:b/>
          <w:color w:val="auto"/>
          <w:sz w:val="44"/>
          <w:szCs w:val="44"/>
          <w:highlight w:val="none"/>
        </w:rPr>
      </w:pPr>
      <w:r>
        <w:rPr>
          <w:rFonts w:hint="eastAsia" w:ascii="宋体" w:hAnsi="宋体" w:eastAsia="宋体" w:cs="宋体"/>
          <w:b/>
          <w:color w:val="auto"/>
          <w:sz w:val="44"/>
          <w:szCs w:val="44"/>
          <w:highlight w:val="none"/>
        </w:rPr>
        <w:t>投诉书范本</w:t>
      </w:r>
    </w:p>
    <w:p w14:paraId="0E0EE5B6">
      <w:pP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一、投诉相关主体基本情况</w:t>
      </w:r>
    </w:p>
    <w:p w14:paraId="50D11EB1">
      <w:pPr>
        <w:rPr>
          <w:rFonts w:hint="eastAsia" w:ascii="宋体" w:hAnsi="宋体" w:eastAsia="宋体" w:cs="宋体"/>
          <w:color w:val="auto"/>
          <w:sz w:val="24"/>
          <w:szCs w:val="24"/>
          <w:highlight w:val="none"/>
          <w:u w:val="dotted"/>
          <w:lang w:eastAsia="zh-CN"/>
        </w:rPr>
      </w:pPr>
      <w:r>
        <w:rPr>
          <w:rFonts w:hint="eastAsia" w:ascii="宋体" w:hAnsi="宋体" w:eastAsia="宋体" w:cs="宋体"/>
          <w:color w:val="auto"/>
          <w:sz w:val="24"/>
          <w:szCs w:val="24"/>
          <w:highlight w:val="none"/>
        </w:rPr>
        <w:t>投诉人：</w:t>
      </w:r>
    </w:p>
    <w:p w14:paraId="1CF4457A">
      <w:pPr>
        <w:rPr>
          <w:rFonts w:hint="eastAsia" w:ascii="宋体" w:hAnsi="宋体" w:eastAsia="宋体" w:cs="宋体"/>
          <w:color w:val="auto"/>
          <w:sz w:val="24"/>
          <w:szCs w:val="24"/>
          <w:highlight w:val="none"/>
          <w:u w:val="single"/>
          <w:lang w:eastAsia="zh-CN"/>
        </w:rPr>
      </w:pPr>
      <w:r>
        <w:rPr>
          <w:rFonts w:hint="eastAsia" w:ascii="宋体" w:hAnsi="宋体" w:eastAsia="宋体" w:cs="宋体"/>
          <w:color w:val="auto"/>
          <w:sz w:val="24"/>
          <w:szCs w:val="24"/>
          <w:highlight w:val="none"/>
        </w:rPr>
        <w:t>地址：邮编：</w:t>
      </w:r>
    </w:p>
    <w:p w14:paraId="2E31C397">
      <w:pPr>
        <w:tabs>
          <w:tab w:val="left" w:pos="6510"/>
        </w:tabs>
        <w:jc w:val="left"/>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法定代表人/主要负责人：</w:t>
      </w:r>
    </w:p>
    <w:p w14:paraId="2C9F0D7C">
      <w:pPr>
        <w:tabs>
          <w:tab w:val="left" w:pos="6510"/>
        </w:tabs>
        <w:rPr>
          <w:rFonts w:hint="eastAsia" w:ascii="宋体" w:hAnsi="宋体" w:eastAsia="宋体" w:cs="宋体"/>
          <w:color w:val="auto"/>
          <w:sz w:val="24"/>
          <w:szCs w:val="24"/>
          <w:highlight w:val="none"/>
          <w:u w:val="dotted"/>
          <w:lang w:eastAsia="zh-CN"/>
        </w:rPr>
      </w:pPr>
      <w:r>
        <w:rPr>
          <w:rFonts w:hint="eastAsia" w:ascii="宋体" w:hAnsi="宋体" w:eastAsia="宋体" w:cs="宋体"/>
          <w:color w:val="auto"/>
          <w:sz w:val="24"/>
          <w:szCs w:val="24"/>
          <w:highlight w:val="none"/>
        </w:rPr>
        <w:t>联系电话：</w:t>
      </w:r>
    </w:p>
    <w:p w14:paraId="5471F4CD">
      <w:pPr>
        <w:rPr>
          <w:rFonts w:hint="eastAsia" w:ascii="宋体" w:hAnsi="宋体" w:eastAsia="宋体" w:cs="宋体"/>
          <w:color w:val="auto"/>
          <w:sz w:val="24"/>
          <w:szCs w:val="24"/>
          <w:highlight w:val="none"/>
          <w:u w:val="dotted"/>
          <w:lang w:eastAsia="zh-CN"/>
        </w:rPr>
      </w:pPr>
      <w:r>
        <w:rPr>
          <w:rFonts w:hint="eastAsia" w:ascii="宋体" w:hAnsi="宋体" w:eastAsia="宋体" w:cs="宋体"/>
          <w:color w:val="auto"/>
          <w:sz w:val="24"/>
          <w:szCs w:val="24"/>
          <w:highlight w:val="none"/>
        </w:rPr>
        <w:t>授权代表：联系电话</w:t>
      </w:r>
      <w:r>
        <w:rPr>
          <w:rFonts w:hint="eastAsia" w:ascii="宋体" w:hAnsi="宋体" w:eastAsia="宋体" w:cs="宋体"/>
          <w:color w:val="auto"/>
          <w:sz w:val="24"/>
          <w:szCs w:val="24"/>
          <w:highlight w:val="none"/>
          <w:u w:val="dotted"/>
        </w:rPr>
        <w:t>：</w:t>
      </w:r>
    </w:p>
    <w:p w14:paraId="07F54A3C">
      <w:pPr>
        <w:rPr>
          <w:rFonts w:hint="eastAsia" w:ascii="宋体" w:hAnsi="宋体" w:eastAsia="宋体" w:cs="宋体"/>
          <w:color w:val="auto"/>
          <w:sz w:val="24"/>
          <w:szCs w:val="24"/>
          <w:highlight w:val="none"/>
          <w:u w:val="dotted"/>
          <w:lang w:eastAsia="zh-CN"/>
        </w:rPr>
      </w:pPr>
      <w:r>
        <w:rPr>
          <w:rFonts w:hint="eastAsia" w:ascii="宋体" w:hAnsi="宋体" w:eastAsia="宋体" w:cs="宋体"/>
          <w:color w:val="auto"/>
          <w:sz w:val="24"/>
          <w:szCs w:val="24"/>
          <w:highlight w:val="none"/>
        </w:rPr>
        <w:t>地址：邮编：</w:t>
      </w:r>
    </w:p>
    <w:p w14:paraId="13BA624F">
      <w:pPr>
        <w:rPr>
          <w:rFonts w:hint="eastAsia" w:ascii="宋体" w:hAnsi="宋体" w:eastAsia="宋体" w:cs="宋体"/>
          <w:color w:val="auto"/>
          <w:sz w:val="24"/>
          <w:szCs w:val="24"/>
          <w:highlight w:val="none"/>
          <w:u w:val="single"/>
          <w:lang w:eastAsia="zh-CN"/>
        </w:rPr>
      </w:pPr>
      <w:r>
        <w:rPr>
          <w:rFonts w:hint="eastAsia" w:ascii="宋体" w:hAnsi="宋体" w:eastAsia="宋体" w:cs="宋体"/>
          <w:color w:val="auto"/>
          <w:sz w:val="24"/>
          <w:szCs w:val="24"/>
          <w:highlight w:val="none"/>
        </w:rPr>
        <w:t>被投诉人1：</w:t>
      </w:r>
    </w:p>
    <w:p w14:paraId="1A76A0A9">
      <w:pPr>
        <w:rPr>
          <w:rFonts w:hint="eastAsia" w:ascii="宋体" w:hAnsi="宋体" w:eastAsia="宋体" w:cs="宋体"/>
          <w:color w:val="auto"/>
          <w:sz w:val="24"/>
          <w:szCs w:val="24"/>
          <w:highlight w:val="none"/>
          <w:u w:val="single"/>
          <w:lang w:eastAsia="zh-CN"/>
        </w:rPr>
      </w:pPr>
      <w:r>
        <w:rPr>
          <w:rFonts w:hint="eastAsia" w:ascii="宋体" w:hAnsi="宋体" w:eastAsia="宋体" w:cs="宋体"/>
          <w:color w:val="auto"/>
          <w:sz w:val="24"/>
          <w:szCs w:val="24"/>
          <w:highlight w:val="none"/>
        </w:rPr>
        <w:t>地址：邮编：</w:t>
      </w:r>
    </w:p>
    <w:p w14:paraId="6780A01E">
      <w:pPr>
        <w:rPr>
          <w:rFonts w:hint="eastAsia" w:ascii="宋体" w:hAnsi="宋体" w:eastAsia="宋体" w:cs="宋体"/>
          <w:color w:val="auto"/>
          <w:sz w:val="24"/>
          <w:szCs w:val="24"/>
          <w:highlight w:val="none"/>
          <w:u w:val="single"/>
          <w:lang w:eastAsia="zh-CN"/>
        </w:rPr>
      </w:pPr>
      <w:r>
        <w:rPr>
          <w:rFonts w:hint="eastAsia" w:ascii="宋体" w:hAnsi="宋体" w:eastAsia="宋体" w:cs="宋体"/>
          <w:color w:val="auto"/>
          <w:sz w:val="24"/>
          <w:szCs w:val="24"/>
          <w:highlight w:val="none"/>
        </w:rPr>
        <w:t>联系人：联系电话：</w:t>
      </w:r>
    </w:p>
    <w:p w14:paraId="56465F0E">
      <w:pP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被投诉人2</w:t>
      </w:r>
    </w:p>
    <w:p w14:paraId="53075F2D">
      <w:pPr>
        <w:rPr>
          <w:rFonts w:hint="eastAsia" w:ascii="宋体" w:hAnsi="宋体" w:eastAsia="宋体" w:cs="宋体"/>
          <w:color w:val="auto"/>
          <w:sz w:val="24"/>
          <w:szCs w:val="24"/>
          <w:highlight w:val="none"/>
          <w:u w:val="dotted"/>
        </w:rPr>
      </w:pPr>
      <w:r>
        <w:rPr>
          <w:rFonts w:hint="eastAsia" w:ascii="宋体" w:hAnsi="宋体" w:eastAsia="宋体" w:cs="宋体"/>
          <w:color w:val="auto"/>
          <w:sz w:val="24"/>
          <w:szCs w:val="24"/>
          <w:highlight w:val="none"/>
        </w:rPr>
        <w:t>……</w:t>
      </w:r>
    </w:p>
    <w:p w14:paraId="604E14B2">
      <w:pPr>
        <w:rPr>
          <w:rFonts w:hint="eastAsia" w:ascii="宋体" w:hAnsi="宋体" w:eastAsia="宋体" w:cs="宋体"/>
          <w:color w:val="auto"/>
          <w:sz w:val="24"/>
          <w:szCs w:val="24"/>
          <w:highlight w:val="none"/>
          <w:u w:val="single"/>
          <w:lang w:eastAsia="zh-CN"/>
        </w:rPr>
      </w:pPr>
      <w:r>
        <w:rPr>
          <w:rFonts w:hint="eastAsia" w:ascii="宋体" w:hAnsi="宋体" w:eastAsia="宋体" w:cs="宋体"/>
          <w:color w:val="auto"/>
          <w:sz w:val="24"/>
          <w:szCs w:val="24"/>
          <w:highlight w:val="none"/>
        </w:rPr>
        <w:t>相关供应商：</w:t>
      </w:r>
    </w:p>
    <w:p w14:paraId="7AF9A1A4">
      <w:pPr>
        <w:rPr>
          <w:rFonts w:hint="eastAsia" w:ascii="宋体" w:hAnsi="宋体" w:eastAsia="宋体" w:cs="宋体"/>
          <w:color w:val="auto"/>
          <w:sz w:val="24"/>
          <w:szCs w:val="24"/>
          <w:highlight w:val="none"/>
          <w:u w:val="single"/>
          <w:lang w:eastAsia="zh-CN"/>
        </w:rPr>
      </w:pPr>
      <w:r>
        <w:rPr>
          <w:rFonts w:hint="eastAsia" w:ascii="宋体" w:hAnsi="宋体" w:eastAsia="宋体" w:cs="宋体"/>
          <w:color w:val="auto"/>
          <w:sz w:val="24"/>
          <w:szCs w:val="24"/>
          <w:highlight w:val="none"/>
        </w:rPr>
        <w:t>地址：邮编：</w:t>
      </w:r>
    </w:p>
    <w:p w14:paraId="2D2915D8">
      <w:pPr>
        <w:rPr>
          <w:rFonts w:hint="eastAsia" w:ascii="宋体" w:hAnsi="宋体" w:eastAsia="宋体" w:cs="宋体"/>
          <w:color w:val="auto"/>
          <w:sz w:val="24"/>
          <w:szCs w:val="24"/>
          <w:highlight w:val="none"/>
          <w:u w:val="single"/>
          <w:lang w:eastAsia="zh-CN"/>
        </w:rPr>
      </w:pPr>
      <w:r>
        <w:rPr>
          <w:rFonts w:hint="eastAsia" w:ascii="宋体" w:hAnsi="宋体" w:eastAsia="宋体" w:cs="宋体"/>
          <w:color w:val="auto"/>
          <w:sz w:val="24"/>
          <w:szCs w:val="24"/>
          <w:highlight w:val="none"/>
        </w:rPr>
        <w:t>联系人：联系电话：</w:t>
      </w:r>
    </w:p>
    <w:p w14:paraId="4A1480C9">
      <w:pP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二、投诉项目基本情况</w:t>
      </w:r>
    </w:p>
    <w:p w14:paraId="1A0EF4D5">
      <w:pPr>
        <w:rPr>
          <w:rFonts w:hint="eastAsia" w:ascii="宋体" w:hAnsi="宋体" w:eastAsia="宋体" w:cs="宋体"/>
          <w:color w:val="auto"/>
          <w:sz w:val="24"/>
          <w:szCs w:val="24"/>
          <w:highlight w:val="none"/>
          <w:u w:val="dotted"/>
          <w:lang w:eastAsia="zh-CN"/>
        </w:rPr>
      </w:pPr>
      <w:r>
        <w:rPr>
          <w:rFonts w:hint="eastAsia" w:ascii="宋体" w:hAnsi="宋体" w:eastAsia="宋体" w:cs="宋体"/>
          <w:color w:val="auto"/>
          <w:sz w:val="24"/>
          <w:szCs w:val="24"/>
          <w:highlight w:val="none"/>
        </w:rPr>
        <w:t>采购项目名称：</w:t>
      </w:r>
      <w:r>
        <w:rPr>
          <w:rFonts w:hint="eastAsia" w:ascii="宋体" w:hAnsi="宋体" w:cs="宋体"/>
          <w:color w:val="auto"/>
          <w:sz w:val="24"/>
          <w:szCs w:val="24"/>
          <w:highlight w:val="none"/>
          <w:u w:val="dotted"/>
          <w:lang w:eastAsia="zh-CN"/>
        </w:rPr>
        <w:t>2026年度中央财政林业草原生态保护恢复资金-广西横州市西津国家重要湿地保护与恢复项目（干扰及成效监测）</w:t>
      </w:r>
    </w:p>
    <w:p w14:paraId="3AA477A5">
      <w:pPr>
        <w:rPr>
          <w:rFonts w:hint="eastAsia" w:ascii="宋体" w:hAnsi="宋体" w:eastAsia="宋体" w:cs="宋体"/>
          <w:color w:val="auto"/>
          <w:sz w:val="24"/>
          <w:szCs w:val="24"/>
          <w:highlight w:val="none"/>
          <w:u w:val="single"/>
          <w:lang w:eastAsia="zh-CN"/>
        </w:rPr>
      </w:pPr>
      <w:r>
        <w:rPr>
          <w:rFonts w:hint="eastAsia" w:ascii="宋体" w:hAnsi="宋体" w:eastAsia="宋体" w:cs="宋体"/>
          <w:color w:val="auto"/>
          <w:sz w:val="24"/>
          <w:szCs w:val="24"/>
          <w:highlight w:val="none"/>
        </w:rPr>
        <w:t>采购项目编号：</w:t>
      </w:r>
      <w:r>
        <w:rPr>
          <w:rFonts w:hint="eastAsia" w:ascii="宋体" w:hAnsi="宋体" w:cs="宋体"/>
          <w:color w:val="auto"/>
          <w:sz w:val="24"/>
          <w:szCs w:val="24"/>
          <w:highlight w:val="none"/>
          <w:u w:val="dotted"/>
          <w:lang w:eastAsia="zh-CN"/>
        </w:rPr>
        <w:t>NNZC2026-G3-270174-GXZT</w:t>
      </w:r>
      <w:r>
        <w:rPr>
          <w:rFonts w:hint="eastAsia" w:ascii="宋体" w:hAnsi="宋体" w:eastAsia="宋体" w:cs="宋体"/>
          <w:color w:val="auto"/>
          <w:sz w:val="24"/>
          <w:szCs w:val="24"/>
          <w:highlight w:val="none"/>
        </w:rPr>
        <w:t>包号：</w:t>
      </w:r>
    </w:p>
    <w:p w14:paraId="5332E8A7">
      <w:pPr>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采购人名称：</w:t>
      </w:r>
      <w:r>
        <w:rPr>
          <w:rFonts w:hint="eastAsia" w:ascii="宋体" w:hAnsi="宋体" w:eastAsia="宋体" w:cs="宋体"/>
          <w:color w:val="auto"/>
          <w:sz w:val="24"/>
          <w:szCs w:val="24"/>
          <w:highlight w:val="none"/>
          <w:u w:val="dotted"/>
          <w:lang w:eastAsia="zh-CN"/>
        </w:rPr>
        <w:t>横州市西津国家湿地公园管理处</w:t>
      </w:r>
    </w:p>
    <w:p w14:paraId="29AE01FF">
      <w:pPr>
        <w:rPr>
          <w:rFonts w:hint="eastAsia" w:ascii="宋体" w:hAnsi="宋体" w:eastAsia="宋体" w:cs="宋体"/>
          <w:color w:val="auto"/>
          <w:sz w:val="24"/>
          <w:szCs w:val="24"/>
          <w:highlight w:val="none"/>
          <w:u w:val="single"/>
          <w:lang w:eastAsia="zh-CN"/>
        </w:rPr>
      </w:pPr>
      <w:r>
        <w:rPr>
          <w:rFonts w:hint="eastAsia" w:ascii="宋体" w:hAnsi="宋体" w:eastAsia="宋体" w:cs="宋体"/>
          <w:color w:val="auto"/>
          <w:sz w:val="24"/>
          <w:szCs w:val="24"/>
          <w:highlight w:val="none"/>
        </w:rPr>
        <w:t>代理机构名称：</w:t>
      </w:r>
    </w:p>
    <w:p w14:paraId="66A9D337">
      <w:pPr>
        <w:rPr>
          <w:rFonts w:hint="eastAsia" w:ascii="宋体" w:hAnsi="宋体" w:eastAsia="宋体" w:cs="宋体"/>
          <w:color w:val="auto"/>
          <w:sz w:val="24"/>
          <w:szCs w:val="24"/>
          <w:highlight w:val="none"/>
          <w:u w:val="dotted"/>
          <w:lang w:eastAsia="zh-CN"/>
        </w:rPr>
      </w:pPr>
      <w:r>
        <w:rPr>
          <w:rFonts w:hint="eastAsia" w:ascii="宋体" w:hAnsi="宋体" w:eastAsia="宋体" w:cs="宋体"/>
          <w:color w:val="auto"/>
          <w:sz w:val="24"/>
          <w:szCs w:val="24"/>
          <w:highlight w:val="none"/>
        </w:rPr>
        <w:t>采购文件公告:</w:t>
      </w:r>
      <w:r>
        <w:rPr>
          <w:rFonts w:hint="eastAsia" w:ascii="宋体" w:hAnsi="宋体" w:eastAsia="宋体" w:cs="宋体"/>
          <w:color w:val="auto"/>
          <w:sz w:val="24"/>
          <w:szCs w:val="24"/>
          <w:highlight w:val="none"/>
          <w:u w:val="dotted"/>
        </w:rPr>
        <w:t>是/否</w:t>
      </w:r>
      <w:r>
        <w:rPr>
          <w:rFonts w:hint="eastAsia" w:ascii="宋体" w:hAnsi="宋体" w:eastAsia="宋体" w:cs="宋体"/>
          <w:color w:val="auto"/>
          <w:sz w:val="24"/>
          <w:szCs w:val="24"/>
          <w:highlight w:val="none"/>
        </w:rPr>
        <w:t>公告期限：</w:t>
      </w:r>
    </w:p>
    <w:p w14:paraId="60854BC5">
      <w:pPr>
        <w:rPr>
          <w:rFonts w:hint="eastAsia" w:ascii="宋体" w:hAnsi="宋体" w:eastAsia="宋体" w:cs="宋体"/>
          <w:color w:val="auto"/>
          <w:sz w:val="24"/>
          <w:szCs w:val="24"/>
          <w:highlight w:val="none"/>
          <w:u w:val="single"/>
          <w:lang w:eastAsia="zh-CN"/>
        </w:rPr>
      </w:pPr>
      <w:r>
        <w:rPr>
          <w:rFonts w:hint="eastAsia" w:ascii="宋体" w:hAnsi="宋体" w:eastAsia="宋体" w:cs="宋体"/>
          <w:color w:val="auto"/>
          <w:sz w:val="24"/>
          <w:szCs w:val="24"/>
          <w:highlight w:val="none"/>
        </w:rPr>
        <w:t>采购结果公告:</w:t>
      </w:r>
      <w:r>
        <w:rPr>
          <w:rFonts w:hint="eastAsia" w:ascii="宋体" w:hAnsi="宋体" w:eastAsia="宋体" w:cs="宋体"/>
          <w:color w:val="auto"/>
          <w:sz w:val="24"/>
          <w:szCs w:val="24"/>
          <w:highlight w:val="none"/>
          <w:u w:val="dotted"/>
        </w:rPr>
        <w:t>是/否</w:t>
      </w:r>
      <w:r>
        <w:rPr>
          <w:rFonts w:hint="eastAsia" w:ascii="宋体" w:hAnsi="宋体" w:eastAsia="宋体" w:cs="宋体"/>
          <w:color w:val="auto"/>
          <w:sz w:val="24"/>
          <w:szCs w:val="24"/>
          <w:highlight w:val="none"/>
        </w:rPr>
        <w:t>公告期限：</w:t>
      </w:r>
    </w:p>
    <w:p w14:paraId="5C3DEF75">
      <w:pP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三、质疑基本情况</w:t>
      </w:r>
    </w:p>
    <w:p w14:paraId="746882DC">
      <w:pPr>
        <w:ind w:firstLine="480" w:firstLineChars="200"/>
        <w:rPr>
          <w:rFonts w:hint="eastAsia" w:ascii="宋体" w:hAnsi="宋体" w:eastAsia="宋体" w:cs="宋体"/>
          <w:color w:val="auto"/>
          <w:sz w:val="24"/>
          <w:szCs w:val="24"/>
          <w:highlight w:val="none"/>
          <w:u w:val="dotted"/>
          <w:lang w:eastAsia="zh-CN"/>
        </w:rPr>
      </w:pPr>
      <w:r>
        <w:rPr>
          <w:rFonts w:hint="eastAsia" w:ascii="宋体" w:hAnsi="宋体" w:eastAsia="宋体" w:cs="宋体"/>
          <w:color w:val="auto"/>
          <w:sz w:val="24"/>
          <w:szCs w:val="24"/>
          <w:highlight w:val="none"/>
        </w:rPr>
        <w:t>投诉人于年月日,向提出质疑，质疑事项为：</w:t>
      </w:r>
    </w:p>
    <w:p w14:paraId="3E09B06F">
      <w:pPr>
        <w:rPr>
          <w:rFonts w:hint="eastAsia" w:ascii="宋体" w:hAnsi="宋体" w:eastAsia="宋体" w:cs="宋体"/>
          <w:color w:val="auto"/>
          <w:sz w:val="24"/>
          <w:szCs w:val="24"/>
          <w:highlight w:val="none"/>
          <w:u w:val="dotted"/>
          <w:lang w:eastAsia="zh-CN"/>
        </w:rPr>
      </w:pPr>
    </w:p>
    <w:p w14:paraId="2BE4663E">
      <w:pPr>
        <w:ind w:firstLine="360" w:firstLineChars="15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u w:val="dotted"/>
        </w:rPr>
        <w:t>采购人/代理机构</w:t>
      </w:r>
      <w:r>
        <w:rPr>
          <w:rFonts w:hint="eastAsia" w:ascii="宋体" w:hAnsi="宋体" w:eastAsia="宋体" w:cs="宋体"/>
          <w:color w:val="auto"/>
          <w:sz w:val="24"/>
          <w:szCs w:val="24"/>
          <w:highlight w:val="none"/>
        </w:rPr>
        <w:t>于年月日,就质疑事项作出了答复/没有在法定期限内作出答复。</w:t>
      </w:r>
    </w:p>
    <w:p w14:paraId="5D25E999">
      <w:pP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四、投诉事项具体内容</w:t>
      </w:r>
    </w:p>
    <w:p w14:paraId="27CC772E">
      <w:pPr>
        <w:rPr>
          <w:rFonts w:hint="eastAsia" w:ascii="宋体" w:hAnsi="宋体" w:eastAsia="宋体" w:cs="宋体"/>
          <w:color w:val="auto"/>
          <w:sz w:val="24"/>
          <w:szCs w:val="24"/>
          <w:highlight w:val="none"/>
          <w:u w:val="single"/>
          <w:lang w:eastAsia="zh-CN"/>
        </w:rPr>
      </w:pPr>
      <w:r>
        <w:rPr>
          <w:rFonts w:hint="eastAsia" w:ascii="宋体" w:hAnsi="宋体" w:eastAsia="宋体" w:cs="宋体"/>
          <w:color w:val="auto"/>
          <w:sz w:val="24"/>
          <w:szCs w:val="24"/>
          <w:highlight w:val="none"/>
        </w:rPr>
        <w:t>投诉事项1：</w:t>
      </w:r>
    </w:p>
    <w:p w14:paraId="16E9377A">
      <w:pPr>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事实依据：</w:t>
      </w:r>
    </w:p>
    <w:p w14:paraId="320F1136">
      <w:pPr>
        <w:rPr>
          <w:rFonts w:hint="eastAsia" w:ascii="宋体" w:hAnsi="宋体" w:eastAsia="宋体" w:cs="宋体"/>
          <w:color w:val="auto"/>
          <w:sz w:val="24"/>
          <w:szCs w:val="24"/>
          <w:highlight w:val="none"/>
          <w:u w:val="dotted"/>
          <w:lang w:eastAsia="zh-CN"/>
        </w:rPr>
      </w:pPr>
    </w:p>
    <w:p w14:paraId="630F3AD8">
      <w:pPr>
        <w:rPr>
          <w:rFonts w:hint="eastAsia" w:ascii="宋体" w:hAnsi="宋体" w:eastAsia="宋体" w:cs="宋体"/>
          <w:color w:val="auto"/>
          <w:sz w:val="24"/>
          <w:szCs w:val="24"/>
          <w:highlight w:val="none"/>
          <w:u w:val="single"/>
          <w:lang w:eastAsia="zh-CN"/>
        </w:rPr>
      </w:pPr>
      <w:r>
        <w:rPr>
          <w:rFonts w:hint="eastAsia" w:ascii="宋体" w:hAnsi="宋体" w:eastAsia="宋体" w:cs="宋体"/>
          <w:color w:val="auto"/>
          <w:sz w:val="24"/>
          <w:szCs w:val="24"/>
          <w:highlight w:val="none"/>
        </w:rPr>
        <w:t>法律依据：</w:t>
      </w:r>
    </w:p>
    <w:p w14:paraId="7F056C9F">
      <w:pPr>
        <w:rPr>
          <w:rFonts w:hint="eastAsia" w:ascii="宋体" w:hAnsi="宋体" w:eastAsia="宋体" w:cs="宋体"/>
          <w:color w:val="auto"/>
          <w:sz w:val="24"/>
          <w:szCs w:val="24"/>
          <w:highlight w:val="none"/>
          <w:u w:val="dotted"/>
          <w:lang w:eastAsia="zh-CN"/>
        </w:rPr>
      </w:pPr>
    </w:p>
    <w:p w14:paraId="24F4C55D">
      <w:pP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投诉事项2</w:t>
      </w:r>
    </w:p>
    <w:p w14:paraId="1FE215EA">
      <w:pPr>
        <w:rPr>
          <w:rFonts w:hint="eastAsia" w:ascii="宋体" w:hAnsi="宋体" w:eastAsia="宋体" w:cs="宋体"/>
          <w:color w:val="auto"/>
          <w:sz w:val="24"/>
          <w:szCs w:val="24"/>
          <w:highlight w:val="none"/>
          <w:u w:val="dotted"/>
        </w:rPr>
      </w:pPr>
      <w:r>
        <w:rPr>
          <w:rFonts w:hint="eastAsia" w:ascii="宋体" w:hAnsi="宋体" w:eastAsia="宋体" w:cs="宋体"/>
          <w:color w:val="auto"/>
          <w:sz w:val="24"/>
          <w:szCs w:val="24"/>
          <w:highlight w:val="none"/>
        </w:rPr>
        <w:t>……</w:t>
      </w:r>
    </w:p>
    <w:p w14:paraId="0A3E5FD5">
      <w:pP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五、与投诉事项相关的投诉请求</w:t>
      </w:r>
    </w:p>
    <w:p w14:paraId="286901FA">
      <w:pPr>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请求：</w:t>
      </w:r>
    </w:p>
    <w:p w14:paraId="34D916C6">
      <w:pPr>
        <w:rPr>
          <w:rFonts w:hint="eastAsia" w:ascii="宋体" w:hAnsi="宋体" w:eastAsia="宋体" w:cs="宋体"/>
          <w:color w:val="auto"/>
          <w:sz w:val="24"/>
          <w:szCs w:val="24"/>
          <w:highlight w:val="none"/>
          <w:u w:val="single"/>
          <w:lang w:eastAsia="zh-CN"/>
        </w:rPr>
      </w:pPr>
    </w:p>
    <w:p w14:paraId="74A1C192">
      <w:pPr>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签字(签章)：公章：</w:t>
      </w:r>
    </w:p>
    <w:p w14:paraId="1227E669">
      <w:pPr>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日期：</w:t>
      </w:r>
    </w:p>
    <w:p w14:paraId="6951FDBE">
      <w:pPr>
        <w:rPr>
          <w:rFonts w:hint="eastAsia" w:ascii="宋体" w:hAnsi="宋体" w:eastAsia="宋体" w:cs="宋体"/>
          <w:b/>
          <w:color w:val="auto"/>
          <w:sz w:val="24"/>
          <w:szCs w:val="24"/>
          <w:highlight w:val="none"/>
        </w:rPr>
      </w:pPr>
    </w:p>
    <w:p w14:paraId="32606B81">
      <w:pPr>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投诉书制作说明：</w:t>
      </w:r>
    </w:p>
    <w:p w14:paraId="0690454A">
      <w:pPr>
        <w:widowControl/>
        <w:ind w:firstLine="480" w:firstLineChars="200"/>
        <w:rPr>
          <w:rFonts w:hint="eastAsia" w:ascii="宋体" w:hAnsi="宋体" w:eastAsia="宋体" w:cs="宋体"/>
          <w:color w:val="auto"/>
          <w:kern w:val="0"/>
          <w:sz w:val="24"/>
          <w:szCs w:val="24"/>
          <w:highlight w:val="none"/>
        </w:rPr>
      </w:pPr>
      <w:r>
        <w:rPr>
          <w:rFonts w:hint="eastAsia" w:ascii="宋体" w:hAnsi="宋体" w:eastAsia="宋体" w:cs="宋体"/>
          <w:color w:val="auto"/>
          <w:sz w:val="24"/>
          <w:szCs w:val="24"/>
          <w:highlight w:val="none"/>
        </w:rPr>
        <w:t>1.投诉人提起投诉时，应当提交投诉书和必要的证明材料，并按照被投诉人和与投诉事项有关的供应商数量提供投诉书副本。</w:t>
      </w:r>
    </w:p>
    <w:p w14:paraId="0902FCE7">
      <w:pPr>
        <w:widowControl/>
        <w:ind w:firstLine="480" w:firstLineChars="200"/>
        <w:jc w:val="left"/>
        <w:rPr>
          <w:rFonts w:hint="eastAsia" w:ascii="宋体" w:hAnsi="宋体" w:eastAsia="宋体" w:cs="宋体"/>
          <w:color w:val="auto"/>
          <w:kern w:val="0"/>
          <w:sz w:val="24"/>
          <w:szCs w:val="24"/>
          <w:highlight w:val="none"/>
        </w:rPr>
      </w:pPr>
      <w:r>
        <w:rPr>
          <w:rFonts w:hint="eastAsia" w:ascii="宋体" w:hAnsi="宋体" w:eastAsia="宋体" w:cs="宋体"/>
          <w:color w:val="auto"/>
          <w:sz w:val="24"/>
          <w:szCs w:val="24"/>
          <w:highlight w:val="none"/>
        </w:rPr>
        <w:t>2.投诉人若委托代理人进行投诉的，投诉书应按照要求列明“授权代表”的有关内容，并在附件中提交由</w:t>
      </w:r>
      <w:r>
        <w:rPr>
          <w:rFonts w:hint="eastAsia" w:ascii="宋体" w:hAnsi="宋体" w:eastAsia="宋体" w:cs="宋体"/>
          <w:color w:val="auto"/>
          <w:kern w:val="0"/>
          <w:sz w:val="24"/>
          <w:szCs w:val="24"/>
          <w:highlight w:val="none"/>
        </w:rPr>
        <w:t>投诉人签署的授权委托书。授权委托书应当载明代理人的姓名或者名称、代理事项、具体权限、期限和相关事项。</w:t>
      </w:r>
    </w:p>
    <w:p w14:paraId="6545F46B">
      <w:pPr>
        <w:widowControl/>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3.投诉人若对项目的某一分包进行投诉，投诉书应列明具体分包号。</w:t>
      </w:r>
    </w:p>
    <w:p w14:paraId="5087F84E">
      <w:pPr>
        <w:widowControl/>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4.投诉书应简要列明质疑事项，质疑函、质疑答复等作为附件材料提供。</w:t>
      </w:r>
    </w:p>
    <w:p w14:paraId="491EDECF">
      <w:pPr>
        <w:widowControl/>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5.投诉书的投诉事项应具体、明确，并有必要的事实依据和法律依据。</w:t>
      </w:r>
    </w:p>
    <w:p w14:paraId="131F4004">
      <w:pPr>
        <w:widowControl/>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6.投诉书的投诉请求应与投诉事项相关。</w:t>
      </w:r>
    </w:p>
    <w:p w14:paraId="09B56C1A">
      <w:pP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7.投诉人为自然人的，投诉书应当由本人签字；投诉人为法人或者其他组织的，投诉书应当由法定代表人、主要负责人，或者其授权代表签字或者盖章，并加盖公章。</w:t>
      </w:r>
    </w:p>
    <w:p w14:paraId="1F2BBBD1">
      <w:pPr>
        <w:rPr>
          <w:rFonts w:hint="eastAsia" w:ascii="宋体" w:hAnsi="宋体" w:eastAsia="宋体" w:cs="宋体"/>
          <w:color w:val="auto"/>
          <w:highlight w:val="none"/>
        </w:rPr>
      </w:pPr>
    </w:p>
    <w:p w14:paraId="6439225A">
      <w:pPr>
        <w:rPr>
          <w:rFonts w:hint="eastAsia" w:ascii="宋体" w:hAnsi="宋体" w:eastAsia="宋体" w:cs="宋体"/>
          <w:color w:val="auto"/>
          <w:highlight w:val="none"/>
        </w:rPr>
      </w:pPr>
    </w:p>
    <w:sectPr>
      <w:footerReference r:id="rId8" w:type="first"/>
      <w:headerReference r:id="rId5" w:type="default"/>
      <w:footerReference r:id="rId6" w:type="default"/>
      <w:footerReference r:id="rId7" w:type="even"/>
      <w:pgSz w:w="11906" w:h="16838"/>
      <w:pgMar w:top="1134" w:right="1134" w:bottom="1134" w:left="1134" w:header="720" w:footer="720" w:gutter="0"/>
      <w:cols w:space="720" w:num="1"/>
      <w:docGrid w:type="lines" w:linePitch="331"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auto"/>
    <w:pitch w:val="default"/>
    <w:sig w:usb0="E0002EFF" w:usb1="C000785B" w:usb2="00000009" w:usb3="00000000" w:csb0="400001FF" w:csb1="FFFF0000"/>
  </w:font>
  <w:font w:name="宋体">
    <w:panose1 w:val="02010600030101010101"/>
    <w:charset w:val="34"/>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MingLiU">
    <w:altName w:val="PMingLiU-ExtB"/>
    <w:panose1 w:val="02020509000000000000"/>
    <w:charset w:val="88"/>
    <w:family w:val="modern"/>
    <w:pitch w:val="default"/>
    <w:sig w:usb0="00000000" w:usb1="00000000" w:usb2="00000016" w:usb3="00000000" w:csb0="00100001" w:csb1="00000000"/>
  </w:font>
  <w:font w:name="PMingLiU-ExtB">
    <w:panose1 w:val="02020500000000000000"/>
    <w:charset w:val="88"/>
    <w:family w:val="auto"/>
    <w:pitch w:val="default"/>
    <w:sig w:usb0="8000002F" w:usb1="02000008" w:usb2="00000000" w:usb3="00000000" w:csb0="00100001" w:csb1="00000000"/>
  </w:font>
  <w:font w:name="Tahoma">
    <w:panose1 w:val="020B0604030504040204"/>
    <w:charset w:val="00"/>
    <w:family w:val="swiss"/>
    <w:pitch w:val="default"/>
    <w:sig w:usb0="E1002EFF" w:usb1="C000605B" w:usb2="00000029" w:usb3="00000000" w:csb0="200101FF" w:csb1="20280000"/>
  </w:font>
  <w:font w:name="Microsoft YaHei UI">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5F5355">
    <w:pPr>
      <w:pStyle w:val="23"/>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14:paraId="40641BA2">
                          <w:pPr>
                            <w:pStyle w:val="23"/>
                          </w:pPr>
                          <w:r>
                            <w:fldChar w:fldCharType="begin"/>
                          </w:r>
                          <w:r>
                            <w:instrText xml:space="preserve"> PAGE  \* MERGEFORMAT </w:instrText>
                          </w:r>
                          <w:r>
                            <w:fldChar w:fldCharType="separate"/>
                          </w:r>
                          <w:r>
                            <w:t>1</w:t>
                          </w:r>
                          <w:r>
                            <w:fldChar w:fldCharType="end"/>
                          </w:r>
                        </w:p>
                      </w:txbxContent>
                    </wps:txbx>
                    <wps:bodyPr wrap="none" lIns="0" tIns="0" rIns="0" bIns="0" upright="0">
                      <a:spAutoFit/>
                    </wps:bodyPr>
                  </wps:wsp>
                </a:graphicData>
              </a:graphic>
            </wp:anchor>
          </w:drawing>
        </mc:Choice>
        <mc:Fallback>
          <w:pict>
            <v:shape id="文本框 4"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">
              <v:fill on="f" focussize="0,0"/>
              <v:stroke on="f"/>
              <v:imagedata o:title=""/>
              <o:lock v:ext="edit" aspectratio="f"/>
              <v:textbox inset="0mm,0mm,0mm,0mm" style="mso-fit-shape-to-text:t;">
                <w:txbxContent>
                  <w:p w14:paraId="40641BA2">
                    <w:pPr>
                      <w:pStyle w:val="23"/>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5E864D">
    <w:pPr>
      <w:pStyle w:val="23"/>
      <w:jc w:val="center"/>
    </w:pPr>
    <w:r>
      <w:fldChar w:fldCharType="begin"/>
    </w:r>
    <w:r>
      <w:instrText xml:space="preserve"> PAGE   \* MERGEFORMAT </w:instrText>
    </w:r>
    <w:r>
      <w:fldChar w:fldCharType="separate"/>
    </w:r>
    <w:r>
      <w:rPr>
        <w:lang w:val="zh-CN"/>
      </w:rPr>
      <w:t>108</w:t>
    </w:r>
    <w:r>
      <w:fldChar w:fldCharType="end"/>
    </w:r>
  </w:p>
  <w:p w14:paraId="583249BA">
    <w:pPr>
      <w:pStyle w:val="23"/>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EAE109">
    <w:pPr>
      <w:pStyle w:val="23"/>
      <w:framePr w:wrap="around" w:vAnchor="text" w:hAnchor="margin" w:xAlign="center" w:y="1"/>
      <w:rPr>
        <w:rStyle w:val="39"/>
      </w:rPr>
    </w:pPr>
    <w:r>
      <w:fldChar w:fldCharType="begin"/>
    </w:r>
    <w:r>
      <w:rPr>
        <w:rStyle w:val="39"/>
      </w:rPr>
      <w:instrText xml:space="preserve">PAGE  </w:instrText>
    </w:r>
    <w:r>
      <w:fldChar w:fldCharType="end"/>
    </w:r>
  </w:p>
  <w:p w14:paraId="59DD6589">
    <w:pPr>
      <w:pStyle w:val="23"/>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705425">
    <w:pPr>
      <w:pStyle w:val="23"/>
      <w:framePr w:wrap="around" w:vAnchor="text" w:hAnchor="margin" w:xAlign="right" w:y="1"/>
      <w:rPr>
        <w:rStyle w:val="39"/>
      </w:rPr>
    </w:pPr>
    <w:r>
      <w:fldChar w:fldCharType="begin"/>
    </w:r>
    <w:r>
      <w:rPr>
        <w:rStyle w:val="39"/>
      </w:rPr>
      <w:instrText xml:space="preserve">PAGE  </w:instrText>
    </w:r>
    <w:r>
      <w:fldChar w:fldCharType="separate"/>
    </w:r>
    <w:r>
      <w:rPr>
        <w:rStyle w:val="39"/>
      </w:rPr>
      <w:t>122</w:t>
    </w:r>
    <w:r>
      <w:fldChar w:fldCharType="end"/>
    </w:r>
  </w:p>
  <w:p w14:paraId="07FD149F">
    <w:pPr>
      <w:pStyle w:val="23"/>
      <w:ind w:right="360"/>
      <w:jc w:val="both"/>
      <w:rPr>
        <w:rFonts w:hint="eastAsia"/>
      </w:rPr>
    </w:pPr>
    <w:r>
      <w:rPr>
        <w:rFonts w:hint="eastAsia"/>
      </w:rPr>
      <w:t>121</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6E0CD6">
    <w:pPr>
      <w:pStyle w:val="24"/>
    </w:pPr>
    <w:r>
      <w:rPr>
        <w:rFonts w:hint="eastAsia"/>
      </w:rPr>
      <w:t>南宁市政府采购公开招标采购文件（项目编号：</w:t>
    </w:r>
    <w:r>
      <w:rPr>
        <w:rFonts w:hint="eastAsia"/>
        <w:lang w:eastAsia="zh-CN"/>
      </w:rPr>
      <w:t>NNZC2026-G3-270174-GXZT</w:t>
    </w:r>
    <w:r>
      <w:rPr>
        <w:rFonts w:hint="eastAsia"/>
      </w:rPr>
      <w:t>）</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2E2B98">
    <w:pPr>
      <w:pStyle w:val="24"/>
    </w:pPr>
    <w:r>
      <w:rPr>
        <w:rFonts w:hint="eastAsia"/>
      </w:rPr>
      <w:t>南宁市政府采购公开招标采购文件（项目编号：</w:t>
    </w:r>
    <w:r>
      <w:rPr>
        <w:rFonts w:hint="eastAsia"/>
        <w:lang w:eastAsia="zh-CN"/>
      </w:rPr>
      <w:t>NNZC2026-G3-270174-GXZT</w:t>
    </w:r>
    <w:r>
      <w:rPr>
        <w:rFonts w:hint="eastAsia"/>
      </w:rPr>
      <w: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7"/>
    <w:multiLevelType w:val="multilevel"/>
    <w:tmpl w:val="00000007"/>
    <w:lvl w:ilvl="0" w:tentative="0">
      <w:start w:val="1"/>
      <w:numFmt w:val="decimal"/>
      <w:lvlText w:val="（%1）"/>
      <w:lvlJc w:val="left"/>
      <w:pPr>
        <w:tabs>
          <w:tab w:val="left" w:pos="1140"/>
        </w:tabs>
        <w:ind w:left="1140" w:hanging="720"/>
      </w:pPr>
      <w:rPr>
        <w:rFonts w:ascii="宋体" w:hAnsi="宋体" w:eastAsia="宋体" w:cs="Times New Roman"/>
      </w:rPr>
    </w:lvl>
    <w:lvl w:ilvl="1" w:tentative="0">
      <w:start w:val="1"/>
      <w:numFmt w:val="lowerLetter"/>
      <w:lvlText w:val="%2)"/>
      <w:lvlJc w:val="left"/>
      <w:pPr>
        <w:tabs>
          <w:tab w:val="left" w:pos="1260"/>
        </w:tabs>
        <w:ind w:left="1260" w:hanging="420"/>
      </w:pPr>
    </w:lvl>
    <w:lvl w:ilvl="2" w:tentative="0">
      <w:start w:val="1"/>
      <w:numFmt w:val="lowerRoman"/>
      <w:lvlText w:val="%3."/>
      <w:lvlJc w:val="right"/>
      <w:pPr>
        <w:tabs>
          <w:tab w:val="left" w:pos="1680"/>
        </w:tabs>
        <w:ind w:left="1680" w:hanging="420"/>
      </w:pPr>
    </w:lvl>
    <w:lvl w:ilvl="3" w:tentative="0">
      <w:start w:val="1"/>
      <w:numFmt w:val="decimal"/>
      <w:lvlText w:val="%4."/>
      <w:lvlJc w:val="left"/>
      <w:pPr>
        <w:tabs>
          <w:tab w:val="left" w:pos="2100"/>
        </w:tabs>
        <w:ind w:left="2100" w:hanging="420"/>
      </w:pPr>
    </w:lvl>
    <w:lvl w:ilvl="4" w:tentative="0">
      <w:start w:val="1"/>
      <w:numFmt w:val="lowerLetter"/>
      <w:lvlText w:val="%5)"/>
      <w:lvlJc w:val="left"/>
      <w:pPr>
        <w:tabs>
          <w:tab w:val="left" w:pos="2520"/>
        </w:tabs>
        <w:ind w:left="2520" w:hanging="420"/>
      </w:pPr>
    </w:lvl>
    <w:lvl w:ilvl="5" w:tentative="0">
      <w:start w:val="1"/>
      <w:numFmt w:val="lowerRoman"/>
      <w:lvlText w:val="%6."/>
      <w:lvlJc w:val="right"/>
      <w:pPr>
        <w:tabs>
          <w:tab w:val="left" w:pos="2940"/>
        </w:tabs>
        <w:ind w:left="2940" w:hanging="420"/>
      </w:pPr>
    </w:lvl>
    <w:lvl w:ilvl="6" w:tentative="0">
      <w:start w:val="1"/>
      <w:numFmt w:val="decimal"/>
      <w:lvlText w:val="%7."/>
      <w:lvlJc w:val="left"/>
      <w:pPr>
        <w:tabs>
          <w:tab w:val="left" w:pos="3360"/>
        </w:tabs>
        <w:ind w:left="3360" w:hanging="420"/>
      </w:pPr>
    </w:lvl>
    <w:lvl w:ilvl="7" w:tentative="0">
      <w:start w:val="1"/>
      <w:numFmt w:val="lowerLetter"/>
      <w:lvlText w:val="%8)"/>
      <w:lvlJc w:val="left"/>
      <w:pPr>
        <w:tabs>
          <w:tab w:val="left" w:pos="3780"/>
        </w:tabs>
        <w:ind w:left="3780" w:hanging="420"/>
      </w:pPr>
    </w:lvl>
    <w:lvl w:ilvl="8" w:tentative="0">
      <w:start w:val="1"/>
      <w:numFmt w:val="lowerRoman"/>
      <w:lvlText w:val="%9."/>
      <w:lvlJc w:val="right"/>
      <w:pPr>
        <w:tabs>
          <w:tab w:val="left" w:pos="4200"/>
        </w:tabs>
        <w:ind w:left="4200" w:hanging="420"/>
      </w:pPr>
    </w:lvl>
  </w:abstractNum>
  <w:abstractNum w:abstractNumId="1">
    <w:nsid w:val="34444808"/>
    <w:multiLevelType w:val="multilevel"/>
    <w:tmpl w:val="34444808"/>
    <w:lvl w:ilvl="0" w:tentative="0">
      <w:start w:val="1"/>
      <w:numFmt w:val="decimal"/>
      <w:lvlText w:val="%1、"/>
      <w:lvlJc w:val="left"/>
      <w:pPr>
        <w:ind w:left="660" w:hanging="360"/>
      </w:pPr>
      <w:rPr>
        <w:rFonts w:hint="default"/>
      </w:rPr>
    </w:lvl>
    <w:lvl w:ilvl="1" w:tentative="0">
      <w:start w:val="1"/>
      <w:numFmt w:val="lowerLetter"/>
      <w:lvlText w:val="%2)"/>
      <w:lvlJc w:val="left"/>
      <w:pPr>
        <w:ind w:left="1140" w:hanging="420"/>
      </w:pPr>
    </w:lvl>
    <w:lvl w:ilvl="2" w:tentative="0">
      <w:start w:val="1"/>
      <w:numFmt w:val="lowerRoman"/>
      <w:lvlText w:val="%3."/>
      <w:lvlJc w:val="right"/>
      <w:pPr>
        <w:ind w:left="1560" w:hanging="420"/>
      </w:pPr>
    </w:lvl>
    <w:lvl w:ilvl="3" w:tentative="0">
      <w:start w:val="1"/>
      <w:numFmt w:val="decimal"/>
      <w:lvlText w:val="%4."/>
      <w:lvlJc w:val="left"/>
      <w:pPr>
        <w:ind w:left="1980" w:hanging="420"/>
      </w:pPr>
    </w:lvl>
    <w:lvl w:ilvl="4" w:tentative="0">
      <w:start w:val="1"/>
      <w:numFmt w:val="lowerLetter"/>
      <w:lvlText w:val="%5)"/>
      <w:lvlJc w:val="left"/>
      <w:pPr>
        <w:ind w:left="2400" w:hanging="420"/>
      </w:pPr>
    </w:lvl>
    <w:lvl w:ilvl="5" w:tentative="0">
      <w:start w:val="1"/>
      <w:numFmt w:val="lowerRoman"/>
      <w:lvlText w:val="%6."/>
      <w:lvlJc w:val="right"/>
      <w:pPr>
        <w:ind w:left="2820" w:hanging="420"/>
      </w:pPr>
    </w:lvl>
    <w:lvl w:ilvl="6" w:tentative="0">
      <w:start w:val="1"/>
      <w:numFmt w:val="decimal"/>
      <w:lvlText w:val="%7."/>
      <w:lvlJc w:val="left"/>
      <w:pPr>
        <w:ind w:left="3240" w:hanging="420"/>
      </w:pPr>
    </w:lvl>
    <w:lvl w:ilvl="7" w:tentative="0">
      <w:start w:val="1"/>
      <w:numFmt w:val="lowerLetter"/>
      <w:lvlText w:val="%8)"/>
      <w:lvlJc w:val="left"/>
      <w:pPr>
        <w:ind w:left="3660" w:hanging="420"/>
      </w:pPr>
    </w:lvl>
    <w:lvl w:ilvl="8" w:tentative="0">
      <w:start w:val="1"/>
      <w:numFmt w:val="lowerRoman"/>
      <w:lvlText w:val="%9."/>
      <w:lvlJc w:val="right"/>
      <w:pPr>
        <w:ind w:left="4080" w:hanging="420"/>
      </w:pPr>
    </w:lvl>
  </w:abstractNum>
  <w:abstractNum w:abstractNumId="2">
    <w:nsid w:val="41367BD3"/>
    <w:multiLevelType w:val="multilevel"/>
    <w:tmpl w:val="41367BD3"/>
    <w:lvl w:ilvl="0" w:tentative="0">
      <w:start w:val="6"/>
      <w:numFmt w:val="decimal"/>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3">
    <w:nsid w:val="50DFC607"/>
    <w:multiLevelType w:val="singleLevel"/>
    <w:tmpl w:val="50DFC607"/>
    <w:lvl w:ilvl="0" w:tentative="0">
      <w:start w:val="2"/>
      <w:numFmt w:val="chineseCounting"/>
      <w:suff w:val="nothing"/>
      <w:lvlText w:val="（%1）"/>
      <w:lvlJc w:val="left"/>
      <w:rPr>
        <w:rFonts w:hint="eastAsia"/>
      </w:rPr>
    </w:lvl>
  </w:abstractNum>
  <w:abstractNum w:abstractNumId="4">
    <w:nsid w:val="51536378"/>
    <w:multiLevelType w:val="singleLevel"/>
    <w:tmpl w:val="51536378"/>
    <w:lvl w:ilvl="0" w:tentative="0">
      <w:start w:val="1"/>
      <w:numFmt w:val="decimal"/>
      <w:suff w:val="nothing"/>
      <w:lvlText w:val="（%1）"/>
      <w:lvlJc w:val="left"/>
      <w:pPr>
        <w:ind w:left="0" w:firstLine="0"/>
      </w:pPr>
    </w:lvl>
  </w:abstractNum>
  <w:abstractNum w:abstractNumId="5">
    <w:nsid w:val="70D0D3AB"/>
    <w:multiLevelType w:val="singleLevel"/>
    <w:tmpl w:val="70D0D3AB"/>
    <w:lvl w:ilvl="0" w:tentative="0">
      <w:start w:val="2"/>
      <w:numFmt w:val="decimal"/>
      <w:suff w:val="nothing"/>
      <w:lvlText w:val="%1、"/>
      <w:lvlJc w:val="left"/>
    </w:lvl>
  </w:abstractNum>
  <w:abstractNum w:abstractNumId="6">
    <w:nsid w:val="72962756"/>
    <w:multiLevelType w:val="multilevel"/>
    <w:tmpl w:val="72962756"/>
    <w:lvl w:ilvl="0" w:tentative="0">
      <w:start w:val="1"/>
      <w:numFmt w:val="japaneseCounting"/>
      <w:lvlText w:val="（%1）"/>
      <w:lvlJc w:val="left"/>
      <w:pPr>
        <w:ind w:left="1237" w:hanging="765"/>
      </w:pPr>
      <w:rPr>
        <w:rFonts w:hint="default"/>
      </w:rPr>
    </w:lvl>
    <w:lvl w:ilvl="1" w:tentative="0">
      <w:start w:val="1"/>
      <w:numFmt w:val="lowerLetter"/>
      <w:lvlText w:val="%2)"/>
      <w:lvlJc w:val="left"/>
      <w:pPr>
        <w:ind w:left="1312" w:hanging="420"/>
      </w:pPr>
    </w:lvl>
    <w:lvl w:ilvl="2" w:tentative="0">
      <w:start w:val="1"/>
      <w:numFmt w:val="lowerRoman"/>
      <w:lvlText w:val="%3."/>
      <w:lvlJc w:val="right"/>
      <w:pPr>
        <w:ind w:left="1732" w:hanging="420"/>
      </w:pPr>
    </w:lvl>
    <w:lvl w:ilvl="3" w:tentative="0">
      <w:start w:val="1"/>
      <w:numFmt w:val="decimal"/>
      <w:lvlText w:val="%4."/>
      <w:lvlJc w:val="left"/>
      <w:pPr>
        <w:ind w:left="2152" w:hanging="420"/>
      </w:pPr>
    </w:lvl>
    <w:lvl w:ilvl="4" w:tentative="0">
      <w:start w:val="1"/>
      <w:numFmt w:val="lowerLetter"/>
      <w:lvlText w:val="%5)"/>
      <w:lvlJc w:val="left"/>
      <w:pPr>
        <w:ind w:left="2572" w:hanging="420"/>
      </w:pPr>
    </w:lvl>
    <w:lvl w:ilvl="5" w:tentative="0">
      <w:start w:val="1"/>
      <w:numFmt w:val="lowerRoman"/>
      <w:lvlText w:val="%6."/>
      <w:lvlJc w:val="right"/>
      <w:pPr>
        <w:ind w:left="2992" w:hanging="420"/>
      </w:pPr>
    </w:lvl>
    <w:lvl w:ilvl="6" w:tentative="0">
      <w:start w:val="1"/>
      <w:numFmt w:val="decimal"/>
      <w:lvlText w:val="%7."/>
      <w:lvlJc w:val="left"/>
      <w:pPr>
        <w:ind w:left="3412" w:hanging="420"/>
      </w:pPr>
    </w:lvl>
    <w:lvl w:ilvl="7" w:tentative="0">
      <w:start w:val="1"/>
      <w:numFmt w:val="lowerLetter"/>
      <w:lvlText w:val="%8)"/>
      <w:lvlJc w:val="left"/>
      <w:pPr>
        <w:ind w:left="3832" w:hanging="420"/>
      </w:pPr>
    </w:lvl>
    <w:lvl w:ilvl="8" w:tentative="0">
      <w:start w:val="1"/>
      <w:numFmt w:val="lowerRoman"/>
      <w:lvlText w:val="%9."/>
      <w:lvlJc w:val="right"/>
      <w:pPr>
        <w:ind w:left="4252" w:hanging="420"/>
      </w:pPr>
    </w:lvl>
  </w:abstractNum>
  <w:num w:numId="1">
    <w:abstractNumId w:val="3"/>
  </w:num>
  <w:num w:numId="2">
    <w:abstractNumId w:val="2"/>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4"/>
    <w:lvlOverride w:ilvl="0">
      <w:startOverride w:val="1"/>
    </w:lvlOverride>
  </w:num>
  <w:num w:numId="4">
    <w:abstractNumId w:val="5"/>
  </w:num>
  <w:num w:numId="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HorizontalSpacing w:val="105"/>
  <w:drawingGridVerticalSpacing w:val="331"/>
  <w:displayHorizontalDrawingGridEvery w:val="1"/>
  <w:displayVerticalDrawingGridEvery w:val="1"/>
  <w:noPunctuationKerning w:val="1"/>
  <w:characterSpacingControl w:val="compressPunctuation"/>
  <w:doNotValidateAgainstSchema/>
  <w:doNotDemarcateInvalidXml/>
  <w:hdrShapeDefaults>
    <o:shapelayout v:ext="edit">
      <o:idmap v:ext="edit" data="2"/>
    </o:shapelayout>
  </w:hdrShapeDefaults>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jE5MGE5Zjc1ODk1ZWM0MWZlM2FkMTFlZWU2NjkzN2QifQ=="/>
  </w:docVars>
  <w:rsids>
    <w:rsidRoot w:val="00000000"/>
    <w:rsid w:val="0000096C"/>
    <w:rsid w:val="00000CDB"/>
    <w:rsid w:val="00001CDA"/>
    <w:rsid w:val="00004344"/>
    <w:rsid w:val="00005909"/>
    <w:rsid w:val="000207D5"/>
    <w:rsid w:val="00022127"/>
    <w:rsid w:val="00024E82"/>
    <w:rsid w:val="00027659"/>
    <w:rsid w:val="00030800"/>
    <w:rsid w:val="00031652"/>
    <w:rsid w:val="00034A7D"/>
    <w:rsid w:val="00035197"/>
    <w:rsid w:val="00035F9C"/>
    <w:rsid w:val="000401CD"/>
    <w:rsid w:val="00044EDB"/>
    <w:rsid w:val="00054304"/>
    <w:rsid w:val="000553BC"/>
    <w:rsid w:val="00056551"/>
    <w:rsid w:val="0006218D"/>
    <w:rsid w:val="00063F24"/>
    <w:rsid w:val="00065AF0"/>
    <w:rsid w:val="00066EA9"/>
    <w:rsid w:val="00066FE1"/>
    <w:rsid w:val="00074D5F"/>
    <w:rsid w:val="00076A60"/>
    <w:rsid w:val="00077BF5"/>
    <w:rsid w:val="00081789"/>
    <w:rsid w:val="00085A0D"/>
    <w:rsid w:val="00092A54"/>
    <w:rsid w:val="00092F65"/>
    <w:rsid w:val="0009317E"/>
    <w:rsid w:val="00093B18"/>
    <w:rsid w:val="00094E84"/>
    <w:rsid w:val="000A7A4B"/>
    <w:rsid w:val="000B5A03"/>
    <w:rsid w:val="000C302E"/>
    <w:rsid w:val="000C5D44"/>
    <w:rsid w:val="000D5F48"/>
    <w:rsid w:val="000D7284"/>
    <w:rsid w:val="000E6783"/>
    <w:rsid w:val="000F1BBE"/>
    <w:rsid w:val="001031E7"/>
    <w:rsid w:val="00104245"/>
    <w:rsid w:val="001108AC"/>
    <w:rsid w:val="00110DD2"/>
    <w:rsid w:val="0011187C"/>
    <w:rsid w:val="00116FC9"/>
    <w:rsid w:val="00120C46"/>
    <w:rsid w:val="00125837"/>
    <w:rsid w:val="001306A8"/>
    <w:rsid w:val="00140B14"/>
    <w:rsid w:val="00140CE8"/>
    <w:rsid w:val="00143DA6"/>
    <w:rsid w:val="00151CEE"/>
    <w:rsid w:val="0015209C"/>
    <w:rsid w:val="001551E7"/>
    <w:rsid w:val="00170AA7"/>
    <w:rsid w:val="00173852"/>
    <w:rsid w:val="00174F9B"/>
    <w:rsid w:val="00177D95"/>
    <w:rsid w:val="00181460"/>
    <w:rsid w:val="00182C28"/>
    <w:rsid w:val="00190F4C"/>
    <w:rsid w:val="00193D49"/>
    <w:rsid w:val="0019577E"/>
    <w:rsid w:val="001B1366"/>
    <w:rsid w:val="001B2BDE"/>
    <w:rsid w:val="001B2FAE"/>
    <w:rsid w:val="001C2E44"/>
    <w:rsid w:val="001D047F"/>
    <w:rsid w:val="001E0216"/>
    <w:rsid w:val="001E0590"/>
    <w:rsid w:val="001E3E3A"/>
    <w:rsid w:val="001E4E53"/>
    <w:rsid w:val="001E6153"/>
    <w:rsid w:val="001E6C5D"/>
    <w:rsid w:val="001E7AB6"/>
    <w:rsid w:val="001F330A"/>
    <w:rsid w:val="001F4D3C"/>
    <w:rsid w:val="00201770"/>
    <w:rsid w:val="00204164"/>
    <w:rsid w:val="00204F25"/>
    <w:rsid w:val="00205999"/>
    <w:rsid w:val="00207350"/>
    <w:rsid w:val="00207DB7"/>
    <w:rsid w:val="00221909"/>
    <w:rsid w:val="002230A4"/>
    <w:rsid w:val="00231EAB"/>
    <w:rsid w:val="00232E04"/>
    <w:rsid w:val="00236055"/>
    <w:rsid w:val="00236B7D"/>
    <w:rsid w:val="00241686"/>
    <w:rsid w:val="00242C6C"/>
    <w:rsid w:val="00244627"/>
    <w:rsid w:val="002563B4"/>
    <w:rsid w:val="0025753A"/>
    <w:rsid w:val="00262C01"/>
    <w:rsid w:val="002738BD"/>
    <w:rsid w:val="002867CF"/>
    <w:rsid w:val="00293976"/>
    <w:rsid w:val="00297271"/>
    <w:rsid w:val="002B3400"/>
    <w:rsid w:val="002B4610"/>
    <w:rsid w:val="002C0483"/>
    <w:rsid w:val="002C1328"/>
    <w:rsid w:val="002C27F2"/>
    <w:rsid w:val="002C38A0"/>
    <w:rsid w:val="002C7DD7"/>
    <w:rsid w:val="002D2EF2"/>
    <w:rsid w:val="002E0A18"/>
    <w:rsid w:val="002E6BA4"/>
    <w:rsid w:val="002F55FD"/>
    <w:rsid w:val="002F667D"/>
    <w:rsid w:val="003014B1"/>
    <w:rsid w:val="003051FD"/>
    <w:rsid w:val="00305816"/>
    <w:rsid w:val="00315EB2"/>
    <w:rsid w:val="003162D6"/>
    <w:rsid w:val="00316994"/>
    <w:rsid w:val="00320B19"/>
    <w:rsid w:val="00322C10"/>
    <w:rsid w:val="00327461"/>
    <w:rsid w:val="00330EE9"/>
    <w:rsid w:val="003331F5"/>
    <w:rsid w:val="00337A9F"/>
    <w:rsid w:val="00344631"/>
    <w:rsid w:val="00346976"/>
    <w:rsid w:val="00347950"/>
    <w:rsid w:val="00353905"/>
    <w:rsid w:val="00355191"/>
    <w:rsid w:val="00366E54"/>
    <w:rsid w:val="0037075A"/>
    <w:rsid w:val="00371C87"/>
    <w:rsid w:val="00380673"/>
    <w:rsid w:val="003809BA"/>
    <w:rsid w:val="00384EB6"/>
    <w:rsid w:val="003868E3"/>
    <w:rsid w:val="0039417D"/>
    <w:rsid w:val="003A3917"/>
    <w:rsid w:val="003A622A"/>
    <w:rsid w:val="003B031E"/>
    <w:rsid w:val="003B31F1"/>
    <w:rsid w:val="003B7C9A"/>
    <w:rsid w:val="003C027A"/>
    <w:rsid w:val="003C393F"/>
    <w:rsid w:val="003D3465"/>
    <w:rsid w:val="003D478D"/>
    <w:rsid w:val="003D7400"/>
    <w:rsid w:val="003E0AD4"/>
    <w:rsid w:val="003E1425"/>
    <w:rsid w:val="003E64C1"/>
    <w:rsid w:val="003F1067"/>
    <w:rsid w:val="003F1F9C"/>
    <w:rsid w:val="003F7B0D"/>
    <w:rsid w:val="004029ED"/>
    <w:rsid w:val="00403AA3"/>
    <w:rsid w:val="0040651A"/>
    <w:rsid w:val="00431C3B"/>
    <w:rsid w:val="00435268"/>
    <w:rsid w:val="0044023A"/>
    <w:rsid w:val="004437ED"/>
    <w:rsid w:val="0044600A"/>
    <w:rsid w:val="00447BDE"/>
    <w:rsid w:val="00450ADB"/>
    <w:rsid w:val="00452102"/>
    <w:rsid w:val="004531C4"/>
    <w:rsid w:val="0046694A"/>
    <w:rsid w:val="0046760D"/>
    <w:rsid w:val="00467833"/>
    <w:rsid w:val="00474447"/>
    <w:rsid w:val="004820E2"/>
    <w:rsid w:val="004853B6"/>
    <w:rsid w:val="004861BA"/>
    <w:rsid w:val="00486E44"/>
    <w:rsid w:val="0049027F"/>
    <w:rsid w:val="004925A4"/>
    <w:rsid w:val="004929AD"/>
    <w:rsid w:val="004A0443"/>
    <w:rsid w:val="004A5F2A"/>
    <w:rsid w:val="004A6736"/>
    <w:rsid w:val="004B49D2"/>
    <w:rsid w:val="004C5B3E"/>
    <w:rsid w:val="004E126C"/>
    <w:rsid w:val="004F5BCD"/>
    <w:rsid w:val="005033B8"/>
    <w:rsid w:val="00503A40"/>
    <w:rsid w:val="00506840"/>
    <w:rsid w:val="00511A25"/>
    <w:rsid w:val="00517D40"/>
    <w:rsid w:val="00520861"/>
    <w:rsid w:val="00521880"/>
    <w:rsid w:val="00525C35"/>
    <w:rsid w:val="005279FB"/>
    <w:rsid w:val="00532BF5"/>
    <w:rsid w:val="0053541C"/>
    <w:rsid w:val="005458AD"/>
    <w:rsid w:val="0054778A"/>
    <w:rsid w:val="0055409E"/>
    <w:rsid w:val="00554A36"/>
    <w:rsid w:val="00562514"/>
    <w:rsid w:val="00564C6D"/>
    <w:rsid w:val="00576E04"/>
    <w:rsid w:val="0057733C"/>
    <w:rsid w:val="00581AC2"/>
    <w:rsid w:val="00583AC0"/>
    <w:rsid w:val="00584BFC"/>
    <w:rsid w:val="005873D0"/>
    <w:rsid w:val="005917A6"/>
    <w:rsid w:val="005932B6"/>
    <w:rsid w:val="00596F89"/>
    <w:rsid w:val="005B53A3"/>
    <w:rsid w:val="005C06FA"/>
    <w:rsid w:val="005D54D6"/>
    <w:rsid w:val="005D6CCE"/>
    <w:rsid w:val="005E671C"/>
    <w:rsid w:val="005F6F86"/>
    <w:rsid w:val="00600743"/>
    <w:rsid w:val="006048A4"/>
    <w:rsid w:val="00605362"/>
    <w:rsid w:val="006064F7"/>
    <w:rsid w:val="006068F0"/>
    <w:rsid w:val="00606C3B"/>
    <w:rsid w:val="00622C28"/>
    <w:rsid w:val="00626CA8"/>
    <w:rsid w:val="006271A0"/>
    <w:rsid w:val="006301C4"/>
    <w:rsid w:val="00631BAB"/>
    <w:rsid w:val="006406A8"/>
    <w:rsid w:val="00640B4E"/>
    <w:rsid w:val="00641D5B"/>
    <w:rsid w:val="00644AAD"/>
    <w:rsid w:val="00653CDE"/>
    <w:rsid w:val="00656442"/>
    <w:rsid w:val="00661DA0"/>
    <w:rsid w:val="006632E6"/>
    <w:rsid w:val="00670E85"/>
    <w:rsid w:val="006716BB"/>
    <w:rsid w:val="0067703D"/>
    <w:rsid w:val="006831E3"/>
    <w:rsid w:val="00691B1A"/>
    <w:rsid w:val="00695425"/>
    <w:rsid w:val="006A101B"/>
    <w:rsid w:val="006A6DC8"/>
    <w:rsid w:val="006C015A"/>
    <w:rsid w:val="006C2360"/>
    <w:rsid w:val="006C55A9"/>
    <w:rsid w:val="006C5999"/>
    <w:rsid w:val="006D0A1B"/>
    <w:rsid w:val="006D6A62"/>
    <w:rsid w:val="006F0015"/>
    <w:rsid w:val="00707FF2"/>
    <w:rsid w:val="00715456"/>
    <w:rsid w:val="00717D53"/>
    <w:rsid w:val="0072351B"/>
    <w:rsid w:val="00730FBB"/>
    <w:rsid w:val="0073261C"/>
    <w:rsid w:val="00736625"/>
    <w:rsid w:val="00744B4B"/>
    <w:rsid w:val="00745BFF"/>
    <w:rsid w:val="0074683F"/>
    <w:rsid w:val="007549ED"/>
    <w:rsid w:val="0075643C"/>
    <w:rsid w:val="00756DD1"/>
    <w:rsid w:val="00757B36"/>
    <w:rsid w:val="00761289"/>
    <w:rsid w:val="00761EA6"/>
    <w:rsid w:val="00767154"/>
    <w:rsid w:val="00773B6C"/>
    <w:rsid w:val="00773FEE"/>
    <w:rsid w:val="00781DF2"/>
    <w:rsid w:val="00790B95"/>
    <w:rsid w:val="007937A3"/>
    <w:rsid w:val="007B4684"/>
    <w:rsid w:val="007C09EA"/>
    <w:rsid w:val="007C2309"/>
    <w:rsid w:val="007C3B9F"/>
    <w:rsid w:val="007D5273"/>
    <w:rsid w:val="007D6581"/>
    <w:rsid w:val="007D6EBC"/>
    <w:rsid w:val="007F0A33"/>
    <w:rsid w:val="007F1D2B"/>
    <w:rsid w:val="007F4D7D"/>
    <w:rsid w:val="007F717F"/>
    <w:rsid w:val="008176CE"/>
    <w:rsid w:val="008232D5"/>
    <w:rsid w:val="00823F88"/>
    <w:rsid w:val="0082700E"/>
    <w:rsid w:val="008300D6"/>
    <w:rsid w:val="00843D45"/>
    <w:rsid w:val="00852105"/>
    <w:rsid w:val="0085544C"/>
    <w:rsid w:val="008604A4"/>
    <w:rsid w:val="008606F1"/>
    <w:rsid w:val="00860D9E"/>
    <w:rsid w:val="00862516"/>
    <w:rsid w:val="0086784A"/>
    <w:rsid w:val="008811BB"/>
    <w:rsid w:val="00884C48"/>
    <w:rsid w:val="0089747C"/>
    <w:rsid w:val="008974F2"/>
    <w:rsid w:val="008A2903"/>
    <w:rsid w:val="008C4798"/>
    <w:rsid w:val="008D3FFB"/>
    <w:rsid w:val="008D43F8"/>
    <w:rsid w:val="008E268A"/>
    <w:rsid w:val="008E3451"/>
    <w:rsid w:val="008E53FF"/>
    <w:rsid w:val="00904A9B"/>
    <w:rsid w:val="00905884"/>
    <w:rsid w:val="00920D6C"/>
    <w:rsid w:val="009276D5"/>
    <w:rsid w:val="00942D58"/>
    <w:rsid w:val="00942FDE"/>
    <w:rsid w:val="00952863"/>
    <w:rsid w:val="009528FA"/>
    <w:rsid w:val="0096166D"/>
    <w:rsid w:val="00986C7E"/>
    <w:rsid w:val="009911B9"/>
    <w:rsid w:val="009924D4"/>
    <w:rsid w:val="009961B0"/>
    <w:rsid w:val="009963BC"/>
    <w:rsid w:val="009A6C00"/>
    <w:rsid w:val="009B644A"/>
    <w:rsid w:val="009B67C7"/>
    <w:rsid w:val="009C3D9F"/>
    <w:rsid w:val="009C60E6"/>
    <w:rsid w:val="009D5E30"/>
    <w:rsid w:val="009D64B0"/>
    <w:rsid w:val="009D78FE"/>
    <w:rsid w:val="009E0DF2"/>
    <w:rsid w:val="009E2765"/>
    <w:rsid w:val="009E2C4C"/>
    <w:rsid w:val="009E509B"/>
    <w:rsid w:val="009E5F55"/>
    <w:rsid w:val="009F48CE"/>
    <w:rsid w:val="009F5431"/>
    <w:rsid w:val="009F5C57"/>
    <w:rsid w:val="00A079C6"/>
    <w:rsid w:val="00A11791"/>
    <w:rsid w:val="00A15437"/>
    <w:rsid w:val="00A207B9"/>
    <w:rsid w:val="00A317A2"/>
    <w:rsid w:val="00A31C07"/>
    <w:rsid w:val="00A31E32"/>
    <w:rsid w:val="00A35D90"/>
    <w:rsid w:val="00A37ECC"/>
    <w:rsid w:val="00A41DC7"/>
    <w:rsid w:val="00A4364F"/>
    <w:rsid w:val="00A5424F"/>
    <w:rsid w:val="00A54EBE"/>
    <w:rsid w:val="00A56CB5"/>
    <w:rsid w:val="00A64717"/>
    <w:rsid w:val="00A748C9"/>
    <w:rsid w:val="00A77398"/>
    <w:rsid w:val="00A80C51"/>
    <w:rsid w:val="00A81EDF"/>
    <w:rsid w:val="00A83A62"/>
    <w:rsid w:val="00A929CC"/>
    <w:rsid w:val="00A9536F"/>
    <w:rsid w:val="00A95495"/>
    <w:rsid w:val="00A955F2"/>
    <w:rsid w:val="00AA0FBE"/>
    <w:rsid w:val="00AA4479"/>
    <w:rsid w:val="00AA48D1"/>
    <w:rsid w:val="00AB7E31"/>
    <w:rsid w:val="00AD2F5B"/>
    <w:rsid w:val="00AD464B"/>
    <w:rsid w:val="00AD7E81"/>
    <w:rsid w:val="00AE0FF5"/>
    <w:rsid w:val="00AE127D"/>
    <w:rsid w:val="00AF12E5"/>
    <w:rsid w:val="00AF7D70"/>
    <w:rsid w:val="00B017FE"/>
    <w:rsid w:val="00B05D04"/>
    <w:rsid w:val="00B17E63"/>
    <w:rsid w:val="00B17F7F"/>
    <w:rsid w:val="00B20869"/>
    <w:rsid w:val="00B211ED"/>
    <w:rsid w:val="00B319D0"/>
    <w:rsid w:val="00B33B3B"/>
    <w:rsid w:val="00B52B37"/>
    <w:rsid w:val="00B548FD"/>
    <w:rsid w:val="00B556FB"/>
    <w:rsid w:val="00B56361"/>
    <w:rsid w:val="00B61746"/>
    <w:rsid w:val="00B62005"/>
    <w:rsid w:val="00B67934"/>
    <w:rsid w:val="00B76FFB"/>
    <w:rsid w:val="00B7795B"/>
    <w:rsid w:val="00B77961"/>
    <w:rsid w:val="00B803FE"/>
    <w:rsid w:val="00B84C74"/>
    <w:rsid w:val="00B94CF1"/>
    <w:rsid w:val="00BA2379"/>
    <w:rsid w:val="00BA6F13"/>
    <w:rsid w:val="00BB3A8E"/>
    <w:rsid w:val="00BB5CD0"/>
    <w:rsid w:val="00BB7111"/>
    <w:rsid w:val="00BC0690"/>
    <w:rsid w:val="00BC4D83"/>
    <w:rsid w:val="00BC6D1F"/>
    <w:rsid w:val="00BD1CD3"/>
    <w:rsid w:val="00BE0F5B"/>
    <w:rsid w:val="00BE242C"/>
    <w:rsid w:val="00BF2DE4"/>
    <w:rsid w:val="00BF4E4B"/>
    <w:rsid w:val="00BF7045"/>
    <w:rsid w:val="00C03881"/>
    <w:rsid w:val="00C03EC3"/>
    <w:rsid w:val="00C051BA"/>
    <w:rsid w:val="00C052AB"/>
    <w:rsid w:val="00C114D9"/>
    <w:rsid w:val="00C115C2"/>
    <w:rsid w:val="00C12A33"/>
    <w:rsid w:val="00C20A8B"/>
    <w:rsid w:val="00C234FA"/>
    <w:rsid w:val="00C31DD3"/>
    <w:rsid w:val="00C3405B"/>
    <w:rsid w:val="00C510B7"/>
    <w:rsid w:val="00C54574"/>
    <w:rsid w:val="00C67F26"/>
    <w:rsid w:val="00C72985"/>
    <w:rsid w:val="00C73607"/>
    <w:rsid w:val="00C7749B"/>
    <w:rsid w:val="00C82DE7"/>
    <w:rsid w:val="00C90F87"/>
    <w:rsid w:val="00C91EA9"/>
    <w:rsid w:val="00CB10A1"/>
    <w:rsid w:val="00CB1671"/>
    <w:rsid w:val="00CB3128"/>
    <w:rsid w:val="00CB582D"/>
    <w:rsid w:val="00CB63FC"/>
    <w:rsid w:val="00CB78F3"/>
    <w:rsid w:val="00CC1E96"/>
    <w:rsid w:val="00CC7527"/>
    <w:rsid w:val="00CD60E2"/>
    <w:rsid w:val="00CF37DE"/>
    <w:rsid w:val="00CF45D0"/>
    <w:rsid w:val="00CF4883"/>
    <w:rsid w:val="00CF6FCC"/>
    <w:rsid w:val="00D06972"/>
    <w:rsid w:val="00D21461"/>
    <w:rsid w:val="00D22BE5"/>
    <w:rsid w:val="00D30B85"/>
    <w:rsid w:val="00D37A63"/>
    <w:rsid w:val="00D44310"/>
    <w:rsid w:val="00D44B33"/>
    <w:rsid w:val="00D556A1"/>
    <w:rsid w:val="00D563C2"/>
    <w:rsid w:val="00D57164"/>
    <w:rsid w:val="00D57281"/>
    <w:rsid w:val="00D65967"/>
    <w:rsid w:val="00D732AF"/>
    <w:rsid w:val="00D777F1"/>
    <w:rsid w:val="00D8185B"/>
    <w:rsid w:val="00D8194A"/>
    <w:rsid w:val="00D82F3E"/>
    <w:rsid w:val="00D969A3"/>
    <w:rsid w:val="00DA584A"/>
    <w:rsid w:val="00DB6895"/>
    <w:rsid w:val="00DC7AB8"/>
    <w:rsid w:val="00DD525D"/>
    <w:rsid w:val="00DD5508"/>
    <w:rsid w:val="00DE0E0D"/>
    <w:rsid w:val="00DE1624"/>
    <w:rsid w:val="00DE5E63"/>
    <w:rsid w:val="00DE675A"/>
    <w:rsid w:val="00E1452E"/>
    <w:rsid w:val="00E375E1"/>
    <w:rsid w:val="00E40A3B"/>
    <w:rsid w:val="00E431DF"/>
    <w:rsid w:val="00E54657"/>
    <w:rsid w:val="00E6697F"/>
    <w:rsid w:val="00E74681"/>
    <w:rsid w:val="00E77CF4"/>
    <w:rsid w:val="00E8042B"/>
    <w:rsid w:val="00E820A0"/>
    <w:rsid w:val="00E9217F"/>
    <w:rsid w:val="00E9496E"/>
    <w:rsid w:val="00E95E2C"/>
    <w:rsid w:val="00E96765"/>
    <w:rsid w:val="00E97D09"/>
    <w:rsid w:val="00EA009B"/>
    <w:rsid w:val="00EA04B7"/>
    <w:rsid w:val="00EA0937"/>
    <w:rsid w:val="00EA7723"/>
    <w:rsid w:val="00EB17F3"/>
    <w:rsid w:val="00EB28CA"/>
    <w:rsid w:val="00EB57D6"/>
    <w:rsid w:val="00EC5445"/>
    <w:rsid w:val="00EE1688"/>
    <w:rsid w:val="00EE23CC"/>
    <w:rsid w:val="00EF36D5"/>
    <w:rsid w:val="00EF3F63"/>
    <w:rsid w:val="00EF4C13"/>
    <w:rsid w:val="00EF6EEB"/>
    <w:rsid w:val="00F072C2"/>
    <w:rsid w:val="00F1066F"/>
    <w:rsid w:val="00F21207"/>
    <w:rsid w:val="00F5110A"/>
    <w:rsid w:val="00F52FF2"/>
    <w:rsid w:val="00F53FD4"/>
    <w:rsid w:val="00F56BEA"/>
    <w:rsid w:val="00F72D89"/>
    <w:rsid w:val="00F74F31"/>
    <w:rsid w:val="00F95FE2"/>
    <w:rsid w:val="00FA0D4F"/>
    <w:rsid w:val="00FA3C12"/>
    <w:rsid w:val="00FB02D1"/>
    <w:rsid w:val="00FB3A1E"/>
    <w:rsid w:val="00FB3C91"/>
    <w:rsid w:val="00FB4DCC"/>
    <w:rsid w:val="00FB6647"/>
    <w:rsid w:val="00FD3F1A"/>
    <w:rsid w:val="00FD442A"/>
    <w:rsid w:val="00FD6406"/>
    <w:rsid w:val="00FE5FE9"/>
    <w:rsid w:val="00FF0F02"/>
    <w:rsid w:val="01325E22"/>
    <w:rsid w:val="022A2F1B"/>
    <w:rsid w:val="022D1EB6"/>
    <w:rsid w:val="02492129"/>
    <w:rsid w:val="02984ED3"/>
    <w:rsid w:val="033B50CF"/>
    <w:rsid w:val="038244BC"/>
    <w:rsid w:val="03E673D5"/>
    <w:rsid w:val="048949F4"/>
    <w:rsid w:val="04BC3FEE"/>
    <w:rsid w:val="04E71BE4"/>
    <w:rsid w:val="04FC07BA"/>
    <w:rsid w:val="04FC5E3F"/>
    <w:rsid w:val="055406CA"/>
    <w:rsid w:val="05793C8D"/>
    <w:rsid w:val="061D4AE9"/>
    <w:rsid w:val="067A39A6"/>
    <w:rsid w:val="069B7C33"/>
    <w:rsid w:val="06D575E9"/>
    <w:rsid w:val="06F2019A"/>
    <w:rsid w:val="07035F04"/>
    <w:rsid w:val="075F6D8D"/>
    <w:rsid w:val="077757B2"/>
    <w:rsid w:val="07F7358F"/>
    <w:rsid w:val="09CD219B"/>
    <w:rsid w:val="09ED576F"/>
    <w:rsid w:val="0ACA6D38"/>
    <w:rsid w:val="0ADF0A36"/>
    <w:rsid w:val="0AE23CA0"/>
    <w:rsid w:val="0B1526A9"/>
    <w:rsid w:val="0B2D7A94"/>
    <w:rsid w:val="0B495292"/>
    <w:rsid w:val="0BFC6084"/>
    <w:rsid w:val="0C78199D"/>
    <w:rsid w:val="0C9A045E"/>
    <w:rsid w:val="0CC62AA3"/>
    <w:rsid w:val="0D366907"/>
    <w:rsid w:val="0DA81358"/>
    <w:rsid w:val="0E6B6E32"/>
    <w:rsid w:val="0F2334BA"/>
    <w:rsid w:val="10446B35"/>
    <w:rsid w:val="1066305F"/>
    <w:rsid w:val="10C42C6F"/>
    <w:rsid w:val="11020FDA"/>
    <w:rsid w:val="11261F07"/>
    <w:rsid w:val="115926F2"/>
    <w:rsid w:val="11901453"/>
    <w:rsid w:val="11C646FD"/>
    <w:rsid w:val="11FA76C0"/>
    <w:rsid w:val="126F32CC"/>
    <w:rsid w:val="12887C05"/>
    <w:rsid w:val="130A73DF"/>
    <w:rsid w:val="136F4921"/>
    <w:rsid w:val="13DC144B"/>
    <w:rsid w:val="147533F1"/>
    <w:rsid w:val="14D26F15"/>
    <w:rsid w:val="14FB601D"/>
    <w:rsid w:val="15632263"/>
    <w:rsid w:val="156D4E90"/>
    <w:rsid w:val="158857D7"/>
    <w:rsid w:val="158E4113"/>
    <w:rsid w:val="16173352"/>
    <w:rsid w:val="168503A9"/>
    <w:rsid w:val="16A843D2"/>
    <w:rsid w:val="17045380"/>
    <w:rsid w:val="17305163"/>
    <w:rsid w:val="175D5180"/>
    <w:rsid w:val="17C93565"/>
    <w:rsid w:val="17F51D98"/>
    <w:rsid w:val="181E6DC2"/>
    <w:rsid w:val="19137AFC"/>
    <w:rsid w:val="19420680"/>
    <w:rsid w:val="1A071979"/>
    <w:rsid w:val="1A6F3E73"/>
    <w:rsid w:val="1AF75928"/>
    <w:rsid w:val="1B2A1722"/>
    <w:rsid w:val="1B523561"/>
    <w:rsid w:val="1BC670A8"/>
    <w:rsid w:val="1BF27E9D"/>
    <w:rsid w:val="1C5219F4"/>
    <w:rsid w:val="1C9D37B4"/>
    <w:rsid w:val="1D3C1D18"/>
    <w:rsid w:val="1DAE130C"/>
    <w:rsid w:val="1E110AAE"/>
    <w:rsid w:val="1E276524"/>
    <w:rsid w:val="1E3B3A7B"/>
    <w:rsid w:val="1E5159EB"/>
    <w:rsid w:val="1EAC551B"/>
    <w:rsid w:val="1EB55A51"/>
    <w:rsid w:val="1EED5F1F"/>
    <w:rsid w:val="1F777037"/>
    <w:rsid w:val="1FD746B4"/>
    <w:rsid w:val="20B06D6F"/>
    <w:rsid w:val="20CC33B3"/>
    <w:rsid w:val="216750D4"/>
    <w:rsid w:val="21B7392C"/>
    <w:rsid w:val="21D201B1"/>
    <w:rsid w:val="21EF1A6D"/>
    <w:rsid w:val="22583E4C"/>
    <w:rsid w:val="22F95FB5"/>
    <w:rsid w:val="23086998"/>
    <w:rsid w:val="237361CD"/>
    <w:rsid w:val="23A4357D"/>
    <w:rsid w:val="23CB05A0"/>
    <w:rsid w:val="24030209"/>
    <w:rsid w:val="241D7D08"/>
    <w:rsid w:val="245B3C6C"/>
    <w:rsid w:val="24622F63"/>
    <w:rsid w:val="24F37160"/>
    <w:rsid w:val="25100723"/>
    <w:rsid w:val="25DB65E1"/>
    <w:rsid w:val="260E3934"/>
    <w:rsid w:val="262D66A1"/>
    <w:rsid w:val="264F45F3"/>
    <w:rsid w:val="267870ED"/>
    <w:rsid w:val="26E96EB2"/>
    <w:rsid w:val="27421CD9"/>
    <w:rsid w:val="27557C08"/>
    <w:rsid w:val="27EA3965"/>
    <w:rsid w:val="27EE7308"/>
    <w:rsid w:val="28327F9F"/>
    <w:rsid w:val="285C14C0"/>
    <w:rsid w:val="28A04A3E"/>
    <w:rsid w:val="28F039B6"/>
    <w:rsid w:val="29057462"/>
    <w:rsid w:val="296756E3"/>
    <w:rsid w:val="2973448D"/>
    <w:rsid w:val="2A133F6A"/>
    <w:rsid w:val="2AC1560A"/>
    <w:rsid w:val="2AD83BB6"/>
    <w:rsid w:val="2B6F150A"/>
    <w:rsid w:val="2B7908D3"/>
    <w:rsid w:val="2B874618"/>
    <w:rsid w:val="2B936FA7"/>
    <w:rsid w:val="2BA11021"/>
    <w:rsid w:val="2BCA1FE8"/>
    <w:rsid w:val="2BFB194E"/>
    <w:rsid w:val="2C5129BE"/>
    <w:rsid w:val="2C5B55EB"/>
    <w:rsid w:val="2CC4347D"/>
    <w:rsid w:val="2CF023E4"/>
    <w:rsid w:val="2D595FCE"/>
    <w:rsid w:val="2D7634BA"/>
    <w:rsid w:val="2E0954B4"/>
    <w:rsid w:val="2E2760CC"/>
    <w:rsid w:val="2E33377B"/>
    <w:rsid w:val="2E855945"/>
    <w:rsid w:val="2E950417"/>
    <w:rsid w:val="2EBF0CBA"/>
    <w:rsid w:val="2F910DE9"/>
    <w:rsid w:val="2FBC45F2"/>
    <w:rsid w:val="2FED65D0"/>
    <w:rsid w:val="301966EF"/>
    <w:rsid w:val="301E7772"/>
    <w:rsid w:val="30550BE7"/>
    <w:rsid w:val="30916CF1"/>
    <w:rsid w:val="30BE2F3E"/>
    <w:rsid w:val="30F57DBC"/>
    <w:rsid w:val="311D5F2D"/>
    <w:rsid w:val="31633786"/>
    <w:rsid w:val="32D66D66"/>
    <w:rsid w:val="32E12CEE"/>
    <w:rsid w:val="335C6818"/>
    <w:rsid w:val="337803C3"/>
    <w:rsid w:val="33CF6FEA"/>
    <w:rsid w:val="33D7412E"/>
    <w:rsid w:val="34336EA9"/>
    <w:rsid w:val="344A041F"/>
    <w:rsid w:val="344E3226"/>
    <w:rsid w:val="345E7A8A"/>
    <w:rsid w:val="34C2013F"/>
    <w:rsid w:val="34E15227"/>
    <w:rsid w:val="351110E2"/>
    <w:rsid w:val="35610C3B"/>
    <w:rsid w:val="35AB75E3"/>
    <w:rsid w:val="35FB120F"/>
    <w:rsid w:val="36681795"/>
    <w:rsid w:val="3668204D"/>
    <w:rsid w:val="36F13A48"/>
    <w:rsid w:val="37A96014"/>
    <w:rsid w:val="37CA23CB"/>
    <w:rsid w:val="37CF02BB"/>
    <w:rsid w:val="38A10262"/>
    <w:rsid w:val="39DC5D26"/>
    <w:rsid w:val="3A4B5B13"/>
    <w:rsid w:val="3B8E4CC3"/>
    <w:rsid w:val="3BC12195"/>
    <w:rsid w:val="3BC431AC"/>
    <w:rsid w:val="3D0038B0"/>
    <w:rsid w:val="3D0A2E41"/>
    <w:rsid w:val="3D1E6614"/>
    <w:rsid w:val="3DDC3EF3"/>
    <w:rsid w:val="3DDF7E2A"/>
    <w:rsid w:val="3DFA79FE"/>
    <w:rsid w:val="3E646581"/>
    <w:rsid w:val="3E661881"/>
    <w:rsid w:val="3EAD43CC"/>
    <w:rsid w:val="3EC3774B"/>
    <w:rsid w:val="3F0239DF"/>
    <w:rsid w:val="3FB11C9A"/>
    <w:rsid w:val="3FB50140"/>
    <w:rsid w:val="3FF94B4E"/>
    <w:rsid w:val="40CB0B39"/>
    <w:rsid w:val="40D63F13"/>
    <w:rsid w:val="40DE6ABE"/>
    <w:rsid w:val="41055B3E"/>
    <w:rsid w:val="412215F5"/>
    <w:rsid w:val="418A1122"/>
    <w:rsid w:val="423A7BFA"/>
    <w:rsid w:val="42725710"/>
    <w:rsid w:val="432B1D63"/>
    <w:rsid w:val="433D5F5C"/>
    <w:rsid w:val="43860D47"/>
    <w:rsid w:val="439671DC"/>
    <w:rsid w:val="44A45255"/>
    <w:rsid w:val="44CA4BFA"/>
    <w:rsid w:val="45375617"/>
    <w:rsid w:val="45440EBA"/>
    <w:rsid w:val="455A6994"/>
    <w:rsid w:val="4596011D"/>
    <w:rsid w:val="46244F73"/>
    <w:rsid w:val="46F01982"/>
    <w:rsid w:val="475215F1"/>
    <w:rsid w:val="476561F7"/>
    <w:rsid w:val="47CF53B3"/>
    <w:rsid w:val="47DE4515"/>
    <w:rsid w:val="48433D7A"/>
    <w:rsid w:val="48C25FD8"/>
    <w:rsid w:val="48D16FA4"/>
    <w:rsid w:val="495A69EA"/>
    <w:rsid w:val="4AA67BE3"/>
    <w:rsid w:val="4AB51C3D"/>
    <w:rsid w:val="4B8D6ED7"/>
    <w:rsid w:val="4BAB57EF"/>
    <w:rsid w:val="4CC851D7"/>
    <w:rsid w:val="4D083EE4"/>
    <w:rsid w:val="4D371A30"/>
    <w:rsid w:val="4D42277A"/>
    <w:rsid w:val="4DAD0949"/>
    <w:rsid w:val="4DCD195E"/>
    <w:rsid w:val="4E760C3B"/>
    <w:rsid w:val="4F1355AD"/>
    <w:rsid w:val="4F4A4DB8"/>
    <w:rsid w:val="4FD72002"/>
    <w:rsid w:val="5039786D"/>
    <w:rsid w:val="504970E8"/>
    <w:rsid w:val="506F328F"/>
    <w:rsid w:val="507A680B"/>
    <w:rsid w:val="50B52925"/>
    <w:rsid w:val="50C7131D"/>
    <w:rsid w:val="51950E8D"/>
    <w:rsid w:val="51B353FD"/>
    <w:rsid w:val="52956F50"/>
    <w:rsid w:val="534F5CCE"/>
    <w:rsid w:val="53605111"/>
    <w:rsid w:val="537F075C"/>
    <w:rsid w:val="5382152B"/>
    <w:rsid w:val="538E5CEB"/>
    <w:rsid w:val="53C27B7A"/>
    <w:rsid w:val="53F8359B"/>
    <w:rsid w:val="54A6634B"/>
    <w:rsid w:val="54B03E76"/>
    <w:rsid w:val="54FA584E"/>
    <w:rsid w:val="55045A8A"/>
    <w:rsid w:val="553403DB"/>
    <w:rsid w:val="56384123"/>
    <w:rsid w:val="56BC4F55"/>
    <w:rsid w:val="572414CB"/>
    <w:rsid w:val="574F5BC8"/>
    <w:rsid w:val="57A852D8"/>
    <w:rsid w:val="58122797"/>
    <w:rsid w:val="585B4D73"/>
    <w:rsid w:val="585E36BA"/>
    <w:rsid w:val="591D7D95"/>
    <w:rsid w:val="59611BE3"/>
    <w:rsid w:val="597306EB"/>
    <w:rsid w:val="59FD1B25"/>
    <w:rsid w:val="5A1503B4"/>
    <w:rsid w:val="5A150D5F"/>
    <w:rsid w:val="5A8333B2"/>
    <w:rsid w:val="5ABA0D0C"/>
    <w:rsid w:val="5B6555C2"/>
    <w:rsid w:val="5B835E40"/>
    <w:rsid w:val="5C6C28AE"/>
    <w:rsid w:val="5C847BCF"/>
    <w:rsid w:val="5C8735F4"/>
    <w:rsid w:val="5CEE7C31"/>
    <w:rsid w:val="5D1326E8"/>
    <w:rsid w:val="5D373670"/>
    <w:rsid w:val="5D804CAE"/>
    <w:rsid w:val="5D8F4F70"/>
    <w:rsid w:val="5DA73435"/>
    <w:rsid w:val="5DB6074F"/>
    <w:rsid w:val="5EAB7F8E"/>
    <w:rsid w:val="5F1B6ADB"/>
    <w:rsid w:val="5FBE1B3D"/>
    <w:rsid w:val="60034A57"/>
    <w:rsid w:val="60086637"/>
    <w:rsid w:val="6166423A"/>
    <w:rsid w:val="617E4E02"/>
    <w:rsid w:val="61E47F27"/>
    <w:rsid w:val="62A02B74"/>
    <w:rsid w:val="62A274F4"/>
    <w:rsid w:val="639C2263"/>
    <w:rsid w:val="63D3546D"/>
    <w:rsid w:val="63E47FE7"/>
    <w:rsid w:val="64264155"/>
    <w:rsid w:val="64A302E2"/>
    <w:rsid w:val="651B5327"/>
    <w:rsid w:val="65C71020"/>
    <w:rsid w:val="6702003D"/>
    <w:rsid w:val="67065C98"/>
    <w:rsid w:val="673D4B92"/>
    <w:rsid w:val="67D229A1"/>
    <w:rsid w:val="682C3E16"/>
    <w:rsid w:val="68CA1553"/>
    <w:rsid w:val="691112C8"/>
    <w:rsid w:val="694638A8"/>
    <w:rsid w:val="69CE2026"/>
    <w:rsid w:val="69D57545"/>
    <w:rsid w:val="6A48221F"/>
    <w:rsid w:val="6AA7499B"/>
    <w:rsid w:val="6ABC311D"/>
    <w:rsid w:val="6B4A3804"/>
    <w:rsid w:val="6B7D142A"/>
    <w:rsid w:val="6B9B28CF"/>
    <w:rsid w:val="6BE566A3"/>
    <w:rsid w:val="6C033C13"/>
    <w:rsid w:val="6C4E4249"/>
    <w:rsid w:val="6C91013B"/>
    <w:rsid w:val="6D1A30A0"/>
    <w:rsid w:val="6DAA2C25"/>
    <w:rsid w:val="6DB9673E"/>
    <w:rsid w:val="6E6371A6"/>
    <w:rsid w:val="6E7C3AC6"/>
    <w:rsid w:val="6EFC1D3A"/>
    <w:rsid w:val="6F415A91"/>
    <w:rsid w:val="6FA86B63"/>
    <w:rsid w:val="70293003"/>
    <w:rsid w:val="704A5C26"/>
    <w:rsid w:val="70C745CA"/>
    <w:rsid w:val="70C920F0"/>
    <w:rsid w:val="70CC1BE0"/>
    <w:rsid w:val="71902C0D"/>
    <w:rsid w:val="71B27028"/>
    <w:rsid w:val="71B936B9"/>
    <w:rsid w:val="72333AAB"/>
    <w:rsid w:val="72822E9E"/>
    <w:rsid w:val="72FF2499"/>
    <w:rsid w:val="7314532B"/>
    <w:rsid w:val="739915E2"/>
    <w:rsid w:val="73B152BE"/>
    <w:rsid w:val="73BA353C"/>
    <w:rsid w:val="73E16D9A"/>
    <w:rsid w:val="73EA6CB1"/>
    <w:rsid w:val="74042666"/>
    <w:rsid w:val="741B7D08"/>
    <w:rsid w:val="744F3E92"/>
    <w:rsid w:val="745148D6"/>
    <w:rsid w:val="7460011F"/>
    <w:rsid w:val="74DF12B3"/>
    <w:rsid w:val="75410DEE"/>
    <w:rsid w:val="75457F23"/>
    <w:rsid w:val="75693EA1"/>
    <w:rsid w:val="757C356A"/>
    <w:rsid w:val="760477CC"/>
    <w:rsid w:val="76133454"/>
    <w:rsid w:val="7618452B"/>
    <w:rsid w:val="76F93003"/>
    <w:rsid w:val="7782001E"/>
    <w:rsid w:val="77925597"/>
    <w:rsid w:val="779718E6"/>
    <w:rsid w:val="77F263D0"/>
    <w:rsid w:val="78606C4A"/>
    <w:rsid w:val="793B231D"/>
    <w:rsid w:val="79552231"/>
    <w:rsid w:val="798A1875"/>
    <w:rsid w:val="7A230972"/>
    <w:rsid w:val="7A305FE8"/>
    <w:rsid w:val="7A521DCA"/>
    <w:rsid w:val="7A656E5D"/>
    <w:rsid w:val="7ABE6A3D"/>
    <w:rsid w:val="7B2A0D5E"/>
    <w:rsid w:val="7BA960C5"/>
    <w:rsid w:val="7C1E59E5"/>
    <w:rsid w:val="7C742DB2"/>
    <w:rsid w:val="7D006E99"/>
    <w:rsid w:val="7D875502"/>
    <w:rsid w:val="7DA939D5"/>
    <w:rsid w:val="7DEC38C1"/>
    <w:rsid w:val="7DF74740"/>
    <w:rsid w:val="7E61605D"/>
    <w:rsid w:val="7E6C6D44"/>
    <w:rsid w:val="7EB62DAC"/>
    <w:rsid w:val="7F1662CB"/>
    <w:rsid w:val="7F270B69"/>
    <w:rsid w:val="7F275199"/>
    <w:rsid w:val="7F2C4270"/>
    <w:rsid w:val="7F323556"/>
    <w:rsid w:val="7F401EC2"/>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semiHidden="0" w:name="heading 4"/>
    <w:lsdException w:qFormat="1" w:uiPriority="0" w:semiHidden="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qFormat="1"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qFormat="1"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1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qFormat="1"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qFormat="1"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45"/>
    <w:qFormat/>
    <w:uiPriority w:val="0"/>
    <w:pPr>
      <w:keepNext/>
      <w:keepLines/>
      <w:spacing w:before="340" w:beforeLines="0" w:after="330" w:afterLines="0" w:line="576" w:lineRule="auto"/>
      <w:outlineLvl w:val="0"/>
    </w:pPr>
    <w:rPr>
      <w:b/>
      <w:bCs/>
      <w:kern w:val="44"/>
      <w:sz w:val="44"/>
      <w:szCs w:val="44"/>
    </w:rPr>
  </w:style>
  <w:style w:type="paragraph" w:styleId="3">
    <w:name w:val="heading 2"/>
    <w:basedOn w:val="1"/>
    <w:next w:val="1"/>
    <w:link w:val="44"/>
    <w:unhideWhenUsed/>
    <w:qFormat/>
    <w:uiPriority w:val="0"/>
    <w:pPr>
      <w:keepNext/>
      <w:keepLines/>
      <w:spacing w:before="260" w:beforeLines="0" w:after="260" w:afterLines="0" w:line="413" w:lineRule="auto"/>
      <w:outlineLvl w:val="1"/>
    </w:pPr>
    <w:rPr>
      <w:rFonts w:ascii="Arial" w:hAnsi="Arial" w:eastAsia="黑体"/>
      <w:b/>
      <w:bCs/>
      <w:sz w:val="32"/>
      <w:szCs w:val="32"/>
    </w:rPr>
  </w:style>
  <w:style w:type="paragraph" w:styleId="4">
    <w:name w:val="heading 3"/>
    <w:basedOn w:val="1"/>
    <w:next w:val="1"/>
    <w:link w:val="46"/>
    <w:unhideWhenUsed/>
    <w:qFormat/>
    <w:uiPriority w:val="0"/>
    <w:pPr>
      <w:keepNext/>
      <w:keepLines/>
      <w:spacing w:line="600" w:lineRule="exact"/>
      <w:ind w:firstLine="643" w:firstLineChars="200"/>
      <w:outlineLvl w:val="2"/>
    </w:pPr>
    <w:rPr>
      <w:b/>
      <w:bCs/>
      <w:sz w:val="32"/>
      <w:szCs w:val="32"/>
    </w:rPr>
  </w:style>
  <w:style w:type="paragraph" w:styleId="5">
    <w:name w:val="heading 4"/>
    <w:basedOn w:val="1"/>
    <w:next w:val="1"/>
    <w:link w:val="47"/>
    <w:unhideWhenUsed/>
    <w:qFormat/>
    <w:uiPriority w:val="0"/>
    <w:pPr>
      <w:tabs>
        <w:tab w:val="left" w:pos="2155"/>
      </w:tabs>
      <w:adjustRightInd w:val="0"/>
      <w:spacing w:before="120" w:beforeLines="0" w:line="360" w:lineRule="auto"/>
      <w:ind w:left="2155" w:hanging="1078"/>
      <w:textAlignment w:val="baseline"/>
      <w:outlineLvl w:val="3"/>
    </w:pPr>
    <w:rPr>
      <w:rFonts w:ascii="Arial" w:eastAsia="黑体"/>
      <w:kern w:val="0"/>
      <w:sz w:val="28"/>
      <w:szCs w:val="20"/>
    </w:rPr>
  </w:style>
  <w:style w:type="paragraph" w:styleId="6">
    <w:name w:val="heading 5"/>
    <w:basedOn w:val="1"/>
    <w:next w:val="1"/>
    <w:link w:val="48"/>
    <w:unhideWhenUsed/>
    <w:qFormat/>
    <w:uiPriority w:val="0"/>
    <w:pPr>
      <w:keepNext/>
      <w:keepLines/>
      <w:spacing w:before="280" w:after="290" w:line="376" w:lineRule="auto"/>
      <w:outlineLvl w:val="4"/>
    </w:pPr>
    <w:rPr>
      <w:b/>
      <w:bCs/>
      <w:sz w:val="28"/>
      <w:szCs w:val="28"/>
    </w:rPr>
  </w:style>
  <w:style w:type="character" w:default="1" w:styleId="37">
    <w:name w:val="Default Paragraph Font"/>
    <w:semiHidden/>
    <w:qFormat/>
    <w:uiPriority w:val="0"/>
  </w:style>
  <w:style w:type="table" w:default="1" w:styleId="35">
    <w:name w:val="Normal Table"/>
    <w:semiHidden/>
    <w:qFormat/>
    <w:uiPriority w:val="0"/>
    <w:tblPr>
      <w:tblCellMar>
        <w:top w:w="0" w:type="dxa"/>
        <w:left w:w="108" w:type="dxa"/>
        <w:bottom w:w="0" w:type="dxa"/>
        <w:right w:w="108" w:type="dxa"/>
      </w:tblCellMar>
    </w:tblPr>
  </w:style>
  <w:style w:type="paragraph" w:styleId="7">
    <w:name w:val="toc 7"/>
    <w:basedOn w:val="1"/>
    <w:next w:val="1"/>
    <w:qFormat/>
    <w:uiPriority w:val="0"/>
    <w:pPr>
      <w:jc w:val="left"/>
    </w:pPr>
    <w:rPr>
      <w:rFonts w:ascii="Calibri" w:hAnsi="Calibri"/>
      <w:sz w:val="22"/>
      <w:szCs w:val="22"/>
    </w:rPr>
  </w:style>
  <w:style w:type="paragraph" w:styleId="8">
    <w:name w:val="index 8"/>
    <w:basedOn w:val="1"/>
    <w:next w:val="1"/>
    <w:qFormat/>
    <w:uiPriority w:val="0"/>
    <w:pPr>
      <w:ind w:left="2940"/>
    </w:pPr>
    <w:rPr>
      <w:rFonts w:ascii="Times New Roman" w:hAnsi="Times New Roman" w:eastAsia="宋体" w:cs="Times New Roman"/>
    </w:rPr>
  </w:style>
  <w:style w:type="paragraph" w:styleId="9">
    <w:name w:val="Normal Indent"/>
    <w:basedOn w:val="1"/>
    <w:qFormat/>
    <w:uiPriority w:val="0"/>
    <w:pPr>
      <w:ind w:firstLine="420"/>
    </w:pPr>
    <w:rPr>
      <w:szCs w:val="20"/>
    </w:rPr>
  </w:style>
  <w:style w:type="paragraph" w:styleId="10">
    <w:name w:val="caption"/>
    <w:basedOn w:val="1"/>
    <w:next w:val="1"/>
    <w:unhideWhenUsed/>
    <w:qFormat/>
    <w:uiPriority w:val="0"/>
    <w:pPr>
      <w:spacing w:before="152" w:after="160"/>
    </w:pPr>
    <w:rPr>
      <w:rFonts w:ascii="Arial" w:hAnsi="Arial" w:eastAsia="黑体" w:cs="Arial"/>
      <w:sz w:val="20"/>
      <w:szCs w:val="20"/>
    </w:rPr>
  </w:style>
  <w:style w:type="paragraph" w:styleId="11">
    <w:name w:val="Document Map"/>
    <w:basedOn w:val="1"/>
    <w:link w:val="49"/>
    <w:qFormat/>
    <w:uiPriority w:val="0"/>
    <w:rPr>
      <w:rFonts w:ascii="宋体"/>
      <w:sz w:val="18"/>
      <w:szCs w:val="18"/>
    </w:rPr>
  </w:style>
  <w:style w:type="paragraph" w:styleId="12">
    <w:name w:val="annotation text"/>
    <w:basedOn w:val="1"/>
    <w:link w:val="50"/>
    <w:qFormat/>
    <w:uiPriority w:val="0"/>
    <w:pPr>
      <w:jc w:val="left"/>
    </w:pPr>
  </w:style>
  <w:style w:type="paragraph" w:styleId="13">
    <w:name w:val="Body Text 3"/>
    <w:basedOn w:val="1"/>
    <w:link w:val="51"/>
    <w:qFormat/>
    <w:uiPriority w:val="0"/>
    <w:pPr>
      <w:spacing w:after="120"/>
    </w:pPr>
    <w:rPr>
      <w:sz w:val="16"/>
      <w:szCs w:val="16"/>
    </w:rPr>
  </w:style>
  <w:style w:type="paragraph" w:styleId="14">
    <w:name w:val="Body Text"/>
    <w:basedOn w:val="1"/>
    <w:link w:val="52"/>
    <w:qFormat/>
    <w:uiPriority w:val="0"/>
    <w:pPr>
      <w:spacing w:after="120"/>
    </w:pPr>
  </w:style>
  <w:style w:type="paragraph" w:styleId="15">
    <w:name w:val="Body Text Indent"/>
    <w:basedOn w:val="1"/>
    <w:link w:val="53"/>
    <w:qFormat/>
    <w:uiPriority w:val="0"/>
    <w:pPr>
      <w:spacing w:line="200" w:lineRule="exact"/>
      <w:ind w:firstLine="301"/>
    </w:pPr>
    <w:rPr>
      <w:rFonts w:ascii="宋体" w:hAnsi="Courier New"/>
      <w:spacing w:val="-4"/>
      <w:sz w:val="18"/>
      <w:szCs w:val="20"/>
    </w:rPr>
  </w:style>
  <w:style w:type="paragraph" w:styleId="16">
    <w:name w:val="toc 5"/>
    <w:basedOn w:val="1"/>
    <w:next w:val="1"/>
    <w:qFormat/>
    <w:uiPriority w:val="0"/>
    <w:pPr>
      <w:jc w:val="left"/>
    </w:pPr>
    <w:rPr>
      <w:rFonts w:ascii="Calibri" w:hAnsi="Calibri"/>
      <w:sz w:val="22"/>
      <w:szCs w:val="22"/>
    </w:rPr>
  </w:style>
  <w:style w:type="paragraph" w:styleId="17">
    <w:name w:val="toc 3"/>
    <w:basedOn w:val="1"/>
    <w:next w:val="1"/>
    <w:qFormat/>
    <w:uiPriority w:val="0"/>
    <w:pPr>
      <w:jc w:val="left"/>
    </w:pPr>
    <w:rPr>
      <w:rFonts w:ascii="Calibri" w:hAnsi="Calibri"/>
      <w:smallCaps/>
      <w:sz w:val="22"/>
      <w:szCs w:val="22"/>
    </w:rPr>
  </w:style>
  <w:style w:type="paragraph" w:styleId="18">
    <w:name w:val="Plain Text"/>
    <w:basedOn w:val="1"/>
    <w:next w:val="8"/>
    <w:link w:val="54"/>
    <w:qFormat/>
    <w:uiPriority w:val="0"/>
    <w:rPr>
      <w:rFonts w:ascii="宋体" w:hAnsi="Courier New"/>
      <w:szCs w:val="20"/>
    </w:rPr>
  </w:style>
  <w:style w:type="paragraph" w:styleId="19">
    <w:name w:val="toc 8"/>
    <w:basedOn w:val="1"/>
    <w:next w:val="1"/>
    <w:qFormat/>
    <w:uiPriority w:val="0"/>
    <w:pPr>
      <w:jc w:val="left"/>
    </w:pPr>
    <w:rPr>
      <w:rFonts w:ascii="Calibri" w:hAnsi="Calibri"/>
      <w:sz w:val="22"/>
      <w:szCs w:val="22"/>
    </w:rPr>
  </w:style>
  <w:style w:type="paragraph" w:styleId="20">
    <w:name w:val="Date"/>
    <w:basedOn w:val="1"/>
    <w:next w:val="1"/>
    <w:link w:val="55"/>
    <w:qFormat/>
    <w:uiPriority w:val="0"/>
    <w:pPr>
      <w:ind w:left="100" w:leftChars="2500"/>
    </w:pPr>
  </w:style>
  <w:style w:type="paragraph" w:styleId="21">
    <w:name w:val="Body Text Indent 2"/>
    <w:basedOn w:val="1"/>
    <w:link w:val="56"/>
    <w:qFormat/>
    <w:uiPriority w:val="0"/>
    <w:pPr>
      <w:spacing w:after="120" w:afterLines="0" w:line="480" w:lineRule="auto"/>
      <w:ind w:left="420" w:leftChars="200"/>
    </w:pPr>
  </w:style>
  <w:style w:type="paragraph" w:styleId="22">
    <w:name w:val="Balloon Text"/>
    <w:basedOn w:val="1"/>
    <w:link w:val="57"/>
    <w:qFormat/>
    <w:uiPriority w:val="0"/>
    <w:rPr>
      <w:sz w:val="18"/>
      <w:szCs w:val="18"/>
    </w:rPr>
  </w:style>
  <w:style w:type="paragraph" w:styleId="23">
    <w:name w:val="footer"/>
    <w:basedOn w:val="1"/>
    <w:link w:val="58"/>
    <w:qFormat/>
    <w:uiPriority w:val="0"/>
    <w:pPr>
      <w:tabs>
        <w:tab w:val="center" w:pos="4153"/>
        <w:tab w:val="right" w:pos="8306"/>
      </w:tabs>
      <w:snapToGrid w:val="0"/>
      <w:jc w:val="left"/>
    </w:pPr>
    <w:rPr>
      <w:sz w:val="18"/>
      <w:szCs w:val="18"/>
    </w:rPr>
  </w:style>
  <w:style w:type="paragraph" w:styleId="24">
    <w:name w:val="header"/>
    <w:basedOn w:val="1"/>
    <w:link w:val="59"/>
    <w:qFormat/>
    <w:uiPriority w:val="0"/>
    <w:pPr>
      <w:pBdr>
        <w:bottom w:val="single" w:color="auto" w:sz="6" w:space="1"/>
      </w:pBdr>
      <w:tabs>
        <w:tab w:val="center" w:pos="4153"/>
        <w:tab w:val="right" w:pos="8306"/>
      </w:tabs>
      <w:snapToGrid w:val="0"/>
      <w:jc w:val="center"/>
    </w:pPr>
    <w:rPr>
      <w:sz w:val="18"/>
      <w:szCs w:val="18"/>
    </w:rPr>
  </w:style>
  <w:style w:type="paragraph" w:styleId="25">
    <w:name w:val="toc 1"/>
    <w:basedOn w:val="1"/>
    <w:next w:val="1"/>
    <w:qFormat/>
    <w:uiPriority w:val="0"/>
    <w:pPr>
      <w:spacing w:before="360" w:after="360"/>
      <w:jc w:val="left"/>
    </w:pPr>
    <w:rPr>
      <w:rFonts w:ascii="Calibri" w:hAnsi="Calibri"/>
      <w:b/>
      <w:bCs/>
      <w:caps/>
      <w:sz w:val="22"/>
      <w:szCs w:val="22"/>
      <w:u w:val="single"/>
    </w:rPr>
  </w:style>
  <w:style w:type="paragraph" w:styleId="26">
    <w:name w:val="toc 4"/>
    <w:basedOn w:val="1"/>
    <w:next w:val="1"/>
    <w:qFormat/>
    <w:uiPriority w:val="0"/>
    <w:pPr>
      <w:jc w:val="left"/>
    </w:pPr>
    <w:rPr>
      <w:rFonts w:ascii="Calibri" w:hAnsi="Calibri"/>
      <w:sz w:val="22"/>
      <w:szCs w:val="22"/>
    </w:rPr>
  </w:style>
  <w:style w:type="paragraph" w:styleId="27">
    <w:name w:val="List"/>
    <w:basedOn w:val="1"/>
    <w:qFormat/>
    <w:uiPriority w:val="0"/>
    <w:pPr>
      <w:ind w:left="200" w:hanging="200" w:hangingChars="200"/>
    </w:pPr>
    <w:rPr>
      <w:sz w:val="28"/>
    </w:rPr>
  </w:style>
  <w:style w:type="paragraph" w:styleId="28">
    <w:name w:val="toc 6"/>
    <w:basedOn w:val="1"/>
    <w:next w:val="1"/>
    <w:qFormat/>
    <w:uiPriority w:val="0"/>
    <w:pPr>
      <w:jc w:val="left"/>
    </w:pPr>
    <w:rPr>
      <w:rFonts w:ascii="Calibri" w:hAnsi="Calibri"/>
      <w:sz w:val="22"/>
      <w:szCs w:val="22"/>
    </w:rPr>
  </w:style>
  <w:style w:type="paragraph" w:styleId="29">
    <w:name w:val="toc 2"/>
    <w:basedOn w:val="1"/>
    <w:next w:val="1"/>
    <w:qFormat/>
    <w:uiPriority w:val="0"/>
    <w:pPr>
      <w:jc w:val="left"/>
    </w:pPr>
    <w:rPr>
      <w:rFonts w:ascii="Calibri" w:hAnsi="Calibri"/>
      <w:b/>
      <w:bCs/>
      <w:smallCaps/>
      <w:sz w:val="22"/>
      <w:szCs w:val="22"/>
    </w:rPr>
  </w:style>
  <w:style w:type="paragraph" w:styleId="30">
    <w:name w:val="toc 9"/>
    <w:basedOn w:val="1"/>
    <w:next w:val="1"/>
    <w:qFormat/>
    <w:uiPriority w:val="0"/>
    <w:pPr>
      <w:jc w:val="left"/>
    </w:pPr>
    <w:rPr>
      <w:rFonts w:ascii="Calibri" w:hAnsi="Calibri"/>
      <w:sz w:val="22"/>
      <w:szCs w:val="22"/>
    </w:rPr>
  </w:style>
  <w:style w:type="paragraph" w:styleId="31">
    <w:name w:val="Normal (Web)"/>
    <w:basedOn w:val="1"/>
    <w:qFormat/>
    <w:uiPriority w:val="0"/>
    <w:pPr>
      <w:widowControl/>
      <w:jc w:val="left"/>
    </w:pPr>
    <w:rPr>
      <w:rFonts w:ascii="宋体" w:hAnsi="宋体" w:eastAsia="宋体" w:cs="Times New Roman"/>
      <w:kern w:val="0"/>
      <w:sz w:val="24"/>
    </w:rPr>
  </w:style>
  <w:style w:type="paragraph" w:styleId="32">
    <w:name w:val="Title"/>
    <w:basedOn w:val="1"/>
    <w:next w:val="1"/>
    <w:qFormat/>
    <w:uiPriority w:val="10"/>
    <w:pPr>
      <w:spacing w:before="240" w:after="60"/>
      <w:jc w:val="center"/>
      <w:outlineLvl w:val="0"/>
    </w:pPr>
    <w:rPr>
      <w:rFonts w:ascii="Cambria" w:hAnsi="Cambria" w:eastAsia="宋体" w:cs="Times New Roman"/>
      <w:b/>
      <w:bCs/>
      <w:sz w:val="32"/>
      <w:szCs w:val="32"/>
    </w:rPr>
  </w:style>
  <w:style w:type="paragraph" w:styleId="33">
    <w:name w:val="annotation subject"/>
    <w:basedOn w:val="12"/>
    <w:next w:val="12"/>
    <w:link w:val="60"/>
    <w:qFormat/>
    <w:uiPriority w:val="0"/>
    <w:rPr>
      <w:b/>
      <w:bCs/>
    </w:rPr>
  </w:style>
  <w:style w:type="paragraph" w:styleId="34">
    <w:name w:val="Body Text First Indent"/>
    <w:basedOn w:val="14"/>
    <w:qFormat/>
    <w:uiPriority w:val="0"/>
    <w:pPr>
      <w:widowControl/>
      <w:wordWrap w:val="0"/>
      <w:topLinePunct/>
      <w:spacing w:after="0" w:line="600" w:lineRule="exact"/>
      <w:ind w:firstLine="880" w:firstLineChars="200"/>
      <w:jc w:val="left"/>
      <w:textAlignment w:val="baseline"/>
    </w:pPr>
    <w:rPr>
      <w:rFonts w:ascii="Times New Roman" w:hAnsi="Times New Roman" w:eastAsia="仿宋_GB2312" w:cs="Times New Roman"/>
      <w:sz w:val="32"/>
      <w:szCs w:val="24"/>
      <w:lang w:eastAsia="en-US"/>
    </w:rPr>
  </w:style>
  <w:style w:type="table" w:styleId="36">
    <w:name w:val="Table Grid"/>
    <w:basedOn w:val="3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38">
    <w:name w:val="Strong"/>
    <w:basedOn w:val="37"/>
    <w:qFormat/>
    <w:uiPriority w:val="0"/>
    <w:rPr>
      <w:b/>
    </w:rPr>
  </w:style>
  <w:style w:type="character" w:styleId="39">
    <w:name w:val="page number"/>
    <w:qFormat/>
    <w:uiPriority w:val="0"/>
  </w:style>
  <w:style w:type="character" w:styleId="40">
    <w:name w:val="FollowedHyperlink"/>
    <w:basedOn w:val="37"/>
    <w:qFormat/>
    <w:uiPriority w:val="0"/>
    <w:rPr>
      <w:color w:val="000000"/>
      <w:u w:val="none"/>
    </w:rPr>
  </w:style>
  <w:style w:type="character" w:styleId="41">
    <w:name w:val="Emphasis"/>
    <w:basedOn w:val="37"/>
    <w:qFormat/>
    <w:uiPriority w:val="0"/>
    <w:rPr>
      <w:i/>
    </w:rPr>
  </w:style>
  <w:style w:type="character" w:styleId="42">
    <w:name w:val="Hyperlink"/>
    <w:basedOn w:val="37"/>
    <w:qFormat/>
    <w:uiPriority w:val="0"/>
    <w:rPr>
      <w:color w:val="000000"/>
      <w:u w:val="none"/>
    </w:rPr>
  </w:style>
  <w:style w:type="character" w:styleId="43">
    <w:name w:val="annotation reference"/>
    <w:qFormat/>
    <w:uiPriority w:val="0"/>
    <w:rPr>
      <w:sz w:val="21"/>
      <w:szCs w:val="21"/>
    </w:rPr>
  </w:style>
  <w:style w:type="character" w:customStyle="1" w:styleId="44">
    <w:name w:val="标题 2 Char"/>
    <w:link w:val="3"/>
    <w:qFormat/>
    <w:uiPriority w:val="0"/>
    <w:rPr>
      <w:rFonts w:ascii="Arial" w:hAnsi="Arial" w:eastAsia="黑体"/>
      <w:b/>
      <w:bCs/>
      <w:kern w:val="2"/>
      <w:sz w:val="32"/>
      <w:szCs w:val="32"/>
    </w:rPr>
  </w:style>
  <w:style w:type="character" w:customStyle="1" w:styleId="45">
    <w:name w:val="标题 1 Char"/>
    <w:link w:val="2"/>
    <w:qFormat/>
    <w:uiPriority w:val="0"/>
    <w:rPr>
      <w:b/>
      <w:bCs/>
      <w:kern w:val="44"/>
      <w:sz w:val="44"/>
      <w:szCs w:val="44"/>
    </w:rPr>
  </w:style>
  <w:style w:type="character" w:customStyle="1" w:styleId="46">
    <w:name w:val="标题 3 Char"/>
    <w:link w:val="4"/>
    <w:qFormat/>
    <w:uiPriority w:val="0"/>
    <w:rPr>
      <w:b/>
      <w:bCs/>
      <w:kern w:val="2"/>
      <w:sz w:val="32"/>
      <w:szCs w:val="32"/>
    </w:rPr>
  </w:style>
  <w:style w:type="character" w:customStyle="1" w:styleId="47">
    <w:name w:val="标题 4 Char"/>
    <w:link w:val="5"/>
    <w:qFormat/>
    <w:uiPriority w:val="0"/>
    <w:rPr>
      <w:rFonts w:ascii="Arial" w:eastAsia="黑体"/>
      <w:sz w:val="28"/>
    </w:rPr>
  </w:style>
  <w:style w:type="character" w:customStyle="1" w:styleId="48">
    <w:name w:val="标题 5 Char"/>
    <w:link w:val="6"/>
    <w:qFormat/>
    <w:uiPriority w:val="9"/>
    <w:rPr>
      <w:b/>
      <w:bCs/>
      <w:kern w:val="2"/>
      <w:sz w:val="28"/>
      <w:szCs w:val="28"/>
    </w:rPr>
  </w:style>
  <w:style w:type="character" w:customStyle="1" w:styleId="49">
    <w:name w:val="文档结构图 Char"/>
    <w:link w:val="11"/>
    <w:qFormat/>
    <w:uiPriority w:val="0"/>
    <w:rPr>
      <w:rFonts w:ascii="宋体"/>
      <w:kern w:val="2"/>
      <w:sz w:val="18"/>
      <w:szCs w:val="18"/>
    </w:rPr>
  </w:style>
  <w:style w:type="character" w:customStyle="1" w:styleId="50">
    <w:name w:val="批注文字 Char"/>
    <w:link w:val="12"/>
    <w:qFormat/>
    <w:uiPriority w:val="0"/>
    <w:rPr>
      <w:kern w:val="2"/>
      <w:sz w:val="21"/>
      <w:szCs w:val="24"/>
    </w:rPr>
  </w:style>
  <w:style w:type="character" w:customStyle="1" w:styleId="51">
    <w:name w:val="正文文本 3 Char"/>
    <w:link w:val="13"/>
    <w:qFormat/>
    <w:uiPriority w:val="99"/>
    <w:rPr>
      <w:kern w:val="2"/>
      <w:sz w:val="16"/>
      <w:szCs w:val="16"/>
    </w:rPr>
  </w:style>
  <w:style w:type="character" w:customStyle="1" w:styleId="52">
    <w:name w:val="正文文本 Char"/>
    <w:link w:val="14"/>
    <w:qFormat/>
    <w:uiPriority w:val="99"/>
    <w:rPr>
      <w:kern w:val="2"/>
      <w:sz w:val="21"/>
      <w:szCs w:val="24"/>
    </w:rPr>
  </w:style>
  <w:style w:type="character" w:customStyle="1" w:styleId="53">
    <w:name w:val="正文文本缩进 Char"/>
    <w:link w:val="15"/>
    <w:qFormat/>
    <w:uiPriority w:val="0"/>
    <w:rPr>
      <w:rFonts w:ascii="宋体" w:hAnsi="Courier New" w:eastAsia="宋体"/>
      <w:spacing w:val="-4"/>
      <w:kern w:val="2"/>
      <w:sz w:val="18"/>
      <w:lang w:val="en-US" w:eastAsia="zh-CN" w:bidi="ar-SA"/>
    </w:rPr>
  </w:style>
  <w:style w:type="character" w:customStyle="1" w:styleId="54">
    <w:name w:val="纯文本 Char"/>
    <w:link w:val="18"/>
    <w:qFormat/>
    <w:uiPriority w:val="0"/>
    <w:rPr>
      <w:rFonts w:ascii="宋体" w:hAnsi="Courier New" w:eastAsia="宋体"/>
      <w:kern w:val="2"/>
      <w:sz w:val="21"/>
      <w:lang w:val="en-US" w:eastAsia="zh-CN" w:bidi="ar-SA"/>
    </w:rPr>
  </w:style>
  <w:style w:type="character" w:customStyle="1" w:styleId="55">
    <w:name w:val="日期 Char"/>
    <w:link w:val="20"/>
    <w:qFormat/>
    <w:uiPriority w:val="0"/>
    <w:rPr>
      <w:kern w:val="2"/>
      <w:sz w:val="21"/>
      <w:szCs w:val="24"/>
    </w:rPr>
  </w:style>
  <w:style w:type="character" w:customStyle="1" w:styleId="56">
    <w:name w:val="正文文本缩进 2 Char"/>
    <w:link w:val="21"/>
    <w:qFormat/>
    <w:uiPriority w:val="0"/>
    <w:rPr>
      <w:kern w:val="2"/>
      <w:sz w:val="21"/>
      <w:szCs w:val="24"/>
    </w:rPr>
  </w:style>
  <w:style w:type="character" w:customStyle="1" w:styleId="57">
    <w:name w:val="批注框文本 Char"/>
    <w:link w:val="22"/>
    <w:qFormat/>
    <w:uiPriority w:val="0"/>
    <w:rPr>
      <w:kern w:val="2"/>
      <w:sz w:val="18"/>
      <w:szCs w:val="18"/>
    </w:rPr>
  </w:style>
  <w:style w:type="character" w:customStyle="1" w:styleId="58">
    <w:name w:val="页脚 Char"/>
    <w:link w:val="23"/>
    <w:qFormat/>
    <w:uiPriority w:val="99"/>
    <w:rPr>
      <w:kern w:val="2"/>
      <w:sz w:val="18"/>
      <w:szCs w:val="18"/>
    </w:rPr>
  </w:style>
  <w:style w:type="character" w:customStyle="1" w:styleId="59">
    <w:name w:val="页眉 Char"/>
    <w:link w:val="24"/>
    <w:qFormat/>
    <w:uiPriority w:val="99"/>
    <w:rPr>
      <w:kern w:val="2"/>
      <w:sz w:val="18"/>
      <w:szCs w:val="18"/>
    </w:rPr>
  </w:style>
  <w:style w:type="character" w:customStyle="1" w:styleId="60">
    <w:name w:val="批注主题 Char"/>
    <w:link w:val="33"/>
    <w:qFormat/>
    <w:uiPriority w:val="99"/>
    <w:rPr>
      <w:b/>
      <w:bCs/>
      <w:kern w:val="2"/>
      <w:sz w:val="21"/>
      <w:szCs w:val="24"/>
    </w:rPr>
  </w:style>
  <w:style w:type="character" w:customStyle="1" w:styleId="61">
    <w:name w:val="页眉 字符"/>
    <w:qFormat/>
    <w:uiPriority w:val="99"/>
    <w:rPr>
      <w:rFonts w:ascii="Times New Roman" w:hAnsi="Times New Roman"/>
      <w:kern w:val="2"/>
      <w:sz w:val="18"/>
      <w:szCs w:val="18"/>
    </w:rPr>
  </w:style>
  <w:style w:type="character" w:customStyle="1" w:styleId="62">
    <w:name w:val="Char Char1"/>
    <w:qFormat/>
    <w:uiPriority w:val="0"/>
    <w:rPr>
      <w:rFonts w:ascii="宋体" w:hAnsi="Courier New" w:eastAsia="宋体"/>
      <w:kern w:val="2"/>
      <w:sz w:val="21"/>
      <w:lang w:val="en-US" w:eastAsia="zh-CN" w:bidi="ar-SA"/>
    </w:rPr>
  </w:style>
  <w:style w:type="character" w:customStyle="1" w:styleId="63">
    <w:name w:val="纯文本 字符2"/>
    <w:qFormat/>
    <w:uiPriority w:val="0"/>
    <w:rPr>
      <w:rFonts w:ascii="宋体" w:hAnsi="Courier New" w:eastAsia="宋体" w:cs="Courier New"/>
      <w:szCs w:val="21"/>
    </w:rPr>
  </w:style>
  <w:style w:type="character" w:customStyle="1" w:styleId="64">
    <w:name w:val="正文文本_"/>
    <w:link w:val="65"/>
    <w:qFormat/>
    <w:uiPriority w:val="0"/>
    <w:rPr>
      <w:rFonts w:ascii="MingLiU" w:hAnsi="MingLiU" w:eastAsia="MingLiU" w:cs="MingLiU"/>
      <w:spacing w:val="9"/>
      <w:sz w:val="19"/>
      <w:szCs w:val="19"/>
      <w:shd w:val="clear" w:color="auto" w:fill="FFFFFF"/>
    </w:rPr>
  </w:style>
  <w:style w:type="paragraph" w:customStyle="1" w:styleId="65">
    <w:name w:val="正文文本1"/>
    <w:basedOn w:val="1"/>
    <w:link w:val="64"/>
    <w:qFormat/>
    <w:uiPriority w:val="0"/>
    <w:pPr>
      <w:shd w:val="clear" w:color="auto" w:fill="FFFFFF"/>
      <w:spacing w:line="302" w:lineRule="exact"/>
      <w:ind w:firstLine="460"/>
      <w:jc w:val="left"/>
    </w:pPr>
    <w:rPr>
      <w:rFonts w:ascii="MingLiU" w:hAnsi="MingLiU" w:eastAsia="MingLiU"/>
      <w:spacing w:val="9"/>
      <w:kern w:val="0"/>
      <w:sz w:val="19"/>
      <w:szCs w:val="19"/>
    </w:rPr>
  </w:style>
  <w:style w:type="character" w:customStyle="1" w:styleId="66">
    <w:name w:val="纯文本 Char1"/>
    <w:link w:val="67"/>
    <w:qFormat/>
    <w:uiPriority w:val="0"/>
    <w:rPr>
      <w:rFonts w:ascii="宋体" w:hAnsi="Courier New" w:eastAsia="宋体"/>
      <w:kern w:val="2"/>
      <w:sz w:val="21"/>
      <w:lang w:val="en-US" w:eastAsia="zh-CN" w:bidi="ar-SA"/>
    </w:rPr>
  </w:style>
  <w:style w:type="paragraph" w:customStyle="1" w:styleId="67">
    <w:name w:val="纯文本1"/>
    <w:basedOn w:val="1"/>
    <w:link w:val="66"/>
    <w:qFormat/>
    <w:uiPriority w:val="0"/>
    <w:rPr>
      <w:rFonts w:ascii="宋体" w:hAnsi="Courier New"/>
      <w:szCs w:val="20"/>
    </w:rPr>
  </w:style>
  <w:style w:type="character" w:customStyle="1" w:styleId="68">
    <w:name w:val="正文文本 + 10 pt"/>
    <w:qFormat/>
    <w:uiPriority w:val="0"/>
    <w:rPr>
      <w:rFonts w:ascii="MingLiU" w:hAnsi="MingLiU" w:eastAsia="MingLiU" w:cs="MingLiU"/>
      <w:color w:val="000000"/>
      <w:spacing w:val="8"/>
      <w:w w:val="100"/>
      <w:position w:val="0"/>
      <w:sz w:val="20"/>
      <w:szCs w:val="20"/>
      <w:shd w:val="clear" w:color="auto" w:fill="FFFFFF"/>
      <w:lang w:val="zh-TW"/>
    </w:rPr>
  </w:style>
  <w:style w:type="character" w:customStyle="1" w:styleId="69">
    <w:name w:val="正文文本 (26) + 间距 0 pt"/>
    <w:qFormat/>
    <w:uiPriority w:val="0"/>
    <w:rPr>
      <w:rFonts w:ascii="宋体" w:hAnsi="宋体" w:eastAsia="宋体" w:cs="宋体"/>
      <w:color w:val="000000"/>
      <w:spacing w:val="0"/>
      <w:w w:val="100"/>
      <w:position w:val="0"/>
      <w:sz w:val="22"/>
      <w:szCs w:val="22"/>
      <w:u w:val="none"/>
      <w:lang w:val="zh-CN" w:eastAsia="zh-CN" w:bidi="zh-CN"/>
    </w:rPr>
  </w:style>
  <w:style w:type="character" w:customStyle="1" w:styleId="70">
    <w:name w:val="页脚 字符"/>
    <w:qFormat/>
    <w:uiPriority w:val="99"/>
    <w:rPr>
      <w:sz w:val="18"/>
      <w:szCs w:val="18"/>
    </w:rPr>
  </w:style>
  <w:style w:type="character" w:customStyle="1" w:styleId="71">
    <w:name w:val="批注文字 字符1"/>
    <w:qFormat/>
    <w:uiPriority w:val="0"/>
    <w:rPr>
      <w:rFonts w:ascii="Times New Roman" w:hAnsi="Times New Roman"/>
      <w:kern w:val="2"/>
      <w:sz w:val="21"/>
      <w:szCs w:val="24"/>
    </w:rPr>
  </w:style>
  <w:style w:type="character" w:customStyle="1" w:styleId="72">
    <w:name w:val="正文2 Char Char"/>
    <w:link w:val="73"/>
    <w:qFormat/>
    <w:uiPriority w:val="0"/>
    <w:rPr>
      <w:kern w:val="2"/>
      <w:sz w:val="24"/>
    </w:rPr>
  </w:style>
  <w:style w:type="paragraph" w:customStyle="1" w:styleId="73">
    <w:name w:val="正文2"/>
    <w:basedOn w:val="1"/>
    <w:link w:val="72"/>
    <w:qFormat/>
    <w:uiPriority w:val="0"/>
    <w:pPr>
      <w:adjustRightInd w:val="0"/>
      <w:spacing w:before="156" w:line="360" w:lineRule="auto"/>
      <w:ind w:firstLine="510" w:firstLineChars="200"/>
    </w:pPr>
    <w:rPr>
      <w:sz w:val="24"/>
      <w:szCs w:val="20"/>
    </w:rPr>
  </w:style>
  <w:style w:type="character" w:customStyle="1" w:styleId="74">
    <w:name w:val="纯文本 Char_0"/>
    <w:link w:val="75"/>
    <w:qFormat/>
    <w:uiPriority w:val="0"/>
    <w:rPr>
      <w:rFonts w:ascii="宋体" w:hAnsi="Courier New"/>
      <w:kern w:val="2"/>
      <w:sz w:val="21"/>
      <w:szCs w:val="21"/>
    </w:rPr>
  </w:style>
  <w:style w:type="paragraph" w:customStyle="1" w:styleId="75">
    <w:name w:val="纯文本_0_0"/>
    <w:basedOn w:val="1"/>
    <w:link w:val="74"/>
    <w:qFormat/>
    <w:uiPriority w:val="0"/>
    <w:rPr>
      <w:rFonts w:ascii="宋体" w:hAnsi="Courier New"/>
      <w:szCs w:val="21"/>
    </w:rPr>
  </w:style>
  <w:style w:type="character" w:customStyle="1" w:styleId="76">
    <w:name w:val="批注文字 Char1"/>
    <w:qFormat/>
    <w:uiPriority w:val="0"/>
    <w:rPr>
      <w:rFonts w:ascii="Times New Roman" w:hAnsi="Times New Roman"/>
      <w:kern w:val="2"/>
      <w:sz w:val="21"/>
      <w:szCs w:val="24"/>
    </w:rPr>
  </w:style>
  <w:style w:type="paragraph" w:styleId="77">
    <w:name w:val="List Paragraph"/>
    <w:basedOn w:val="1"/>
    <w:unhideWhenUsed/>
    <w:qFormat/>
    <w:uiPriority w:val="99"/>
    <w:pPr>
      <w:ind w:firstLine="420" w:firstLineChars="200"/>
    </w:pPr>
  </w:style>
  <w:style w:type="paragraph" w:customStyle="1" w:styleId="78">
    <w:name w:val="Char Char Char1 Char Char Char Char Char Char Char"/>
    <w:basedOn w:val="1"/>
    <w:qFormat/>
    <w:uiPriority w:val="0"/>
  </w:style>
  <w:style w:type="paragraph" w:customStyle="1" w:styleId="79">
    <w:name w:val="Char Char Char"/>
    <w:basedOn w:val="1"/>
    <w:qFormat/>
    <w:uiPriority w:val="0"/>
    <w:rPr>
      <w:szCs w:val="20"/>
    </w:rPr>
  </w:style>
  <w:style w:type="paragraph" w:customStyle="1" w:styleId="80">
    <w:name w:val=" Char Char Char Char Char Char Char Char Char Char Char Char"/>
    <w:basedOn w:val="1"/>
    <w:qFormat/>
    <w:uiPriority w:val="0"/>
    <w:pPr>
      <w:widowControl/>
      <w:spacing w:after="160" w:afterLines="0" w:line="240" w:lineRule="exact"/>
      <w:jc w:val="left"/>
    </w:pPr>
  </w:style>
  <w:style w:type="paragraph" w:customStyle="1" w:styleId="81">
    <w:name w:val="列出段落1"/>
    <w:basedOn w:val="1"/>
    <w:qFormat/>
    <w:uiPriority w:val="34"/>
    <w:pPr>
      <w:spacing w:before="100" w:beforeAutospacing="1" w:after="100" w:afterAutospacing="1" w:line="360" w:lineRule="auto"/>
      <w:ind w:firstLine="420" w:firstLineChars="200"/>
    </w:pPr>
  </w:style>
  <w:style w:type="paragraph" w:customStyle="1" w:styleId="82">
    <w:name w:val="_Style 78"/>
    <w:basedOn w:val="2"/>
    <w:next w:val="1"/>
    <w:qFormat/>
    <w:uiPriority w:val="39"/>
    <w:pPr>
      <w:widowControl/>
      <w:spacing w:before="480" w:after="0" w:line="276" w:lineRule="auto"/>
      <w:jc w:val="left"/>
      <w:outlineLvl w:val="9"/>
    </w:pPr>
    <w:rPr>
      <w:rFonts w:ascii="Cambria" w:hAnsi="Cambria" w:eastAsia="宋体" w:cs="Times New Roman"/>
      <w:color w:val="365F91"/>
      <w:kern w:val="0"/>
      <w:sz w:val="28"/>
      <w:szCs w:val="28"/>
      <w:lang w:val="en-US" w:eastAsia="zh-CN"/>
    </w:rPr>
  </w:style>
  <w:style w:type="paragraph" w:customStyle="1" w:styleId="83">
    <w:name w:val="样式 标题 2 + 非加粗 首行缩进:  2 字符"/>
    <w:basedOn w:val="3"/>
    <w:qFormat/>
    <w:uiPriority w:val="0"/>
    <w:pPr>
      <w:spacing w:before="0" w:beforeLines="0" w:after="0" w:afterLines="0" w:line="600" w:lineRule="exact"/>
      <w:ind w:firstLine="640" w:firstLineChars="200"/>
      <w:jc w:val="left"/>
    </w:pPr>
    <w:rPr>
      <w:rFonts w:cs="宋体"/>
      <w:b w:val="0"/>
      <w:bCs w:val="0"/>
      <w:szCs w:val="20"/>
    </w:rPr>
  </w:style>
  <w:style w:type="paragraph" w:customStyle="1" w:styleId="84">
    <w:name w:val="Table Paragraph"/>
    <w:basedOn w:val="1"/>
    <w:qFormat/>
    <w:uiPriority w:val="1"/>
    <w:pPr>
      <w:jc w:val="left"/>
    </w:pPr>
    <w:rPr>
      <w:rFonts w:ascii="Calibri" w:hAnsi="Calibri"/>
      <w:kern w:val="0"/>
      <w:sz w:val="22"/>
      <w:szCs w:val="22"/>
      <w:lang w:eastAsia="en-US"/>
    </w:rPr>
  </w:style>
  <w:style w:type="paragraph" w:customStyle="1" w:styleId="85">
    <w:name w:val=" Char"/>
    <w:basedOn w:val="1"/>
    <w:qFormat/>
    <w:uiPriority w:val="0"/>
    <w:rPr>
      <w:szCs w:val="21"/>
    </w:rPr>
  </w:style>
  <w:style w:type="paragraph" w:customStyle="1" w:styleId="86">
    <w:name w:val="Char Char Char Char Char Char Char"/>
    <w:basedOn w:val="1"/>
    <w:qFormat/>
    <w:uiPriority w:val="0"/>
  </w:style>
  <w:style w:type="paragraph" w:customStyle="1" w:styleId="87">
    <w:name w:val=" Char Char Char Char Char Char Char"/>
    <w:basedOn w:val="1"/>
    <w:qFormat/>
    <w:uiPriority w:val="0"/>
  </w:style>
  <w:style w:type="paragraph" w:customStyle="1" w:styleId="88">
    <w:name w:val="样式5"/>
    <w:basedOn w:val="1"/>
    <w:qFormat/>
    <w:uiPriority w:val="0"/>
    <w:pPr>
      <w:adjustRightInd w:val="0"/>
      <w:spacing w:line="440" w:lineRule="exact"/>
      <w:ind w:left="2" w:firstLine="480" w:firstLineChars="200"/>
    </w:pPr>
    <w:rPr>
      <w:rFonts w:ascii="仿宋_GB2312" w:hAnsi="仿宋" w:eastAsia="仿宋_GB2312"/>
      <w:sz w:val="24"/>
    </w:rPr>
  </w:style>
  <w:style w:type="paragraph" w:customStyle="1" w:styleId="89">
    <w:name w:val="Char Char Char Char Char Char Char Char Char Char Char Char"/>
    <w:basedOn w:val="1"/>
    <w:qFormat/>
    <w:uiPriority w:val="0"/>
    <w:pPr>
      <w:widowControl/>
      <w:spacing w:after="160" w:afterLines="0" w:line="240" w:lineRule="exact"/>
      <w:jc w:val="left"/>
    </w:pPr>
  </w:style>
  <w:style w:type="paragraph" w:customStyle="1" w:styleId="90">
    <w:name w:val="表格文字"/>
    <w:basedOn w:val="1"/>
    <w:next w:val="14"/>
    <w:qFormat/>
    <w:uiPriority w:val="0"/>
    <w:pPr>
      <w:adjustRightInd w:val="0"/>
      <w:spacing w:line="420" w:lineRule="atLeast"/>
      <w:jc w:val="left"/>
      <w:textAlignment w:val="baseline"/>
    </w:pPr>
    <w:rPr>
      <w:kern w:val="0"/>
    </w:rPr>
  </w:style>
  <w:style w:type="paragraph" w:customStyle="1" w:styleId="91">
    <w:name w:val="_Style 87"/>
    <w:unhideWhenUsed/>
    <w:qFormat/>
    <w:uiPriority w:val="99"/>
    <w:rPr>
      <w:rFonts w:ascii="Times New Roman" w:hAnsi="Times New Roman" w:eastAsia="宋体" w:cs="Times New Roman"/>
      <w:kern w:val="2"/>
      <w:sz w:val="21"/>
      <w:szCs w:val="24"/>
      <w:lang w:val="en-US" w:eastAsia="zh-CN" w:bidi="ar-SA"/>
    </w:rPr>
  </w:style>
  <w:style w:type="paragraph" w:customStyle="1" w:styleId="92">
    <w:name w:val="正文段"/>
    <w:basedOn w:val="1"/>
    <w:qFormat/>
    <w:uiPriority w:val="0"/>
    <w:pPr>
      <w:widowControl/>
      <w:snapToGrid w:val="0"/>
      <w:spacing w:after="156" w:afterLines="50"/>
      <w:ind w:firstLine="200" w:firstLineChars="200"/>
    </w:pPr>
    <w:rPr>
      <w:kern w:val="0"/>
      <w:sz w:val="24"/>
      <w:szCs w:val="20"/>
    </w:rPr>
  </w:style>
  <w:style w:type="paragraph" w:customStyle="1" w:styleId="93">
    <w:name w:val="Char Char Char Char"/>
    <w:basedOn w:val="1"/>
    <w:qFormat/>
    <w:uiPriority w:val="0"/>
    <w:pPr>
      <w:widowControl/>
      <w:spacing w:after="160" w:afterLines="0" w:line="240" w:lineRule="exact"/>
      <w:jc w:val="left"/>
    </w:pPr>
  </w:style>
  <w:style w:type="paragraph" w:customStyle="1" w:styleId="94">
    <w:name w:val="Char"/>
    <w:basedOn w:val="1"/>
    <w:qFormat/>
    <w:uiPriority w:val="0"/>
  </w:style>
  <w:style w:type="paragraph" w:customStyle="1" w:styleId="95">
    <w:name w:val=" Char Char Char Char"/>
    <w:basedOn w:val="1"/>
    <w:qFormat/>
    <w:uiPriority w:val="0"/>
    <w:pPr>
      <w:widowControl/>
      <w:spacing w:after="160" w:afterLines="0" w:line="240" w:lineRule="exact"/>
      <w:jc w:val="left"/>
    </w:pPr>
  </w:style>
  <w:style w:type="paragraph" w:customStyle="1" w:styleId="96">
    <w:name w:val="样式 标题 1 + 居中 段前: 0 磅 段后: 0 磅 行距: 固定值 30 磅"/>
    <w:basedOn w:val="2"/>
    <w:qFormat/>
    <w:uiPriority w:val="0"/>
    <w:pPr>
      <w:spacing w:before="0" w:beforeLines="0" w:after="0" w:afterLines="0" w:line="600" w:lineRule="exact"/>
      <w:jc w:val="center"/>
    </w:pPr>
    <w:rPr>
      <w:rFonts w:cs="宋体"/>
      <w:szCs w:val="20"/>
    </w:rPr>
  </w:style>
  <w:style w:type="paragraph" w:customStyle="1" w:styleId="97">
    <w:name w:val="正文缩进1"/>
    <w:basedOn w:val="1"/>
    <w:next w:val="15"/>
    <w:qFormat/>
    <w:uiPriority w:val="0"/>
    <w:pPr>
      <w:autoSpaceDE w:val="0"/>
      <w:autoSpaceDN w:val="0"/>
      <w:adjustRightInd w:val="0"/>
      <w:snapToGrid w:val="0"/>
      <w:spacing w:after="120" w:line="360" w:lineRule="auto"/>
      <w:ind w:left="420" w:leftChars="200" w:firstLine="480" w:firstLineChars="200"/>
    </w:pPr>
    <w:rPr>
      <w:sz w:val="24"/>
      <w:szCs w:val="21"/>
    </w:rPr>
  </w:style>
  <w:style w:type="paragraph" w:customStyle="1" w:styleId="98">
    <w:name w:val="p0"/>
    <w:basedOn w:val="1"/>
    <w:qFormat/>
    <w:uiPriority w:val="0"/>
    <w:pPr>
      <w:widowControl/>
    </w:pPr>
    <w:rPr>
      <w:kern w:val="0"/>
      <w:szCs w:val="21"/>
    </w:rPr>
  </w:style>
  <w:style w:type="paragraph" w:customStyle="1" w:styleId="99">
    <w:name w:val="默认段落字体 Para Char Char Char Char Char Char Char Char Char1 Char Char Char Char"/>
    <w:basedOn w:val="1"/>
    <w:qFormat/>
    <w:uiPriority w:val="0"/>
    <w:rPr>
      <w:rFonts w:ascii="Tahoma" w:hAnsi="Tahoma"/>
      <w:sz w:val="24"/>
      <w:szCs w:val="20"/>
    </w:rPr>
  </w:style>
  <w:style w:type="character" w:customStyle="1" w:styleId="100">
    <w:name w:val="正文文本 字符"/>
    <w:qFormat/>
    <w:uiPriority w:val="99"/>
    <w:rPr>
      <w:kern w:val="2"/>
      <w:sz w:val="21"/>
      <w:szCs w:val="24"/>
    </w:rPr>
  </w:style>
  <w:style w:type="character" w:customStyle="1" w:styleId="101">
    <w:name w:val="纯文本 字符"/>
    <w:qFormat/>
    <w:uiPriority w:val="0"/>
    <w:rPr>
      <w:rFonts w:ascii="宋体" w:hAnsi="Courier New"/>
      <w:kern w:val="2"/>
      <w:sz w:val="21"/>
    </w:rPr>
  </w:style>
  <w:style w:type="character" w:customStyle="1" w:styleId="102">
    <w:name w:val="标题 1 字符"/>
    <w:qFormat/>
    <w:uiPriority w:val="0"/>
    <w:rPr>
      <w:b/>
      <w:bCs/>
      <w:kern w:val="44"/>
      <w:sz w:val="44"/>
      <w:szCs w:val="44"/>
    </w:rPr>
  </w:style>
  <w:style w:type="character" w:customStyle="1" w:styleId="103">
    <w:name w:val="标题 2 字符"/>
    <w:qFormat/>
    <w:uiPriority w:val="0"/>
    <w:rPr>
      <w:rFonts w:ascii="Arial" w:hAnsi="Arial" w:eastAsia="黑体"/>
      <w:b/>
      <w:bCs/>
      <w:kern w:val="2"/>
      <w:sz w:val="32"/>
      <w:szCs w:val="32"/>
    </w:rPr>
  </w:style>
  <w:style w:type="character" w:customStyle="1" w:styleId="104">
    <w:name w:val="标题 3 字符"/>
    <w:qFormat/>
    <w:uiPriority w:val="0"/>
    <w:rPr>
      <w:b/>
      <w:bCs/>
      <w:kern w:val="2"/>
      <w:sz w:val="32"/>
      <w:szCs w:val="32"/>
    </w:rPr>
  </w:style>
  <w:style w:type="character" w:customStyle="1" w:styleId="105">
    <w:name w:val="标题 4 字符"/>
    <w:qFormat/>
    <w:uiPriority w:val="0"/>
    <w:rPr>
      <w:rFonts w:ascii="Arial" w:eastAsia="黑体"/>
      <w:sz w:val="28"/>
    </w:rPr>
  </w:style>
  <w:style w:type="character" w:customStyle="1" w:styleId="106">
    <w:name w:val="标题 5 字符"/>
    <w:qFormat/>
    <w:uiPriority w:val="9"/>
    <w:rPr>
      <w:b/>
      <w:bCs/>
      <w:kern w:val="2"/>
      <w:sz w:val="28"/>
      <w:szCs w:val="28"/>
    </w:rPr>
  </w:style>
  <w:style w:type="character" w:customStyle="1" w:styleId="107">
    <w:name w:val="文档结构图 字符"/>
    <w:qFormat/>
    <w:uiPriority w:val="0"/>
    <w:rPr>
      <w:rFonts w:ascii="宋体"/>
      <w:kern w:val="2"/>
      <w:sz w:val="18"/>
      <w:szCs w:val="18"/>
    </w:rPr>
  </w:style>
  <w:style w:type="character" w:customStyle="1" w:styleId="108">
    <w:name w:val="批注文字 字符"/>
    <w:qFormat/>
    <w:uiPriority w:val="0"/>
    <w:rPr>
      <w:kern w:val="2"/>
      <w:sz w:val="21"/>
      <w:szCs w:val="24"/>
    </w:rPr>
  </w:style>
  <w:style w:type="character" w:customStyle="1" w:styleId="109">
    <w:name w:val="正文文本 3 字符"/>
    <w:qFormat/>
    <w:uiPriority w:val="99"/>
    <w:rPr>
      <w:kern w:val="2"/>
      <w:sz w:val="16"/>
      <w:szCs w:val="16"/>
    </w:rPr>
  </w:style>
  <w:style w:type="character" w:customStyle="1" w:styleId="110">
    <w:name w:val="正文文本缩进 字符"/>
    <w:qFormat/>
    <w:uiPriority w:val="0"/>
    <w:rPr>
      <w:rFonts w:ascii="宋体" w:hAnsi="Courier New"/>
      <w:spacing w:val="-4"/>
      <w:kern w:val="2"/>
      <w:sz w:val="18"/>
    </w:rPr>
  </w:style>
  <w:style w:type="character" w:customStyle="1" w:styleId="111">
    <w:name w:val="日期 字符"/>
    <w:qFormat/>
    <w:uiPriority w:val="0"/>
    <w:rPr>
      <w:kern w:val="2"/>
      <w:sz w:val="21"/>
      <w:szCs w:val="24"/>
    </w:rPr>
  </w:style>
  <w:style w:type="character" w:customStyle="1" w:styleId="112">
    <w:name w:val="正文文本缩进 2 字符"/>
    <w:qFormat/>
    <w:uiPriority w:val="0"/>
    <w:rPr>
      <w:kern w:val="2"/>
      <w:sz w:val="21"/>
      <w:szCs w:val="24"/>
    </w:rPr>
  </w:style>
  <w:style w:type="character" w:customStyle="1" w:styleId="113">
    <w:name w:val="批注框文本 字符"/>
    <w:qFormat/>
    <w:uiPriority w:val="0"/>
    <w:rPr>
      <w:kern w:val="2"/>
      <w:sz w:val="18"/>
      <w:szCs w:val="18"/>
    </w:rPr>
  </w:style>
  <w:style w:type="character" w:customStyle="1" w:styleId="114">
    <w:name w:val="页脚 字符1"/>
    <w:qFormat/>
    <w:uiPriority w:val="99"/>
    <w:rPr>
      <w:kern w:val="2"/>
      <w:sz w:val="18"/>
      <w:szCs w:val="18"/>
    </w:rPr>
  </w:style>
  <w:style w:type="character" w:customStyle="1" w:styleId="115">
    <w:name w:val="页眉 字符1"/>
    <w:qFormat/>
    <w:uiPriority w:val="99"/>
    <w:rPr>
      <w:kern w:val="2"/>
      <w:sz w:val="18"/>
      <w:szCs w:val="18"/>
    </w:rPr>
  </w:style>
  <w:style w:type="character" w:customStyle="1" w:styleId="116">
    <w:name w:val="批注主题 字符"/>
    <w:qFormat/>
    <w:uiPriority w:val="99"/>
    <w:rPr>
      <w:b/>
      <w:bCs/>
      <w:kern w:val="2"/>
      <w:sz w:val="21"/>
      <w:szCs w:val="24"/>
    </w:rPr>
  </w:style>
  <w:style w:type="paragraph" w:customStyle="1" w:styleId="117">
    <w:name w:val="_Style 117"/>
    <w:qFormat/>
    <w:uiPriority w:val="0"/>
    <w:pPr>
      <w:widowControl w:val="0"/>
      <w:jc w:val="both"/>
    </w:pPr>
    <w:rPr>
      <w:rFonts w:ascii="Times New Roman" w:hAnsi="Times New Roman" w:eastAsia="宋体" w:cs="Times New Roman"/>
      <w:kern w:val="2"/>
      <w:sz w:val="21"/>
      <w:szCs w:val="24"/>
      <w:lang w:val="en-US" w:eastAsia="zh-CN" w:bidi="ar-SA"/>
    </w:rPr>
  </w:style>
  <w:style w:type="character" w:customStyle="1" w:styleId="118">
    <w:name w:val="纯文本 字符1"/>
    <w:semiHidden/>
    <w:qFormat/>
    <w:locked/>
    <w:uiPriority w:val="0"/>
    <w:rPr>
      <w:rFonts w:ascii="宋体" w:hAnsi="Courier New"/>
      <w:kern w:val="2"/>
      <w:sz w:val="21"/>
    </w:rPr>
  </w:style>
  <w:style w:type="paragraph" w:customStyle="1" w:styleId="119">
    <w:name w:val="msonormal"/>
    <w:basedOn w:val="1"/>
    <w:qFormat/>
    <w:uiPriority w:val="0"/>
    <w:pPr>
      <w:widowControl/>
      <w:spacing w:before="100" w:beforeAutospacing="1" w:after="100" w:afterAutospacing="1"/>
      <w:jc w:val="left"/>
    </w:pPr>
    <w:rPr>
      <w:rFonts w:ascii="宋体" w:hAnsi="宋体" w:cs="宋体"/>
      <w:kern w:val="0"/>
      <w:sz w:val="24"/>
    </w:rPr>
  </w:style>
  <w:style w:type="paragraph" w:customStyle="1" w:styleId="120">
    <w:name w:val="Table Text"/>
    <w:basedOn w:val="1"/>
    <w:semiHidden/>
    <w:qFormat/>
    <w:uiPriority w:val="0"/>
    <w:pPr>
      <w:widowControl/>
      <w:kinsoku w:val="0"/>
      <w:autoSpaceDE w:val="0"/>
      <w:autoSpaceDN w:val="0"/>
      <w:adjustRightInd w:val="0"/>
      <w:snapToGrid w:val="0"/>
      <w:jc w:val="left"/>
      <w:textAlignment w:val="baseline"/>
    </w:pPr>
    <w:rPr>
      <w:rFonts w:ascii="宋体" w:hAnsi="宋体" w:eastAsia="宋体" w:cs="宋体"/>
      <w:snapToGrid w:val="0"/>
      <w:color w:val="000000"/>
      <w:kern w:val="0"/>
      <w:sz w:val="22"/>
      <w:szCs w:val="22"/>
      <w:lang w:eastAsia="en-US"/>
    </w:rPr>
  </w:style>
  <w:style w:type="table" w:customStyle="1" w:styleId="121">
    <w:name w:val="Table Normal"/>
    <w:semiHidden/>
    <w:unhideWhenUsed/>
    <w:qFormat/>
    <w:uiPriority w:val="0"/>
    <w:tblPr>
      <w:tblCellMar>
        <w:top w:w="0" w:type="dxa"/>
        <w:left w:w="0" w:type="dxa"/>
        <w:bottom w:w="0" w:type="dxa"/>
        <w:right w:w="0" w:type="dxa"/>
      </w:tblCellMar>
    </w:tblPr>
  </w:style>
  <w:style w:type="paragraph" w:customStyle="1" w:styleId="122">
    <w:name w:val="11111"/>
    <w:basedOn w:val="1"/>
    <w:next w:val="1"/>
    <w:qFormat/>
    <w:uiPriority w:val="0"/>
    <w:pPr>
      <w:ind w:firstLine="200"/>
    </w:pPr>
    <w:rPr>
      <w:rFonts w:ascii="Times New Roman" w:hAnsi="宋体" w:eastAsia="宋体" w:cs="宋体"/>
    </w:rPr>
  </w:style>
  <w:style w:type="character" w:customStyle="1" w:styleId="123">
    <w:name w:val="NormalCharacter"/>
    <w:qFormat/>
    <w:uiPriority w:val="0"/>
    <w:rPr>
      <w:rFonts w:ascii="Times New Roman" w:hAnsi="Times New Roman" w:eastAsia="宋体" w:cs="Times New Roman"/>
      <w:kern w:val="2"/>
      <w:sz w:val="21"/>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header" Target="head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numbering" Target="numbering.xml"/><Relationship Id="rId12" Type="http://schemas.openxmlformats.org/officeDocument/2006/relationships/customXml" Target="../customXml/item1.xml"/><Relationship Id="rId11" Type="http://schemas.openxmlformats.org/officeDocument/2006/relationships/image" Target="media/image2.jpe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admin</Company>
  <Pages>113</Pages>
  <Words>14452</Words>
  <Characters>15645</Characters>
  <Lines>498</Lines>
  <Paragraphs>140</Paragraphs>
  <TotalTime>2</TotalTime>
  <ScaleCrop>false</ScaleCrop>
  <LinksUpToDate>false</LinksUpToDate>
  <CharactersWithSpaces>15855</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2021-08-24T01:16:00Z</dcterms:created>
  <dc:creator>丁琳</dc:creator>
  <cp:lastModifiedBy>Administrator</cp:lastModifiedBy>
  <cp:lastPrinted>2025-10-11T02:13:00Z</cp:lastPrinted>
  <dcterms:modified xsi:type="dcterms:W3CDTF">2026-09-29T02:34:49Z</dcterms:modified>
  <dc:title>南财采管〔2012〕3号</dc:title>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22C223C3415B4992BBA6630907F29FE5_13</vt:lpwstr>
  </property>
  <property fmtid="{D5CDD505-2E9C-101B-9397-08002B2CF9AE}" pid="4" name="KSOTemplateDocerSaveRecord">
    <vt:lpwstr>eyJoZGlkIjoiMmY3MzE5MWY3MzVhODgyZmQ4ZDM3ZjQ3NmVjNDJmMWQiLCJ1c2VySWQiOiIyNjMyMDIwNjcifQ==</vt:lpwstr>
  </property>
</Properties>
</file>