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842EA">
      <w:pPr>
        <w:spacing w:before="240" w:beforeLines="100" w:after="120" w:afterLines="50" w:line="600" w:lineRule="exact"/>
        <w:jc w:val="center"/>
        <w:rPr>
          <w:rFonts w:ascii="方正小标宋简体" w:hAnsi="宋体" w:eastAsia="方正小标宋简体"/>
          <w:color w:val="auto"/>
          <w:sz w:val="52"/>
          <w:szCs w:val="52"/>
          <w:highlight w:val="none"/>
        </w:rPr>
      </w:pPr>
    </w:p>
    <w:p w14:paraId="76F3C1F7">
      <w:pPr>
        <w:spacing w:line="360" w:lineRule="auto"/>
        <w:jc w:val="center"/>
        <w:rPr>
          <w:rFonts w:asciiTheme="majorEastAsia" w:hAnsiTheme="majorEastAsia" w:eastAsiaTheme="majorEastAsia" w:cstheme="majorEastAsia"/>
          <w:color w:val="auto"/>
          <w:sz w:val="52"/>
          <w:szCs w:val="52"/>
          <w:highlight w:val="none"/>
        </w:rPr>
      </w:pPr>
      <w:r>
        <w:rPr>
          <w:rFonts w:hint="eastAsia" w:asciiTheme="majorEastAsia" w:hAnsiTheme="majorEastAsia" w:eastAsiaTheme="majorEastAsia" w:cstheme="majorEastAsia"/>
          <w:color w:val="auto"/>
          <w:sz w:val="52"/>
          <w:szCs w:val="52"/>
          <w:highlight w:val="none"/>
        </w:rPr>
        <w:t>广西交投宏冠工程咨询有限公司</w:t>
      </w:r>
    </w:p>
    <w:p w14:paraId="4DFC14C6">
      <w:pPr>
        <w:spacing w:line="360" w:lineRule="auto"/>
        <w:jc w:val="center"/>
        <w:rPr>
          <w:rFonts w:ascii="方正小标宋简体" w:hAnsi="方正小标宋简体" w:eastAsia="方正小标宋简体" w:cs="方正小标宋简体"/>
          <w:b/>
          <w:color w:val="auto"/>
          <w:sz w:val="44"/>
          <w:szCs w:val="44"/>
          <w:highlight w:val="none"/>
        </w:rPr>
      </w:pPr>
    </w:p>
    <w:p w14:paraId="7FC4A1A7">
      <w:pPr>
        <w:spacing w:line="360" w:lineRule="auto"/>
        <w:jc w:val="center"/>
        <w:rPr>
          <w:rFonts w:ascii="方正小标宋简体" w:hAnsi="方正小标宋简体" w:eastAsia="方正小标宋简体" w:cs="方正小标宋简体"/>
          <w:b/>
          <w:color w:val="auto"/>
          <w:sz w:val="44"/>
          <w:szCs w:val="44"/>
          <w:highlight w:val="none"/>
        </w:rPr>
      </w:pPr>
    </w:p>
    <w:p w14:paraId="19D27B5C">
      <w:pPr>
        <w:snapToGrid w:val="0"/>
        <w:spacing w:before="120"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36773814">
      <w:pPr>
        <w:snapToGrid w:val="0"/>
        <w:spacing w:before="120" w:beforeLines="50" w:line="360" w:lineRule="auto"/>
        <w:jc w:val="center"/>
        <w:rPr>
          <w:rFonts w:asciiTheme="majorEastAsia" w:hAnsiTheme="majorEastAsia" w:eastAsiaTheme="majorEastAsia" w:cstheme="majorEastAsia"/>
          <w:b/>
          <w:color w:val="auto"/>
          <w:sz w:val="48"/>
          <w:szCs w:val="48"/>
          <w:highlight w:val="none"/>
        </w:rPr>
      </w:pPr>
      <w:r>
        <w:rPr>
          <w:rFonts w:hint="eastAsia" w:asciiTheme="majorEastAsia" w:hAnsiTheme="majorEastAsia" w:eastAsiaTheme="majorEastAsia" w:cstheme="majorEastAsia"/>
          <w:b/>
          <w:color w:val="auto"/>
          <w:sz w:val="48"/>
          <w:szCs w:val="48"/>
          <w:highlight w:val="none"/>
        </w:rPr>
        <w:t>（全流程电子化采购）</w:t>
      </w:r>
    </w:p>
    <w:p w14:paraId="030CA46A">
      <w:pPr>
        <w:snapToGrid w:val="0"/>
        <w:spacing w:line="360" w:lineRule="auto"/>
        <w:rPr>
          <w:rFonts w:ascii="仿宋_GB2312" w:hAnsi="宋体" w:eastAsia="仿宋_GB2312"/>
          <w:color w:val="auto"/>
          <w:sz w:val="30"/>
          <w:szCs w:val="72"/>
          <w:highlight w:val="none"/>
        </w:rPr>
      </w:pPr>
    </w:p>
    <w:p w14:paraId="33974C42">
      <w:pPr>
        <w:snapToGrid w:val="0"/>
        <w:spacing w:line="360" w:lineRule="auto"/>
        <w:ind w:left="1506" w:hanging="1506" w:hangingChars="500"/>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sz w:val="30"/>
          <w:szCs w:val="30"/>
          <w:highlight w:val="none"/>
        </w:rPr>
        <w:t>项目</w:t>
      </w:r>
      <w:r>
        <w:rPr>
          <w:rFonts w:hint="eastAsia" w:asciiTheme="majorEastAsia" w:hAnsiTheme="majorEastAsia" w:eastAsiaTheme="majorEastAsia" w:cstheme="majorEastAsia"/>
          <w:b/>
          <w:bCs/>
          <w:color w:val="auto"/>
          <w:w w:val="95"/>
          <w:sz w:val="30"/>
          <w:szCs w:val="30"/>
          <w:highlight w:val="none"/>
        </w:rPr>
        <w:t>名称</w:t>
      </w:r>
      <w:r>
        <w:rPr>
          <w:rFonts w:hint="eastAsia" w:asciiTheme="majorEastAsia" w:hAnsiTheme="majorEastAsia" w:eastAsiaTheme="majorEastAsia" w:cstheme="majorEastAsia"/>
          <w:b/>
          <w:bCs/>
          <w:color w:val="auto"/>
          <w:sz w:val="30"/>
          <w:szCs w:val="30"/>
          <w:highlight w:val="none"/>
        </w:rPr>
        <w:t>：广西道路运输信息服务平台运营及维护项目</w:t>
      </w:r>
    </w:p>
    <w:p w14:paraId="4533A902">
      <w:pPr>
        <w:snapToGrid w:val="0"/>
        <w:spacing w:line="360" w:lineRule="auto"/>
        <w:ind w:left="1436" w:hanging="1431" w:hangingChars="500"/>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项目编号：GXZC2026-G3-000968-GXJT</w:t>
      </w:r>
    </w:p>
    <w:p w14:paraId="2EA5B379">
      <w:pPr>
        <w:snapToGrid w:val="0"/>
        <w:spacing w:line="360" w:lineRule="auto"/>
        <w:ind w:left="1436" w:hanging="1431" w:hangingChars="500"/>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采 购 人：广西壮族自治区道路运输发展中心</w:t>
      </w:r>
    </w:p>
    <w:p w14:paraId="7D48F48F">
      <w:pPr>
        <w:snapToGrid w:val="0"/>
        <w:spacing w:line="360" w:lineRule="auto"/>
        <w:ind w:left="1436" w:hanging="1431" w:hangingChars="500"/>
        <w:rPr>
          <w:rFonts w:ascii="仿宋_GB2312" w:hAnsi="宋体" w:eastAsia="仿宋_GB2312" w:cs="Courier New"/>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采购代理机构：广西交投宏冠工程咨询有限公司</w:t>
      </w:r>
    </w:p>
    <w:p w14:paraId="1D1FFBB2">
      <w:pPr>
        <w:pStyle w:val="23"/>
        <w:snapToGrid w:val="0"/>
        <w:spacing w:line="360" w:lineRule="auto"/>
        <w:ind w:firstLine="1125" w:firstLineChars="393"/>
        <w:rPr>
          <w:rFonts w:ascii="仿宋_GB2312" w:hAnsi="宋体" w:eastAsia="仿宋_GB2312"/>
          <w:b/>
          <w:bCs/>
          <w:color w:val="auto"/>
          <w:w w:val="95"/>
          <w:sz w:val="30"/>
          <w:szCs w:val="30"/>
          <w:highlight w:val="none"/>
        </w:rPr>
      </w:pPr>
    </w:p>
    <w:p w14:paraId="6F5B724C">
      <w:pPr>
        <w:pStyle w:val="23"/>
        <w:snapToGrid w:val="0"/>
        <w:spacing w:line="360" w:lineRule="auto"/>
        <w:jc w:val="center"/>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2</w:t>
      </w:r>
      <w:r>
        <w:rPr>
          <w:rFonts w:hint="eastAsia" w:asciiTheme="majorEastAsia" w:hAnsiTheme="majorEastAsia" w:eastAsiaTheme="majorEastAsia" w:cstheme="majorEastAsia"/>
          <w:b/>
          <w:bCs/>
          <w:color w:val="auto"/>
          <w:kern w:val="2"/>
          <w:sz w:val="30"/>
          <w:szCs w:val="30"/>
          <w:highlight w:val="none"/>
        </w:rPr>
        <w:t>026年4月  日</w:t>
      </w:r>
    </w:p>
    <w:p w14:paraId="05169F26">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br w:type="page"/>
      </w:r>
      <w:r>
        <w:rPr>
          <w:rFonts w:hint="eastAsia" w:ascii="宋体" w:hAnsi="宋体"/>
          <w:b/>
          <w:color w:val="auto"/>
          <w:sz w:val="44"/>
          <w:szCs w:val="44"/>
          <w:highlight w:val="none"/>
        </w:rPr>
        <w:t>目  录</w:t>
      </w:r>
    </w:p>
    <w:p w14:paraId="38033A84">
      <w:pPr>
        <w:spacing w:line="400" w:lineRule="exact"/>
        <w:jc w:val="center"/>
        <w:rPr>
          <w:rFonts w:ascii="宋体" w:hAnsi="宋体"/>
          <w:b/>
          <w:color w:val="auto"/>
          <w:sz w:val="44"/>
          <w:szCs w:val="44"/>
          <w:highlight w:val="none"/>
        </w:rPr>
      </w:pPr>
    </w:p>
    <w:p w14:paraId="2F09C6EB">
      <w:pPr>
        <w:pStyle w:val="32"/>
        <w:tabs>
          <w:tab w:val="right" w:leader="dot" w:pos="8730"/>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HYPERLINK \l "_Toc26956"</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13CE472">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"_Toc27979"</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05793A59">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"_Toc25688"</w:instrText>
      </w:r>
      <w:r>
        <w:rPr>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6C48DF9C">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"_Toc15687"</w:instrText>
      </w:r>
      <w:r>
        <w:rPr>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28315254">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"_Toc25250"</w:instrText>
      </w:r>
      <w:r>
        <w:rPr>
          <w:color w:val="auto"/>
          <w:highlight w:val="none"/>
        </w:rPr>
        <w:fldChar w:fldCharType="separate"/>
      </w:r>
      <w:r>
        <w:rPr>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5177DA42">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"_Toc25289"</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066C13CB">
      <w:pPr>
        <w:tabs>
          <w:tab w:val="right" w:leader="dot" w:pos="8789"/>
        </w:tabs>
        <w:snapToGrid w:val="0"/>
        <w:spacing w:line="500" w:lineRule="atLeast"/>
        <w:rPr>
          <w:rFonts w:ascii="仿宋_GB2312" w:hAnsi="宋体" w:eastAsia="仿宋_GB2312"/>
          <w:color w:val="auto"/>
          <w:sz w:val="24"/>
          <w:highlight w:val="none"/>
        </w:rPr>
      </w:pPr>
      <w:r>
        <w:rPr>
          <w:rFonts w:ascii="仿宋_GB2312" w:hAnsi="宋体" w:eastAsia="仿宋_GB2312"/>
          <w:color w:val="auto"/>
          <w:highlight w:val="none"/>
        </w:rPr>
        <w:fldChar w:fldCharType="end"/>
      </w:r>
    </w:p>
    <w:p w14:paraId="36EE5FCF">
      <w:pPr>
        <w:spacing w:before="120" w:beforeLines="50" w:line="480" w:lineRule="exact"/>
        <w:rPr>
          <w:rFonts w:ascii="仿宋_GB2312" w:hAnsi="宋体" w:eastAsia="仿宋_GB2312"/>
          <w:color w:val="auto"/>
          <w:sz w:val="30"/>
          <w:highlight w:val="none"/>
        </w:rPr>
      </w:pPr>
      <w:bookmarkStart w:id="0" w:name="_MON_1836628337"/>
      <w:bookmarkEnd w:id="0"/>
    </w:p>
    <w:p w14:paraId="178F72F9">
      <w:pPr>
        <w:rPr>
          <w:color w:val="auto"/>
          <w:highlight w:val="none"/>
        </w:rPr>
      </w:pPr>
    </w:p>
    <w:p w14:paraId="4589CA96">
      <w:pPr>
        <w:spacing w:before="120" w:beforeLines="50" w:line="480" w:lineRule="exact"/>
        <w:rPr>
          <w:rFonts w:ascii="仿宋_GB2312" w:hAnsi="宋体" w:eastAsia="仿宋_GB2312"/>
          <w:color w:val="auto"/>
          <w:sz w:val="30"/>
          <w:highlight w:val="none"/>
        </w:rPr>
      </w:pPr>
    </w:p>
    <w:p w14:paraId="378C4C77">
      <w:pPr>
        <w:spacing w:before="120" w:beforeLines="50" w:line="480" w:lineRule="exact"/>
        <w:rPr>
          <w:rFonts w:ascii="仿宋_GB2312" w:hAnsi="宋体" w:eastAsia="仿宋_GB2312"/>
          <w:color w:val="auto"/>
          <w:sz w:val="30"/>
          <w:highlight w:val="none"/>
        </w:rPr>
      </w:pPr>
    </w:p>
    <w:p w14:paraId="2D16DC1B">
      <w:pPr>
        <w:pStyle w:val="15"/>
        <w:rPr>
          <w:rFonts w:ascii="宋体" w:hAnsi="宋体" w:cs="宋体"/>
          <w:b/>
          <w:bCs/>
          <w:color w:val="auto"/>
          <w:highlight w:val="none"/>
        </w:rPr>
      </w:pPr>
      <w:bookmarkStart w:id="1" w:name="_Toc254970630"/>
      <w:bookmarkStart w:id="2" w:name="_Toc254970489"/>
    </w:p>
    <w:p w14:paraId="28A8FD12">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3" w:name="_Toc26956"/>
      <w:r>
        <w:rPr>
          <w:rFonts w:hint="eastAsia"/>
          <w:color w:val="auto"/>
          <w:highlight w:val="none"/>
        </w:rPr>
        <w:t>第一章</w:t>
      </w:r>
      <w:bookmarkEnd w:id="1"/>
      <w:bookmarkEnd w:id="2"/>
      <w:bookmarkStart w:id="4" w:name="_Toc35393789"/>
      <w:bookmarkStart w:id="5" w:name="_Toc28359001"/>
      <w:r>
        <w:rPr>
          <w:rFonts w:hint="eastAsia"/>
          <w:color w:val="auto"/>
          <w:highlight w:val="none"/>
        </w:rPr>
        <w:t xml:space="preserve"> 招标公告</w:t>
      </w:r>
      <w:bookmarkEnd w:id="3"/>
      <w:bookmarkEnd w:id="4"/>
      <w:bookmarkEnd w:id="5"/>
    </w:p>
    <w:p w14:paraId="5EBB8753">
      <w:pPr>
        <w:spacing w:line="360" w:lineRule="auto"/>
        <w:rPr>
          <w:rFonts w:ascii="宋体" w:hAnsi="宋体"/>
          <w:color w:val="auto"/>
          <w:szCs w:val="21"/>
          <w:highlight w:val="none"/>
        </w:rPr>
      </w:pPr>
    </w:p>
    <w:p w14:paraId="03DB1B2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1AC5F0E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广西道路运输信息服务平台运营及维护项目 </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u w:val="single"/>
        </w:rPr>
        <w:t>2026年</w:t>
      </w:r>
      <w:r>
        <w:rPr>
          <w:rFonts w:hint="eastAsia" w:ascii="宋体" w:hAnsi="宋体"/>
          <w:bCs/>
          <w:color w:val="auto"/>
          <w:szCs w:val="21"/>
          <w:highlight w:val="none"/>
          <w:u w:val="single"/>
        </w:rPr>
        <w:t>4月  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2944E0B1">
      <w:pPr>
        <w:spacing w:line="360" w:lineRule="auto"/>
        <w:rPr>
          <w:rFonts w:ascii="宋体" w:hAnsi="宋体"/>
          <w:color w:val="auto"/>
          <w:szCs w:val="21"/>
          <w:highlight w:val="none"/>
        </w:rPr>
      </w:pPr>
    </w:p>
    <w:p w14:paraId="42165A18">
      <w:pPr>
        <w:spacing w:line="360" w:lineRule="auto"/>
        <w:rPr>
          <w:rFonts w:ascii="黑体" w:hAnsi="黑体" w:eastAsia="黑体"/>
          <w:b/>
          <w:bCs/>
          <w:color w:val="auto"/>
          <w:sz w:val="24"/>
          <w:highlight w:val="none"/>
        </w:rPr>
      </w:pPr>
      <w:bookmarkStart w:id="6" w:name="_Toc28359002"/>
      <w:bookmarkStart w:id="7" w:name="_Toc28359079"/>
      <w:bookmarkStart w:id="8" w:name="_Toc35393790"/>
      <w:bookmarkStart w:id="9" w:name="_Toc35393621"/>
      <w:bookmarkStart w:id="10" w:name="_Hlk24379207"/>
      <w:r>
        <w:rPr>
          <w:rFonts w:hint="eastAsia" w:ascii="黑体" w:hAnsi="黑体" w:eastAsia="黑体"/>
          <w:b/>
          <w:bCs/>
          <w:color w:val="auto"/>
          <w:sz w:val="24"/>
          <w:highlight w:val="none"/>
        </w:rPr>
        <w:t>一、项目基本情况</w:t>
      </w:r>
      <w:bookmarkEnd w:id="6"/>
      <w:bookmarkEnd w:id="7"/>
      <w:bookmarkEnd w:id="8"/>
      <w:bookmarkEnd w:id="9"/>
    </w:p>
    <w:bookmarkEnd w:id="10"/>
    <w:p w14:paraId="7FCF4B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项目编号：GXZC2026-G3-000968-GXJT</w:t>
      </w:r>
    </w:p>
    <w:p w14:paraId="6BC14B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项目名称：广西道路运输信息服务平台运营及维护项目</w:t>
      </w:r>
    </w:p>
    <w:p w14:paraId="2F03A261">
      <w:pPr>
        <w:spacing w:line="360" w:lineRule="auto"/>
        <w:ind w:firstLine="420" w:firstLineChars="200"/>
        <w:rPr>
          <w:rFonts w:ascii="宋体" w:hAnsi="宋体"/>
          <w:color w:val="auto"/>
          <w:szCs w:val="21"/>
          <w:highlight w:val="none"/>
          <w:u w:val="single"/>
        </w:rPr>
      </w:pPr>
      <w:r>
        <w:rPr>
          <w:rFonts w:hint="eastAsia"/>
          <w:color w:val="auto"/>
          <w:highlight w:val="none"/>
        </w:rPr>
        <w:t>预算总金额（万元）</w:t>
      </w:r>
      <w:r>
        <w:rPr>
          <w:rFonts w:hint="eastAsia" w:ascii="宋体" w:hAnsi="宋体"/>
          <w:color w:val="auto"/>
          <w:szCs w:val="21"/>
          <w:highlight w:val="none"/>
        </w:rPr>
        <w:t>：330.04万元，其中1分标：49.77万元；2分标：38.09万元；3分标：58.68万元；4分标：24.81万元；5分标：10万元；6分标：8.39万元；7分标：79.30万元；8分标：61万元。</w:t>
      </w:r>
    </w:p>
    <w:p w14:paraId="523CF710">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最高限价（</w:t>
      </w:r>
      <w:r>
        <w:rPr>
          <w:rFonts w:hint="eastAsia"/>
          <w:color w:val="auto"/>
          <w:highlight w:val="none"/>
        </w:rPr>
        <w:t>万元</w:t>
      </w:r>
      <w:r>
        <w:rPr>
          <w:rFonts w:hint="eastAsia" w:ascii="宋体" w:hAnsi="宋体"/>
          <w:color w:val="auto"/>
          <w:szCs w:val="21"/>
          <w:highlight w:val="none"/>
        </w:rPr>
        <w:t>）：同预算金额</w:t>
      </w:r>
    </w:p>
    <w:p w14:paraId="673F70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400"/>
        <w:gridCol w:w="900"/>
        <w:gridCol w:w="4941"/>
      </w:tblGrid>
      <w:tr w14:paraId="34153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4B2C534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分标</w:t>
            </w:r>
          </w:p>
        </w:tc>
        <w:tc>
          <w:tcPr>
            <w:tcW w:w="2400" w:type="dxa"/>
            <w:tcBorders>
              <w:top w:val="single" w:color="auto" w:sz="4" w:space="0"/>
              <w:left w:val="single" w:color="auto" w:sz="4" w:space="0"/>
              <w:bottom w:val="single" w:color="auto" w:sz="4" w:space="0"/>
              <w:right w:val="single" w:color="auto" w:sz="4" w:space="0"/>
            </w:tcBorders>
            <w:vAlign w:val="center"/>
          </w:tcPr>
          <w:p w14:paraId="519BAF4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27BD4EA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6DA1A7D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4941" w:type="dxa"/>
            <w:tcBorders>
              <w:top w:val="single" w:color="auto" w:sz="4" w:space="0"/>
              <w:left w:val="single" w:color="auto" w:sz="4" w:space="0"/>
              <w:bottom w:val="single" w:color="auto" w:sz="4" w:space="0"/>
              <w:right w:val="single" w:color="auto" w:sz="4" w:space="0"/>
            </w:tcBorders>
            <w:vAlign w:val="center"/>
          </w:tcPr>
          <w:p w14:paraId="0A3B116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809C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BED034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400" w:type="dxa"/>
            <w:tcBorders>
              <w:top w:val="single" w:color="auto" w:sz="4" w:space="0"/>
              <w:left w:val="single" w:color="auto" w:sz="4" w:space="0"/>
              <w:bottom w:val="single" w:color="auto" w:sz="4" w:space="0"/>
              <w:right w:val="single" w:color="auto" w:sz="4" w:space="0"/>
            </w:tcBorders>
            <w:vAlign w:val="center"/>
          </w:tcPr>
          <w:p w14:paraId="6A278EFB">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广西道路运输大数据预警研判技术服务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2E2F898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6350AB71">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lang w:bidi="ar"/>
              </w:rPr>
              <w:t>包括</w:t>
            </w:r>
            <w:r>
              <w:rPr>
                <w:rFonts w:ascii="宋体" w:hAnsi="宋体" w:cs="宋体"/>
                <w:color w:val="auto"/>
                <w:kern w:val="0"/>
                <w:szCs w:val="21"/>
                <w:highlight w:val="none"/>
                <w:lang w:bidi="ar"/>
              </w:rPr>
              <w:t>广西道路运输预警研判大数据平台运行维护服务</w:t>
            </w:r>
            <w:r>
              <w:rPr>
                <w:rFonts w:hint="eastAsia" w:ascii="宋体" w:hAnsi="宋体"/>
                <w:color w:val="auto"/>
                <w:szCs w:val="21"/>
                <w:highlight w:val="none"/>
              </w:rPr>
              <w:t>、</w:t>
            </w:r>
            <w:r>
              <w:rPr>
                <w:rFonts w:hint="eastAsia" w:ascii="宋体" w:hAnsi="宋体" w:cs="宋体"/>
                <w:color w:val="auto"/>
                <w:kern w:val="0"/>
                <w:szCs w:val="21"/>
                <w:highlight w:val="none"/>
                <w:lang w:bidi="ar"/>
              </w:rPr>
              <w:t>大数据处理和分析、客服人员服务</w:t>
            </w:r>
            <w:r>
              <w:rPr>
                <w:rFonts w:hint="eastAsia" w:ascii="宋体" w:hAnsi="宋体"/>
                <w:color w:val="auto"/>
                <w:szCs w:val="21"/>
                <w:highlight w:val="none"/>
              </w:rPr>
              <w:t>。</w:t>
            </w:r>
          </w:p>
        </w:tc>
      </w:tr>
      <w:tr w14:paraId="3A684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5DCA42E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400" w:type="dxa"/>
            <w:tcBorders>
              <w:top w:val="single" w:color="auto" w:sz="4" w:space="0"/>
              <w:left w:val="single" w:color="auto" w:sz="4" w:space="0"/>
              <w:bottom w:val="single" w:color="auto" w:sz="4" w:space="0"/>
              <w:right w:val="single" w:color="auto" w:sz="4" w:space="0"/>
            </w:tcBorders>
            <w:vAlign w:val="center"/>
          </w:tcPr>
          <w:p w14:paraId="7ABE90C1">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广西道路运输驾驶员继续教育与从业资格考试技术服务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2792161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5C9A482A">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lang w:bidi="ar"/>
              </w:rPr>
              <w:t>包括</w:t>
            </w:r>
            <w:r>
              <w:rPr>
                <w:rFonts w:hint="eastAsia" w:ascii="宋体" w:hAnsi="宋体"/>
                <w:color w:val="auto"/>
                <w:szCs w:val="21"/>
                <w:highlight w:val="none"/>
              </w:rPr>
              <w:t>广西道路运输驾驶员继续教育系统运维服务、广西道路运输从业资格考试系统运维服务、</w:t>
            </w:r>
            <w:r>
              <w:rPr>
                <w:rFonts w:hint="eastAsia" w:ascii="宋体" w:hAnsi="宋体" w:cs="宋体"/>
                <w:color w:val="auto"/>
                <w:kern w:val="0"/>
                <w:szCs w:val="21"/>
                <w:highlight w:val="none"/>
                <w:lang w:bidi="ar"/>
              </w:rPr>
              <w:t>继续教育和考试系统功能升级优化、运营服务</w:t>
            </w:r>
            <w:r>
              <w:rPr>
                <w:rFonts w:hint="eastAsia" w:ascii="宋体" w:hAnsi="宋体"/>
                <w:color w:val="auto"/>
                <w:szCs w:val="21"/>
                <w:highlight w:val="none"/>
              </w:rPr>
              <w:t>。</w:t>
            </w:r>
          </w:p>
        </w:tc>
      </w:tr>
      <w:tr w14:paraId="38A60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43127EB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400" w:type="dxa"/>
            <w:tcBorders>
              <w:top w:val="single" w:color="auto" w:sz="4" w:space="0"/>
              <w:left w:val="single" w:color="auto" w:sz="4" w:space="0"/>
              <w:bottom w:val="single" w:color="auto" w:sz="4" w:space="0"/>
              <w:right w:val="single" w:color="auto" w:sz="4" w:space="0"/>
            </w:tcBorders>
            <w:vAlign w:val="center"/>
          </w:tcPr>
          <w:p w14:paraId="742297D3">
            <w:pPr>
              <w:snapToGrid w:val="0"/>
              <w:spacing w:line="360" w:lineRule="auto"/>
              <w:rPr>
                <w:rFonts w:ascii="宋体" w:hAnsi="宋体"/>
                <w:color w:val="auto"/>
                <w:szCs w:val="21"/>
                <w:highlight w:val="none"/>
              </w:rPr>
            </w:pPr>
            <w:r>
              <w:rPr>
                <w:rFonts w:hint="eastAsia" w:ascii="宋体" w:hAnsi="宋体"/>
                <w:color w:val="auto"/>
                <w:szCs w:val="21"/>
                <w:highlight w:val="none"/>
              </w:rPr>
              <w:t>广西机动车驾驶培训公共服务</w:t>
            </w:r>
          </w:p>
        </w:tc>
        <w:tc>
          <w:tcPr>
            <w:tcW w:w="900" w:type="dxa"/>
            <w:tcBorders>
              <w:top w:val="single" w:color="auto" w:sz="4" w:space="0"/>
              <w:left w:val="single" w:color="auto" w:sz="4" w:space="0"/>
              <w:bottom w:val="single" w:color="auto" w:sz="4" w:space="0"/>
              <w:right w:val="single" w:color="auto" w:sz="4" w:space="0"/>
            </w:tcBorders>
            <w:vAlign w:val="center"/>
          </w:tcPr>
          <w:p w14:paraId="13A98C9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0DDC1411">
            <w:pPr>
              <w:snapToGrid w:val="0"/>
              <w:spacing w:line="360" w:lineRule="auto"/>
              <w:rPr>
                <w:rFonts w:ascii="宋体" w:hAnsi="宋体"/>
                <w:color w:val="auto"/>
                <w:szCs w:val="21"/>
                <w:highlight w:val="none"/>
              </w:rPr>
            </w:pPr>
            <w:r>
              <w:rPr>
                <w:rFonts w:hint="eastAsia" w:ascii="宋体" w:hAnsi="宋体"/>
                <w:color w:val="auto"/>
                <w:szCs w:val="21"/>
                <w:highlight w:val="none"/>
              </w:rPr>
              <w:t>提供广西机动车驾驶培训公共服务。</w:t>
            </w:r>
          </w:p>
        </w:tc>
      </w:tr>
      <w:tr w14:paraId="685AB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6AAC5CA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2400" w:type="dxa"/>
            <w:tcBorders>
              <w:top w:val="single" w:color="auto" w:sz="4" w:space="0"/>
              <w:left w:val="single" w:color="auto" w:sz="4" w:space="0"/>
              <w:bottom w:val="single" w:color="auto" w:sz="4" w:space="0"/>
              <w:right w:val="single" w:color="auto" w:sz="4" w:space="0"/>
            </w:tcBorders>
            <w:vAlign w:val="center"/>
          </w:tcPr>
          <w:p w14:paraId="15244387">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广西道路运输车辆智能防控系统技术服务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4C43C9F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6D852655">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广西道路运输车辆智能防控系统</w:t>
            </w:r>
            <w:r>
              <w:rPr>
                <w:color w:val="auto"/>
                <w:szCs w:val="21"/>
                <w:highlight w:val="none"/>
              </w:rPr>
              <w:t>运营</w:t>
            </w:r>
            <w:r>
              <w:rPr>
                <w:rFonts w:hint="eastAsia"/>
                <w:color w:val="auto"/>
                <w:szCs w:val="21"/>
                <w:highlight w:val="none"/>
              </w:rPr>
              <w:t>、系统运维服务</w:t>
            </w:r>
            <w:r>
              <w:rPr>
                <w:rFonts w:hint="eastAsia" w:ascii="宋体" w:hAnsi="宋体"/>
                <w:color w:val="auto"/>
                <w:szCs w:val="21"/>
                <w:highlight w:val="none"/>
              </w:rPr>
              <w:t>。</w:t>
            </w:r>
          </w:p>
        </w:tc>
      </w:tr>
      <w:tr w14:paraId="7A917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BFD521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2400" w:type="dxa"/>
            <w:tcBorders>
              <w:top w:val="single" w:color="auto" w:sz="4" w:space="0"/>
              <w:left w:val="single" w:color="auto" w:sz="4" w:space="0"/>
              <w:bottom w:val="single" w:color="auto" w:sz="4" w:space="0"/>
              <w:right w:val="single" w:color="auto" w:sz="4" w:space="0"/>
            </w:tcBorders>
            <w:vAlign w:val="center"/>
          </w:tcPr>
          <w:p w14:paraId="7BC3E5ED">
            <w:pPr>
              <w:snapToGrid w:val="0"/>
              <w:spacing w:line="360" w:lineRule="auto"/>
              <w:rPr>
                <w:rFonts w:ascii="宋体" w:hAnsi="宋体"/>
                <w:color w:val="auto"/>
                <w:szCs w:val="21"/>
                <w:highlight w:val="none"/>
              </w:rPr>
            </w:pPr>
            <w:r>
              <w:rPr>
                <w:rFonts w:hint="eastAsia" w:ascii="宋体" w:hAnsi="宋体"/>
                <w:color w:val="auto"/>
                <w:szCs w:val="21"/>
                <w:highlight w:val="none"/>
              </w:rPr>
              <w:t>内部控制信息系统运行维护经费项目</w:t>
            </w:r>
          </w:p>
        </w:tc>
        <w:tc>
          <w:tcPr>
            <w:tcW w:w="900" w:type="dxa"/>
            <w:tcBorders>
              <w:top w:val="single" w:color="auto" w:sz="4" w:space="0"/>
              <w:left w:val="single" w:color="auto" w:sz="4" w:space="0"/>
              <w:bottom w:val="single" w:color="auto" w:sz="4" w:space="0"/>
              <w:right w:val="single" w:color="auto" w:sz="4" w:space="0"/>
            </w:tcBorders>
            <w:vAlign w:val="center"/>
          </w:tcPr>
          <w:p w14:paraId="519DABE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62977DFC">
            <w:pPr>
              <w:snapToGrid w:val="0"/>
              <w:spacing w:line="360" w:lineRule="auto"/>
              <w:rPr>
                <w:rFonts w:ascii="宋体" w:hAnsi="宋体"/>
                <w:color w:val="auto"/>
                <w:szCs w:val="21"/>
                <w:highlight w:val="none"/>
              </w:rPr>
            </w:pPr>
            <w:r>
              <w:rPr>
                <w:rFonts w:hint="eastAsia" w:ascii="宋体" w:hAnsi="宋体"/>
                <w:color w:val="auto"/>
                <w:szCs w:val="21"/>
                <w:highlight w:val="none"/>
              </w:rPr>
              <w:t>提供现场支持服务；日常电话支持服务；紧急电话支持及必要现场服务；互联网在线服务；远程在线诊断和故障排除服务；系统升级；系统性能优化。</w:t>
            </w:r>
          </w:p>
        </w:tc>
      </w:tr>
      <w:tr w14:paraId="56930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34DC02C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2400" w:type="dxa"/>
            <w:tcBorders>
              <w:top w:val="single" w:color="auto" w:sz="4" w:space="0"/>
              <w:left w:val="single" w:color="auto" w:sz="4" w:space="0"/>
              <w:bottom w:val="single" w:color="auto" w:sz="4" w:space="0"/>
              <w:right w:val="single" w:color="auto" w:sz="4" w:space="0"/>
            </w:tcBorders>
            <w:vAlign w:val="center"/>
          </w:tcPr>
          <w:p w14:paraId="6DE2C15F">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广西道路运输行业党建服务系统“桂运先锋”平台</w:t>
            </w:r>
          </w:p>
        </w:tc>
        <w:tc>
          <w:tcPr>
            <w:tcW w:w="900" w:type="dxa"/>
            <w:tcBorders>
              <w:top w:val="single" w:color="auto" w:sz="4" w:space="0"/>
              <w:left w:val="single" w:color="auto" w:sz="4" w:space="0"/>
              <w:bottom w:val="single" w:color="auto" w:sz="4" w:space="0"/>
              <w:right w:val="single" w:color="auto" w:sz="4" w:space="0"/>
            </w:tcBorders>
            <w:vAlign w:val="center"/>
          </w:tcPr>
          <w:p w14:paraId="7CB5809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750FE84D">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lang w:bidi="ar"/>
              </w:rPr>
              <w:t>日常运行维护内容主要涉及系统技术支持服务、系统安全保障服务、用户咨询支撑服务、培训及知识管理、运维报告与绩效评估等方面。</w:t>
            </w:r>
          </w:p>
        </w:tc>
      </w:tr>
      <w:tr w14:paraId="7C099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06E9D97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2400" w:type="dxa"/>
            <w:tcBorders>
              <w:top w:val="single" w:color="auto" w:sz="4" w:space="0"/>
              <w:left w:val="single" w:color="auto" w:sz="4" w:space="0"/>
              <w:bottom w:val="single" w:color="auto" w:sz="4" w:space="0"/>
              <w:right w:val="single" w:color="auto" w:sz="4" w:space="0"/>
            </w:tcBorders>
            <w:vAlign w:val="center"/>
          </w:tcPr>
          <w:p w14:paraId="06942881">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广西道路运输发展中心业务系统第三方技术服务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6DF088C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1990187C">
            <w:pPr>
              <w:pStyle w:val="29"/>
              <w:spacing w:line="360" w:lineRule="auto"/>
              <w:rPr>
                <w:rFonts w:ascii="宋体" w:hAnsi="宋体"/>
                <w:color w:val="auto"/>
                <w:sz w:val="21"/>
                <w:szCs w:val="21"/>
                <w:highlight w:val="none"/>
              </w:rPr>
            </w:pPr>
            <w:r>
              <w:rPr>
                <w:rFonts w:hint="eastAsia"/>
                <w:color w:val="auto"/>
                <w:sz w:val="21"/>
                <w:szCs w:val="21"/>
                <w:highlight w:val="none"/>
                <w:lang w:bidi="ar"/>
              </w:rPr>
              <w:t>完成广西道路运输管理信息系统、广西道路运输动态监控行业服务系统、广西网络货运信息监测系统、内部控制信息系统等4个核心业务系统向自治区级XC云平台的整体迁移。</w:t>
            </w:r>
          </w:p>
        </w:tc>
      </w:tr>
      <w:tr w14:paraId="0F709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6D7F08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2400" w:type="dxa"/>
            <w:tcBorders>
              <w:top w:val="single" w:color="auto" w:sz="4" w:space="0"/>
              <w:left w:val="single" w:color="auto" w:sz="4" w:space="0"/>
              <w:bottom w:val="single" w:color="auto" w:sz="4" w:space="0"/>
              <w:right w:val="single" w:color="auto" w:sz="4" w:space="0"/>
            </w:tcBorders>
            <w:vAlign w:val="center"/>
          </w:tcPr>
          <w:p w14:paraId="0A394A89">
            <w:pPr>
              <w:snapToGrid w:val="0"/>
              <w:spacing w:line="360" w:lineRule="auto"/>
              <w:rPr>
                <w:rFonts w:ascii="宋体" w:hAnsi="宋体"/>
                <w:color w:val="auto"/>
                <w:szCs w:val="21"/>
                <w:highlight w:val="none"/>
              </w:rPr>
            </w:pPr>
            <w:r>
              <w:rPr>
                <w:rFonts w:hint="eastAsia" w:hAnsi="宋体"/>
                <w:bCs/>
                <w:color w:val="auto"/>
                <w:szCs w:val="20"/>
                <w:highlight w:val="none"/>
              </w:rPr>
              <w:t>广西道路运输发展中心业务系统等保测评及密评服务</w:t>
            </w:r>
          </w:p>
        </w:tc>
        <w:tc>
          <w:tcPr>
            <w:tcW w:w="900" w:type="dxa"/>
            <w:tcBorders>
              <w:top w:val="single" w:color="auto" w:sz="4" w:space="0"/>
              <w:left w:val="single" w:color="auto" w:sz="4" w:space="0"/>
              <w:bottom w:val="single" w:color="auto" w:sz="4" w:space="0"/>
              <w:right w:val="single" w:color="auto" w:sz="4" w:space="0"/>
            </w:tcBorders>
            <w:vAlign w:val="center"/>
          </w:tcPr>
          <w:p w14:paraId="6DB0560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540F1FB3">
            <w:pPr>
              <w:pStyle w:val="29"/>
              <w:spacing w:line="360" w:lineRule="auto"/>
              <w:rPr>
                <w:color w:val="auto"/>
                <w:sz w:val="21"/>
                <w:szCs w:val="21"/>
                <w:highlight w:val="none"/>
              </w:rPr>
            </w:pPr>
            <w:r>
              <w:rPr>
                <w:rFonts w:hint="eastAsia"/>
                <w:color w:val="auto"/>
                <w:sz w:val="21"/>
                <w:szCs w:val="21"/>
                <w:highlight w:val="none"/>
              </w:rPr>
              <w:t>1、依据《网络安全等级保护基本要求》（GB/T 22239-2019）对2个三级系统（广西机动车驾驶培训公共服务平台、广西道路运输管理信息系统），3个二级系统（广西道路运输动态监控行业服务系统、广西网络货运信息监测系统、内部控制信息系统等5个系统开展网络安全等级保护测评工作，并出具网络安全等级保护测评报告。</w:t>
            </w:r>
          </w:p>
          <w:p w14:paraId="19E8033A">
            <w:pPr>
              <w:pStyle w:val="29"/>
              <w:spacing w:line="360" w:lineRule="auto"/>
              <w:rPr>
                <w:color w:val="auto"/>
                <w:sz w:val="21"/>
                <w:szCs w:val="21"/>
                <w:highlight w:val="none"/>
              </w:rPr>
            </w:pPr>
            <w:r>
              <w:rPr>
                <w:rFonts w:hint="eastAsia"/>
                <w:color w:val="auto"/>
                <w:sz w:val="21"/>
                <w:szCs w:val="21"/>
                <w:highlight w:val="none"/>
              </w:rPr>
              <w:t>2、依据《信息安全技术 信息系统密码应用基本要求GB/T 39786-2021》和《信息系统密码应用测评要求GB/T 43206-2023》的相关要求及通过评估的密码应用方案，对2个三级系统（广西机动车驾驶培训公共服务平台、广西道路运输管理信息系统），3个二级系统（广西道路运输动态监控行业服务系统、广西网络货运信息监测系统、内部控制信息系统）等5个系统进行商用密码应用方案评估和商用密码应用安全性评估服务，测评完成并报广西密码管理局报备。</w:t>
            </w:r>
          </w:p>
        </w:tc>
      </w:tr>
    </w:tbl>
    <w:p w14:paraId="39856E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如需进一步了解详细内容，详见招标文件。</w:t>
      </w:r>
    </w:p>
    <w:p w14:paraId="21E1EF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合同履行期限：详见招标文件各分标商务要求</w:t>
      </w:r>
      <w:r>
        <w:rPr>
          <w:rFonts w:hint="eastAsia" w:ascii="宋体" w:hAnsi="宋体" w:cs="宋体"/>
          <w:color w:val="auto"/>
          <w:szCs w:val="21"/>
          <w:highlight w:val="none"/>
        </w:rPr>
        <w:t>。</w:t>
      </w:r>
    </w:p>
    <w:p w14:paraId="4BD2A0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2431CF5B">
      <w:pPr>
        <w:spacing w:line="360" w:lineRule="auto"/>
        <w:rPr>
          <w:rFonts w:ascii="黑体" w:hAnsi="黑体" w:eastAsia="黑体"/>
          <w:b/>
          <w:bCs/>
          <w:color w:val="auto"/>
          <w:sz w:val="24"/>
          <w:highlight w:val="none"/>
        </w:rPr>
      </w:pPr>
      <w:bookmarkStart w:id="11" w:name="_Toc28359080"/>
      <w:bookmarkStart w:id="12" w:name="_Toc35393791"/>
      <w:bookmarkStart w:id="13" w:name="_Toc28359003"/>
      <w:bookmarkStart w:id="14" w:name="_Toc35393622"/>
      <w:r>
        <w:rPr>
          <w:rFonts w:hint="eastAsia" w:ascii="黑体" w:hAnsi="黑体" w:eastAsia="黑体"/>
          <w:b/>
          <w:bCs/>
          <w:color w:val="auto"/>
          <w:sz w:val="24"/>
          <w:highlight w:val="none"/>
        </w:rPr>
        <w:t>二、申请人的资格要求：</w:t>
      </w:r>
      <w:bookmarkEnd w:id="11"/>
      <w:bookmarkEnd w:id="12"/>
      <w:bookmarkEnd w:id="13"/>
      <w:bookmarkEnd w:id="14"/>
    </w:p>
    <w:p w14:paraId="5DD75509">
      <w:pPr>
        <w:spacing w:line="360" w:lineRule="auto"/>
        <w:ind w:firstLine="420" w:firstLineChars="200"/>
        <w:rPr>
          <w:rFonts w:ascii="宋体" w:hAnsi="宋体"/>
          <w:color w:val="auto"/>
          <w:szCs w:val="21"/>
          <w:highlight w:val="none"/>
        </w:rPr>
      </w:pPr>
      <w:bookmarkStart w:id="15" w:name="_Hlk51746371"/>
      <w:bookmarkStart w:id="16" w:name="_Toc28359004"/>
      <w:bookmarkStart w:id="17" w:name="_Toc35393623"/>
      <w:bookmarkStart w:id="18" w:name="_Toc28359081"/>
      <w:bookmarkStart w:id="19" w:name="_Toc35393792"/>
      <w:r>
        <w:rPr>
          <w:rFonts w:hint="eastAsia" w:ascii="宋体" w:hAnsi="宋体"/>
          <w:color w:val="auto"/>
          <w:szCs w:val="21"/>
          <w:highlight w:val="none"/>
        </w:rPr>
        <w:t>1.满足《中华人民共和国政府采购法》第二十二条规定；</w:t>
      </w:r>
    </w:p>
    <w:p w14:paraId="76A4B7B2">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1、2、6分标</w:t>
      </w:r>
      <w:r>
        <w:rPr>
          <w:rFonts w:hint="eastAsia" w:ascii="宋体" w:hAnsi="宋体"/>
          <w:color w:val="auto"/>
          <w:szCs w:val="21"/>
          <w:highlight w:val="none"/>
        </w:rPr>
        <w:t>为专门面向中小企业采购的项目投标人必须为中小微企业（或监狱企业，或残疾人福利性单位）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3、4、5、7、8分标为专门面向小微企业采购的项目，</w:t>
      </w:r>
      <w:r>
        <w:rPr>
          <w:rFonts w:hint="eastAsia" w:ascii="宋体" w:hAnsi="宋体"/>
          <w:color w:val="auto"/>
          <w:szCs w:val="21"/>
          <w:highlight w:val="none"/>
        </w:rPr>
        <w:t>投标人必须为小微企业（或监狱企业，或残疾人福利性单位）。</w:t>
      </w:r>
    </w:p>
    <w:p w14:paraId="6E6D4D44">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3.本项目的特定资格要求：无</w:t>
      </w:r>
      <w:r>
        <w:rPr>
          <w:rFonts w:hint="eastAsia"/>
          <w:color w:val="auto"/>
          <w:highlight w:val="none"/>
        </w:rPr>
        <w:t>。</w:t>
      </w:r>
    </w:p>
    <w:bookmarkEnd w:id="15"/>
    <w:p w14:paraId="16DC597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6"/>
      <w:bookmarkEnd w:id="17"/>
      <w:bookmarkEnd w:id="18"/>
      <w:bookmarkEnd w:id="19"/>
    </w:p>
    <w:p w14:paraId="3BEA13C3">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时间：2026年4月  日至2026年4月  日，每天上午00:00至11：59，下午12:00至23:59（北京时间）。</w:t>
      </w:r>
    </w:p>
    <w:p w14:paraId="009B98E4">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AE34F10">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67686A1F">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0A72405A">
      <w:pPr>
        <w:spacing w:line="360" w:lineRule="auto"/>
        <w:rPr>
          <w:rFonts w:ascii="黑体" w:hAnsi="黑体" w:eastAsia="黑体"/>
          <w:b/>
          <w:bCs/>
          <w:color w:val="auto"/>
          <w:sz w:val="24"/>
          <w:highlight w:val="none"/>
        </w:rPr>
      </w:pPr>
      <w:bookmarkStart w:id="20" w:name="_Toc28359082"/>
      <w:bookmarkStart w:id="21" w:name="_Toc28359005"/>
      <w:bookmarkStart w:id="22" w:name="_Toc35393624"/>
      <w:bookmarkStart w:id="23" w:name="_Toc35393793"/>
      <w:r>
        <w:rPr>
          <w:rFonts w:hint="eastAsia" w:ascii="黑体" w:hAnsi="黑体" w:eastAsia="黑体"/>
          <w:b/>
          <w:bCs/>
          <w:color w:val="auto"/>
          <w:sz w:val="24"/>
          <w:highlight w:val="none"/>
        </w:rPr>
        <w:t>四、提交投标文件</w:t>
      </w:r>
      <w:bookmarkEnd w:id="20"/>
      <w:bookmarkEnd w:id="21"/>
      <w:r>
        <w:rPr>
          <w:rFonts w:hint="eastAsia" w:ascii="黑体" w:hAnsi="黑体" w:eastAsia="黑体"/>
          <w:b/>
          <w:bCs/>
          <w:color w:val="auto"/>
          <w:sz w:val="24"/>
          <w:highlight w:val="none"/>
        </w:rPr>
        <w:t>截止时间、开标时间和地点</w:t>
      </w:r>
      <w:bookmarkEnd w:id="22"/>
      <w:bookmarkEnd w:id="23"/>
    </w:p>
    <w:p w14:paraId="7A35877B">
      <w:pPr>
        <w:spacing w:line="360" w:lineRule="auto"/>
        <w:ind w:firstLine="420" w:firstLineChars="200"/>
        <w:rPr>
          <w:rFonts w:ascii="宋体" w:hAnsi="宋体" w:cs="宋体"/>
          <w:color w:val="auto"/>
          <w:szCs w:val="21"/>
          <w:highlight w:val="none"/>
          <w:u w:val="single"/>
        </w:rPr>
      </w:pPr>
      <w:bookmarkStart w:id="24" w:name="_Toc35393625"/>
      <w:bookmarkStart w:id="25" w:name="_Toc28359084"/>
      <w:bookmarkStart w:id="26" w:name="_Toc28359007"/>
      <w:bookmarkStart w:id="27" w:name="_Toc35393794"/>
      <w:r>
        <w:rPr>
          <w:rFonts w:hint="eastAsia" w:ascii="宋体" w:hAnsi="宋体"/>
          <w:bCs/>
          <w:color w:val="auto"/>
          <w:szCs w:val="21"/>
          <w:highlight w:val="none"/>
          <w:u w:val="single"/>
        </w:rPr>
        <w:t>提交投标文件截止时间：2026年4月  日09时30分</w:t>
      </w:r>
      <w:r>
        <w:rPr>
          <w:rFonts w:hint="eastAsia" w:ascii="宋体" w:hAnsi="宋体"/>
          <w:bCs/>
          <w:color w:val="auto"/>
          <w:szCs w:val="21"/>
          <w:highlight w:val="none"/>
        </w:rPr>
        <w:t>（北京时间）</w:t>
      </w:r>
    </w:p>
    <w:p w14:paraId="1D9D5E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投标地点：广西政府采购云平台（https://www.gcy.zfcg.gxzf.gov.cn/）</w:t>
      </w:r>
    </w:p>
    <w:p w14:paraId="3D1930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开标时间：2026年4月  日09时30分</w:t>
      </w:r>
    </w:p>
    <w:p w14:paraId="528530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开标地点：广西政府采购云平台电子开标大厅</w:t>
      </w:r>
    </w:p>
    <w:p w14:paraId="151EAE7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4"/>
      <w:bookmarkEnd w:id="25"/>
      <w:bookmarkEnd w:id="26"/>
      <w:bookmarkEnd w:id="27"/>
    </w:p>
    <w:p w14:paraId="741DF9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6D94C29">
      <w:pPr>
        <w:spacing w:line="360" w:lineRule="auto"/>
        <w:rPr>
          <w:rFonts w:ascii="黑体" w:hAnsi="黑体" w:eastAsia="黑体"/>
          <w:b/>
          <w:bCs/>
          <w:color w:val="auto"/>
          <w:sz w:val="24"/>
          <w:highlight w:val="none"/>
        </w:rPr>
      </w:pPr>
      <w:bookmarkStart w:id="28" w:name="_Toc35393626"/>
      <w:bookmarkStart w:id="29" w:name="_Toc35393795"/>
      <w:r>
        <w:rPr>
          <w:rFonts w:hint="eastAsia" w:ascii="黑体" w:hAnsi="黑体" w:eastAsia="黑体"/>
          <w:b/>
          <w:bCs/>
          <w:color w:val="auto"/>
          <w:sz w:val="24"/>
          <w:highlight w:val="none"/>
        </w:rPr>
        <w:t>六、其他补充事宜</w:t>
      </w:r>
      <w:bookmarkEnd w:id="28"/>
      <w:bookmarkEnd w:id="29"/>
    </w:p>
    <w:p w14:paraId="013A8A19">
      <w:pPr>
        <w:spacing w:line="360" w:lineRule="auto"/>
        <w:ind w:firstLine="420" w:firstLineChars="200"/>
        <w:rPr>
          <w:rFonts w:ascii="宋体" w:hAnsi="宋体" w:cs="宋体"/>
          <w:color w:val="auto"/>
          <w:kern w:val="0"/>
          <w:szCs w:val="21"/>
          <w:highlight w:val="none"/>
        </w:rPr>
      </w:pPr>
      <w:bookmarkStart w:id="30" w:name="_Hlk37429585"/>
      <w:bookmarkStart w:id="31" w:name="_Hlk37429595"/>
      <w:bookmarkStart w:id="32" w:name="_Toc35393627"/>
      <w:bookmarkStart w:id="33" w:name="_Toc35393796"/>
      <w:bookmarkStart w:id="34" w:name="_Toc28359008"/>
      <w:bookmarkStart w:id="35" w:name="_Toc28359085"/>
      <w:r>
        <w:rPr>
          <w:rFonts w:hint="eastAsia" w:ascii="宋体" w:hAnsi="宋体" w:cs="宋体"/>
          <w:color w:val="auto"/>
          <w:kern w:val="0"/>
          <w:szCs w:val="21"/>
          <w:highlight w:val="none"/>
        </w:rPr>
        <w:t>1.网上查询地址</w:t>
      </w:r>
    </w:p>
    <w:p w14:paraId="609FA209">
      <w:pPr>
        <w:spacing w:line="360" w:lineRule="auto"/>
        <w:ind w:left="210" w:leftChars="100" w:firstLine="424" w:firstLineChars="202"/>
        <w:rPr>
          <w:rStyle w:val="55"/>
          <w:rFonts w:ascii="宋体" w:hAnsi="宋体" w:cs="宋体"/>
          <w:iCs/>
          <w:color w:val="auto"/>
          <w:kern w:val="0"/>
          <w:szCs w:val="21"/>
          <w:highlight w:val="none"/>
          <w:u w:val="none"/>
        </w:rPr>
      </w:pP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Style w:val="55"/>
          <w:rFonts w:hint="eastAsia" w:ascii="宋体" w:hAnsi="宋体" w:cs="宋体"/>
          <w:iCs/>
          <w:color w:val="auto"/>
          <w:kern w:val="0"/>
          <w:szCs w:val="21"/>
          <w:highlight w:val="none"/>
          <w:u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rStyle w:val="55"/>
          <w:rFonts w:hint="eastAsia" w:ascii="宋体" w:hAnsi="宋体" w:cs="宋体"/>
          <w:iCs/>
          <w:color w:val="auto"/>
          <w:kern w:val="0"/>
          <w:szCs w:val="21"/>
          <w:highlight w:val="none"/>
          <w:u w:val="none"/>
        </w:rPr>
        <w:t>zfcg.gxzf.gov.cn（广西壮族自治区政府采购网）</w:t>
      </w:r>
      <w:r>
        <w:rPr>
          <w:rStyle w:val="55"/>
          <w:rFonts w:hint="eastAsia" w:ascii="宋体" w:hAnsi="宋体" w:cs="宋体"/>
          <w:iCs/>
          <w:color w:val="auto"/>
          <w:kern w:val="0"/>
          <w:szCs w:val="21"/>
          <w:highlight w:val="none"/>
          <w:u w:val="none"/>
        </w:rPr>
        <w:fldChar w:fldCharType="end"/>
      </w:r>
      <w:r>
        <w:rPr>
          <w:rFonts w:hint="eastAsia" w:ascii="宋体" w:hAnsi="宋体" w:cs="宋体"/>
          <w:iCs/>
          <w:color w:val="auto"/>
          <w:kern w:val="0"/>
          <w:szCs w:val="21"/>
          <w:highlight w:val="none"/>
        </w:rPr>
        <w:t>、</w:t>
      </w:r>
      <w:r>
        <w:rPr>
          <w:rFonts w:hint="eastAsia" w:ascii="宋体" w:hAnsi="宋体" w:cs="宋体"/>
          <w:color w:val="auto"/>
          <w:kern w:val="0"/>
          <w:szCs w:val="21"/>
          <w:highlight w:val="none"/>
        </w:rPr>
        <w:t>http://gxggzy.g</w:t>
      </w:r>
      <w:r>
        <w:rPr>
          <w:rStyle w:val="55"/>
          <w:rFonts w:hint="eastAsia" w:ascii="宋体" w:hAnsi="宋体" w:cs="宋体"/>
          <w:iCs/>
          <w:color w:val="auto"/>
          <w:kern w:val="0"/>
          <w:szCs w:val="21"/>
          <w:highlight w:val="none"/>
          <w:u w:val="none"/>
        </w:rPr>
        <w:t>xzf.gov.cn（广西壮族自治区公共资源交易中心）、http://jthg.zcjb.com.cn（广西交投宏冠电子招标投标交易平台）。</w:t>
      </w:r>
    </w:p>
    <w:bookmarkEnd w:id="30"/>
    <w:bookmarkEnd w:id="31"/>
    <w:p w14:paraId="4FA1BAFA">
      <w:pPr>
        <w:spacing w:line="360" w:lineRule="auto"/>
        <w:ind w:firstLine="424" w:firstLineChars="202"/>
        <w:rPr>
          <w:rFonts w:ascii="宋体" w:hAnsi="宋体" w:cs="宋体"/>
          <w:iCs/>
          <w:color w:val="auto"/>
          <w:kern w:val="0"/>
          <w:szCs w:val="21"/>
          <w:highlight w:val="none"/>
        </w:rPr>
      </w:pPr>
      <w:bookmarkStart w:id="36" w:name="_Hlk37429674"/>
      <w:r>
        <w:rPr>
          <w:rFonts w:hint="eastAsia" w:ascii="宋体" w:hAnsi="宋体"/>
          <w:iCs/>
          <w:color w:val="auto"/>
          <w:szCs w:val="21"/>
          <w:highlight w:val="none"/>
        </w:rPr>
        <w:t>2</w:t>
      </w:r>
      <w:r>
        <w:rPr>
          <w:rFonts w:ascii="宋体" w:hAnsi="宋体"/>
          <w:iCs/>
          <w:color w:val="auto"/>
          <w:szCs w:val="21"/>
          <w:highlight w:val="none"/>
        </w:rPr>
        <w:t>.</w:t>
      </w:r>
      <w:r>
        <w:rPr>
          <w:rFonts w:hint="eastAsia" w:ascii="宋体" w:hAnsi="宋体" w:cs="宋体"/>
          <w:iCs/>
          <w:color w:val="auto"/>
          <w:kern w:val="0"/>
          <w:szCs w:val="21"/>
          <w:highlight w:val="none"/>
        </w:rPr>
        <w:t>本项目需要落实的政府采购政策</w:t>
      </w:r>
    </w:p>
    <w:p w14:paraId="36FC1AC4">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452CB81">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bookmarkStart w:id="164" w:name="_GoBack"/>
      <w:bookmarkEnd w:id="164"/>
    </w:p>
    <w:p w14:paraId="5F7BC40F">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7DF4E5BB">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13C88B8">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bookmarkEnd w:id="36"/>
    <w:p w14:paraId="64B9A79A">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3.投标人</w:t>
      </w:r>
      <w:r>
        <w:rPr>
          <w:rFonts w:hint="eastAsia" w:ascii="宋体" w:hAnsi="宋体"/>
          <w:color w:val="auto"/>
          <w:szCs w:val="21"/>
          <w:highlight w:val="none"/>
        </w:rPr>
        <w:t>投标注意事项</w:t>
      </w:r>
    </w:p>
    <w:p w14:paraId="2FCDE009">
      <w:pPr>
        <w:spacing w:line="360" w:lineRule="auto"/>
        <w:ind w:firstLine="424" w:firstLineChars="202"/>
        <w:rPr>
          <w:rFonts w:ascii="宋体" w:hAnsi="宋体" w:cs="宋体"/>
          <w:b/>
          <w:bCs/>
          <w:iCs/>
          <w:color w:val="auto"/>
          <w:kern w:val="0"/>
          <w:szCs w:val="21"/>
          <w:highlight w:val="none"/>
        </w:rPr>
      </w:pPr>
      <w:r>
        <w:rPr>
          <w:rFonts w:hint="eastAsia" w:ascii="宋体" w:hAnsi="宋体" w:cs="宋体"/>
          <w:iCs/>
          <w:color w:val="auto"/>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w:t>
      </w:r>
      <w:r>
        <w:rPr>
          <w:rFonts w:hint="eastAsia" w:ascii="宋体" w:hAnsi="宋体" w:cs="宋体"/>
          <w:b/>
          <w:bCs/>
          <w:iCs/>
          <w:color w:val="auto"/>
          <w:kern w:val="0"/>
          <w:szCs w:val="21"/>
          <w:highlight w:val="none"/>
        </w:rPr>
        <w:t>标人登录广西政府采购云平台，依次进入“服务中心-项目采购-操作流程-电子招投标-政府采购项目电子交易管理操作指南-供应商”查看电子投标具体操作流程。</w:t>
      </w:r>
    </w:p>
    <w:p w14:paraId="20F63615">
      <w:pPr>
        <w:spacing w:line="360" w:lineRule="auto"/>
        <w:ind w:firstLine="424" w:firstLineChars="202"/>
        <w:rPr>
          <w:rFonts w:ascii="宋体" w:hAnsi="宋体" w:cs="宋体"/>
          <w:iCs/>
          <w:color w:val="auto"/>
          <w:kern w:val="0"/>
          <w:szCs w:val="21"/>
          <w:highlight w:val="none"/>
        </w:rPr>
      </w:pPr>
      <w:r>
        <w:rPr>
          <w:rFonts w:hint="eastAsia" w:ascii="宋体" w:hAnsi="宋体" w:cs="宋体"/>
          <w:iCs/>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w:t>
      </w:r>
      <w:r>
        <w:rPr>
          <w:rFonts w:hint="eastAsia" w:ascii="宋体" w:hAnsi="宋体" w:cs="宋体"/>
          <w:b/>
          <w:bCs/>
          <w:iCs/>
          <w:color w:val="auto"/>
          <w:kern w:val="0"/>
          <w:szCs w:val="21"/>
          <w:highlight w:val="none"/>
        </w:rPr>
        <w:t>请致电客服热线：</w:t>
      </w:r>
      <w:r>
        <w:rPr>
          <w:rFonts w:hint="eastAsia" w:ascii="宋体" w:hAnsi="宋体" w:cs="宋体"/>
          <w:b/>
          <w:bCs/>
          <w:color w:val="auto"/>
          <w:kern w:val="0"/>
          <w:szCs w:val="21"/>
          <w:highlight w:val="none"/>
        </w:rPr>
        <w:t>95763或者</w:t>
      </w:r>
      <w:r>
        <w:rPr>
          <w:rFonts w:hint="eastAsia" w:ascii="宋体" w:hAnsi="宋体" w:cs="宋体"/>
          <w:b/>
          <w:bCs/>
          <w:iCs/>
          <w:color w:val="auto"/>
          <w:kern w:val="0"/>
          <w:szCs w:val="21"/>
          <w:highlight w:val="none"/>
        </w:rPr>
        <w:t>0771-3381253</w:t>
      </w:r>
      <w:r>
        <w:rPr>
          <w:rFonts w:hint="eastAsia" w:ascii="宋体" w:hAnsi="宋体" w:cs="宋体"/>
          <w:iCs/>
          <w:color w:val="auto"/>
          <w:kern w:val="0"/>
          <w:szCs w:val="21"/>
          <w:highlight w:val="none"/>
        </w:rPr>
        <w:t>）。</w:t>
      </w:r>
    </w:p>
    <w:p w14:paraId="23DE1255">
      <w:pPr>
        <w:spacing w:line="360" w:lineRule="auto"/>
        <w:ind w:firstLine="426" w:firstLineChars="202"/>
        <w:rPr>
          <w:rFonts w:ascii="宋体" w:hAnsi="宋体" w:cs="宋体"/>
          <w:b/>
          <w:bCs/>
          <w:iCs/>
          <w:color w:val="auto"/>
          <w:kern w:val="0"/>
          <w:szCs w:val="21"/>
          <w:highlight w:val="none"/>
        </w:rPr>
      </w:pPr>
      <w:r>
        <w:rPr>
          <w:rFonts w:hint="eastAsia" w:ascii="宋体" w:hAnsi="宋体" w:cs="宋体"/>
          <w:b/>
          <w:bCs/>
          <w:iCs/>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1BC01A64">
      <w:pPr>
        <w:spacing w:line="360" w:lineRule="auto"/>
        <w:ind w:firstLine="424" w:firstLineChars="202"/>
        <w:rPr>
          <w:rFonts w:ascii="宋体" w:hAnsi="宋体" w:cs="宋体"/>
          <w:color w:val="auto"/>
          <w:kern w:val="0"/>
          <w:szCs w:val="21"/>
          <w:highlight w:val="none"/>
        </w:rPr>
      </w:pPr>
      <w:r>
        <w:rPr>
          <w:rFonts w:hint="eastAsia" w:ascii="宋体" w:hAnsi="宋体" w:cs="宋体"/>
          <w:iCs/>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1BB87CF">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147D5863">
      <w:pPr>
        <w:spacing w:line="420" w:lineRule="exact"/>
        <w:ind w:firstLine="420" w:firstLineChars="200"/>
        <w:rPr>
          <w:rFonts w:ascii="宋体" w:hAnsi="宋体" w:cs="宋体"/>
          <w:color w:val="auto"/>
          <w:szCs w:val="21"/>
          <w:highlight w:val="none"/>
        </w:rPr>
      </w:pPr>
      <w:bookmarkStart w:id="37" w:name="_Toc35393806"/>
      <w:bookmarkStart w:id="38" w:name="_Toc35393637"/>
      <w:bookmarkStart w:id="39" w:name="_Toc28359096"/>
      <w:bookmarkStart w:id="40" w:name="_Toc28359019"/>
      <w:r>
        <w:rPr>
          <w:rFonts w:hint="eastAsia" w:ascii="宋体" w:hAnsi="宋体" w:cs="宋体"/>
          <w:color w:val="auto"/>
          <w:szCs w:val="21"/>
          <w:highlight w:val="none"/>
        </w:rPr>
        <w:t>1.采购人信息</w:t>
      </w:r>
      <w:bookmarkEnd w:id="37"/>
      <w:bookmarkEnd w:id="38"/>
      <w:bookmarkEnd w:id="39"/>
      <w:bookmarkEnd w:id="40"/>
    </w:p>
    <w:p w14:paraId="05EC1F2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称：广西壮族自治区道路运输发展中心</w:t>
      </w:r>
    </w:p>
    <w:p w14:paraId="5F760DA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址：南宁市厢竹大道4号</w:t>
      </w:r>
    </w:p>
    <w:p w14:paraId="65D68EE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r>
        <w:rPr>
          <w:rFonts w:ascii="宋体" w:hAnsi="宋体" w:cs="宋体"/>
          <w:color w:val="auto"/>
          <w:szCs w:val="21"/>
          <w:highlight w:val="none"/>
        </w:rPr>
        <w:t>覃工  0771—2115425</w:t>
      </w:r>
    </w:p>
    <w:p w14:paraId="5C32B274">
      <w:pPr>
        <w:spacing w:line="420" w:lineRule="exact"/>
        <w:ind w:firstLine="420" w:firstLineChars="200"/>
        <w:rPr>
          <w:rFonts w:ascii="宋体" w:hAnsi="宋体" w:cs="宋体"/>
          <w:color w:val="auto"/>
          <w:szCs w:val="21"/>
          <w:highlight w:val="none"/>
        </w:rPr>
      </w:pPr>
      <w:bookmarkStart w:id="41" w:name="_Toc28359020"/>
      <w:bookmarkStart w:id="42" w:name="_Toc35393807"/>
      <w:bookmarkStart w:id="43" w:name="_Toc28359097"/>
      <w:bookmarkStart w:id="44" w:name="_Toc35393638"/>
      <w:r>
        <w:rPr>
          <w:rFonts w:hint="eastAsia" w:ascii="宋体" w:hAnsi="宋体" w:cs="宋体"/>
          <w:color w:val="auto"/>
          <w:szCs w:val="21"/>
          <w:highlight w:val="none"/>
        </w:rPr>
        <w:t>2.采购代理机构信息</w:t>
      </w:r>
      <w:bookmarkEnd w:id="41"/>
      <w:bookmarkEnd w:id="42"/>
      <w:bookmarkEnd w:id="43"/>
      <w:bookmarkEnd w:id="44"/>
    </w:p>
    <w:p w14:paraId="5EF8E56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称：广西交投宏冠工程咨询有限公司</w:t>
      </w:r>
    </w:p>
    <w:p w14:paraId="230D442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址：广西南宁市青秀区合作路6号五洲国际D栋临街商铺D312室</w:t>
      </w:r>
    </w:p>
    <w:p w14:paraId="52C2869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联系方式：冼凌晨、钟毅、黄东　0771-2115840　</w:t>
      </w:r>
    </w:p>
    <w:p w14:paraId="245A91C6">
      <w:pPr>
        <w:spacing w:line="420" w:lineRule="exact"/>
        <w:ind w:firstLine="420" w:firstLineChars="200"/>
        <w:rPr>
          <w:rFonts w:ascii="宋体" w:hAnsi="宋体" w:cs="宋体"/>
          <w:color w:val="auto"/>
          <w:szCs w:val="21"/>
          <w:highlight w:val="none"/>
        </w:rPr>
      </w:pPr>
      <w:bookmarkStart w:id="45" w:name="_Toc28359098"/>
      <w:bookmarkStart w:id="46" w:name="_Toc35393808"/>
      <w:bookmarkStart w:id="47" w:name="_Toc28359021"/>
      <w:bookmarkStart w:id="48" w:name="_Toc35393639"/>
      <w:r>
        <w:rPr>
          <w:rFonts w:hint="eastAsia" w:ascii="宋体" w:hAnsi="宋体" w:cs="宋体"/>
          <w:color w:val="auto"/>
          <w:szCs w:val="21"/>
          <w:highlight w:val="none"/>
        </w:rPr>
        <w:t>3.项目联系方式</w:t>
      </w:r>
      <w:bookmarkEnd w:id="45"/>
      <w:bookmarkEnd w:id="46"/>
      <w:bookmarkEnd w:id="47"/>
      <w:bookmarkEnd w:id="48"/>
    </w:p>
    <w:p w14:paraId="1A93DA1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项目联系人：冼凌晨、钟毅、黄东</w:t>
      </w:r>
    </w:p>
    <w:p w14:paraId="32175F78">
      <w:pPr>
        <w:spacing w:line="360" w:lineRule="auto"/>
        <w:ind w:firstLine="424" w:firstLineChars="202"/>
        <w:rPr>
          <w:rFonts w:ascii="宋体" w:hAnsi="宋体"/>
          <w:color w:val="auto"/>
          <w:szCs w:val="21"/>
          <w:highlight w:val="none"/>
        </w:rPr>
      </w:pPr>
      <w:r>
        <w:rPr>
          <w:rFonts w:hint="eastAsia" w:ascii="宋体" w:hAnsi="宋体" w:cs="宋体"/>
          <w:color w:val="auto"/>
          <w:szCs w:val="21"/>
          <w:highlight w:val="none"/>
        </w:rPr>
        <w:t>电　　 话：0771-2115840</w:t>
      </w:r>
    </w:p>
    <w:p w14:paraId="4B5194F3">
      <w:pPr>
        <w:spacing w:line="360" w:lineRule="auto"/>
        <w:ind w:firstLine="420" w:firstLineChars="200"/>
        <w:jc w:val="right"/>
        <w:rPr>
          <w:rFonts w:ascii="宋体" w:hAnsi="宋体"/>
          <w:color w:val="auto"/>
          <w:szCs w:val="21"/>
          <w:highlight w:val="none"/>
        </w:rPr>
      </w:pPr>
      <w:bookmarkStart w:id="49" w:name="PO_3000001868_PM031_2"/>
      <w:r>
        <w:rPr>
          <w:rFonts w:hint="eastAsia" w:ascii="宋体" w:hAnsi="宋体"/>
          <w:color w:val="auto"/>
          <w:szCs w:val="21"/>
          <w:highlight w:val="none"/>
        </w:rPr>
        <w:t>广西交投宏冠工程咨询有限公司</w:t>
      </w:r>
      <w:bookmarkEnd w:id="49"/>
    </w:p>
    <w:p w14:paraId="3D8662EB">
      <w:pPr>
        <w:spacing w:line="360" w:lineRule="auto"/>
        <w:ind w:firstLine="424" w:firstLineChars="202"/>
        <w:jc w:val="right"/>
        <w:rPr>
          <w:color w:val="auto"/>
          <w:highlight w:val="none"/>
        </w:rPr>
      </w:pPr>
      <w:r>
        <w:rPr>
          <w:rFonts w:hint="eastAsia" w:ascii="宋体" w:hAnsi="宋体"/>
          <w:color w:val="auto"/>
          <w:szCs w:val="21"/>
          <w:highlight w:val="none"/>
        </w:rPr>
        <w:t>2026年4月  日</w:t>
      </w:r>
    </w:p>
    <w:p w14:paraId="44EA47E9">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仿宋_GB2312" w:hAnsi="宋体" w:eastAsia="仿宋_GB2312"/>
          <w:color w:val="auto"/>
          <w:sz w:val="24"/>
          <w:szCs w:val="20"/>
          <w:highlight w:val="none"/>
        </w:rPr>
        <w:br w:type="page"/>
      </w:r>
      <w:bookmarkStart w:id="50" w:name="_Toc27979"/>
      <w:r>
        <w:rPr>
          <w:rFonts w:hint="eastAsia"/>
          <w:color w:val="auto"/>
          <w:highlight w:val="none"/>
        </w:rPr>
        <w:t>第二章  采购需求</w:t>
      </w:r>
      <w:bookmarkEnd w:id="50"/>
    </w:p>
    <w:p w14:paraId="219F4842">
      <w:pPr>
        <w:spacing w:line="360" w:lineRule="auto"/>
        <w:jc w:val="left"/>
        <w:rPr>
          <w:rFonts w:ascii="宋体" w:hAnsi="宋体" w:cs="宋体"/>
          <w:color w:val="auto"/>
          <w:szCs w:val="21"/>
          <w:highlight w:val="none"/>
        </w:rPr>
      </w:pPr>
      <w:bookmarkStart w:id="51" w:name="_Toc254970490"/>
      <w:bookmarkStart w:id="52" w:name="_Toc254970631"/>
    </w:p>
    <w:p w14:paraId="1D7B3132">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09CD8A3B">
      <w:pPr>
        <w:spacing w:line="360" w:lineRule="auto"/>
        <w:ind w:firstLine="480" w:firstLineChars="200"/>
        <w:jc w:val="left"/>
        <w:rPr>
          <w:color w:val="auto"/>
          <w:sz w:val="24"/>
          <w:highlight w:val="none"/>
        </w:rPr>
      </w:pPr>
      <w:r>
        <w:rPr>
          <w:rFonts w:hint="eastAsia"/>
          <w:color w:val="auto"/>
          <w:sz w:val="24"/>
          <w:highlight w:val="none"/>
        </w:rPr>
        <w:t>1. 为落实政府采购政策需满足的要求</w:t>
      </w:r>
    </w:p>
    <w:p w14:paraId="3FFFF65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本招标文件所称中小企业必须符合《政府采购促进中小企业发展管理办法》（财库〔2020〕46号）的规定。</w:t>
      </w:r>
    </w:p>
    <w:p w14:paraId="47D2670C">
      <w:pPr>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2.“实质性要求”是指招标文件中已经指明不满足则投标无效的条款，或者不能负偏离的条款，或者采购需求中带“▲”的条款。</w:t>
      </w:r>
    </w:p>
    <w:p w14:paraId="63381BE9">
      <w:pPr>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3.采购需求中出现的品牌、型号或者生产厂家仅起参考作用，不属于指定品牌、型号或者生产厂家的情形。投标人可参照或者选用其他相当的品牌、型号或者生产厂家替代。</w:t>
      </w:r>
    </w:p>
    <w:p w14:paraId="6F09A0AF">
      <w:pPr>
        <w:spacing w:line="360" w:lineRule="auto"/>
        <w:ind w:firstLine="484" w:firstLineChars="202"/>
        <w:jc w:val="left"/>
        <w:rPr>
          <w:rStyle w:val="56"/>
          <w:color w:val="auto"/>
          <w:sz w:val="24"/>
          <w:szCs w:val="24"/>
          <w:highlight w:val="none"/>
        </w:rPr>
      </w:pPr>
      <w:r>
        <w:rPr>
          <w:rFonts w:hint="eastAsia" w:ascii="宋体" w:hAnsi="宋体" w:cs="宋体"/>
          <w:color w:val="auto"/>
          <w:sz w:val="24"/>
          <w:highlight w:val="none"/>
        </w:rPr>
        <w:t>4. 投标人应根据自身实际情况如实响应招标文件</w:t>
      </w:r>
      <w:r>
        <w:rPr>
          <w:rFonts w:hint="eastAsia" w:ascii="宋体" w:hAnsi="宋体"/>
          <w:color w:val="auto"/>
          <w:sz w:val="24"/>
          <w:highlight w:val="none"/>
        </w:rPr>
        <w:t>，对招标文件提出的要求和条件作出明确响应，</w:t>
      </w:r>
      <w:r>
        <w:rPr>
          <w:rFonts w:hint="eastAsia" w:ascii="宋体" w:hAnsi="宋体"/>
          <w:b/>
          <w:bCs/>
          <w:color w:val="auto"/>
          <w:sz w:val="24"/>
          <w:highlight w:val="none"/>
        </w:rPr>
        <w:t>否则将作无效响应处理</w:t>
      </w:r>
      <w:r>
        <w:rPr>
          <w:rFonts w:hint="eastAsia" w:ascii="宋体" w:hAnsi="宋体"/>
          <w:color w:val="auto"/>
          <w:sz w:val="24"/>
          <w:highlight w:val="none"/>
        </w:rPr>
        <w:t>。</w:t>
      </w:r>
      <w:r>
        <w:rPr>
          <w:rFonts w:hint="eastAsia"/>
          <w:color w:val="auto"/>
          <w:sz w:val="24"/>
          <w:highlight w:val="none"/>
        </w:rPr>
        <w:t>对于重要技术条款或技术参数应当在投标文件中提供技术支持资料，技术支持资料以招标文件中规定的形式为准，</w:t>
      </w:r>
      <w:r>
        <w:rPr>
          <w:rFonts w:hint="eastAsia"/>
          <w:b/>
          <w:bCs/>
          <w:color w:val="auto"/>
          <w:sz w:val="24"/>
          <w:highlight w:val="none"/>
        </w:rPr>
        <w:t>否则将视为无效技术支持资料</w:t>
      </w:r>
      <w:r>
        <w:rPr>
          <w:rFonts w:hint="eastAsia"/>
          <w:color w:val="auto"/>
          <w:sz w:val="24"/>
          <w:highlight w:val="none"/>
        </w:rPr>
        <w:t>。</w:t>
      </w:r>
    </w:p>
    <w:p w14:paraId="59A2523B">
      <w:pPr>
        <w:spacing w:line="360" w:lineRule="auto"/>
        <w:ind w:firstLine="352" w:firstLineChars="147"/>
        <w:jc w:val="left"/>
        <w:rPr>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color w:val="auto"/>
          <w:sz w:val="24"/>
          <w:highlight w:val="none"/>
        </w:rPr>
        <w:t>投标人</w:t>
      </w:r>
      <w:r>
        <w:rPr>
          <w:color w:val="auto"/>
          <w:sz w:val="24"/>
          <w:highlight w:val="none"/>
        </w:rPr>
        <w:t>必须自行为其</w:t>
      </w:r>
      <w:r>
        <w:rPr>
          <w:rFonts w:hint="eastAsia"/>
          <w:color w:val="auto"/>
          <w:sz w:val="24"/>
          <w:highlight w:val="none"/>
        </w:rPr>
        <w:t>投标</w:t>
      </w:r>
      <w:r>
        <w:rPr>
          <w:color w:val="auto"/>
          <w:sz w:val="24"/>
          <w:highlight w:val="none"/>
        </w:rPr>
        <w:t>产品侵犯</w:t>
      </w:r>
      <w:r>
        <w:rPr>
          <w:rFonts w:hint="eastAsia"/>
          <w:color w:val="auto"/>
          <w:sz w:val="24"/>
          <w:highlight w:val="none"/>
        </w:rPr>
        <w:t>他人的知识产权或者专利成果的行为</w:t>
      </w:r>
      <w:r>
        <w:rPr>
          <w:color w:val="auto"/>
          <w:sz w:val="24"/>
          <w:highlight w:val="none"/>
        </w:rPr>
        <w:t>承担相应法律责任</w:t>
      </w:r>
      <w:r>
        <w:rPr>
          <w:rFonts w:hint="eastAsia"/>
          <w:color w:val="auto"/>
          <w:sz w:val="24"/>
          <w:highlight w:val="none"/>
        </w:rPr>
        <w:t>。</w:t>
      </w:r>
    </w:p>
    <w:p w14:paraId="4481DBF3">
      <w:pPr>
        <w:spacing w:line="360" w:lineRule="auto"/>
        <w:ind w:firstLine="352" w:firstLineChars="147"/>
        <w:jc w:val="left"/>
        <w:rPr>
          <w:color w:val="auto"/>
          <w:sz w:val="24"/>
          <w:highlight w:val="none"/>
        </w:rPr>
      </w:pPr>
      <w:r>
        <w:rPr>
          <w:rFonts w:hint="eastAsia" w:ascii="宋体" w:hAnsi="宋体" w:cs="宋体"/>
          <w:color w:val="auto"/>
          <w:sz w:val="24"/>
          <w:highlight w:val="none"/>
        </w:rPr>
        <w:t>6.所属行业依照</w:t>
      </w:r>
      <w:r>
        <w:rPr>
          <w:rFonts w:hint="eastAsia"/>
          <w:color w:val="auto"/>
          <w:sz w:val="24"/>
          <w:highlight w:val="none"/>
        </w:rPr>
        <w:t>《中小企业划型标准规定》（工信部联企业〔2011〕300号）及《国民经济行业分类》（GB/T4754-2017）的有关规定执行。本项目标的所属行业均为</w:t>
      </w:r>
      <w:r>
        <w:rPr>
          <w:rFonts w:hint="eastAsia"/>
          <w:b/>
          <w:bCs/>
          <w:color w:val="auto"/>
          <w:sz w:val="24"/>
          <w:highlight w:val="none"/>
        </w:rPr>
        <w:t>“其他未列明行业”</w:t>
      </w:r>
      <w:r>
        <w:rPr>
          <w:rFonts w:hint="eastAsia"/>
          <w:color w:val="auto"/>
          <w:sz w:val="24"/>
          <w:highlight w:val="none"/>
        </w:rPr>
        <w:t>。</w:t>
      </w:r>
    </w:p>
    <w:p w14:paraId="15296145">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br w:type="page"/>
      </w:r>
    </w:p>
    <w:bookmarkEnd w:id="51"/>
    <w:bookmarkEnd w:id="52"/>
    <w:p w14:paraId="5A26DD8F">
      <w:pPr>
        <w:pStyle w:val="7"/>
        <w:ind w:firstLine="0"/>
        <w:outlineLvl w:val="2"/>
        <w:rPr>
          <w:rFonts w:ascii="宋体" w:hAnsi="宋体" w:cs="宋体"/>
          <w:b/>
          <w:bCs/>
          <w:color w:val="auto"/>
          <w:sz w:val="24"/>
          <w:szCs w:val="24"/>
          <w:highlight w:val="none"/>
        </w:rPr>
      </w:pPr>
    </w:p>
    <w:p w14:paraId="67B04AF9">
      <w:pPr>
        <w:spacing w:line="400" w:lineRule="exact"/>
        <w:ind w:firstLine="310" w:firstLineChars="147"/>
        <w:jc w:val="left"/>
        <w:rPr>
          <w:rFonts w:ascii="宋体" w:hAnsi="宋体" w:cs="Arial"/>
          <w:bCs/>
          <w:color w:val="auto"/>
          <w:szCs w:val="21"/>
          <w:highlight w:val="none"/>
          <w:u w:val="single"/>
        </w:rPr>
      </w:pPr>
      <w:r>
        <w:rPr>
          <w:rFonts w:hint="eastAsia" w:ascii="宋体" w:hAnsi="宋体" w:cs="Arial"/>
          <w:b/>
          <w:color w:val="auto"/>
          <w:szCs w:val="21"/>
          <w:highlight w:val="none"/>
          <w:u w:val="single"/>
        </w:rPr>
        <w:t xml:space="preserve"> 1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235E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403646C6">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754D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F555483">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0EB0D983">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3CB5095D">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0A689DDC">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7BF1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7" w:hRule="atLeast"/>
          <w:jc w:val="center"/>
        </w:trPr>
        <w:tc>
          <w:tcPr>
            <w:tcW w:w="686" w:type="dxa"/>
            <w:tcBorders>
              <w:top w:val="single" w:color="auto" w:sz="4" w:space="0"/>
              <w:left w:val="single" w:color="auto" w:sz="4" w:space="0"/>
              <w:right w:val="single" w:color="auto" w:sz="4" w:space="0"/>
            </w:tcBorders>
            <w:vAlign w:val="center"/>
          </w:tcPr>
          <w:p w14:paraId="0206DD33">
            <w:pPr>
              <w:pStyle w:val="23"/>
              <w:spacing w:line="360" w:lineRule="auto"/>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553B1D50">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lang w:bidi="ar"/>
              </w:rPr>
              <w:t>广西道路运输大数据预警研判技术服务</w:t>
            </w:r>
          </w:p>
        </w:tc>
        <w:tc>
          <w:tcPr>
            <w:tcW w:w="756" w:type="dxa"/>
            <w:tcBorders>
              <w:top w:val="single" w:color="auto" w:sz="4" w:space="0"/>
              <w:left w:val="single" w:color="auto" w:sz="4" w:space="0"/>
              <w:right w:val="single" w:color="auto" w:sz="4" w:space="0"/>
            </w:tcBorders>
            <w:vAlign w:val="center"/>
          </w:tcPr>
          <w:p w14:paraId="6EAFBD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76554DE2">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一、广西道路运输预警研判大数据平台运行维护服务</w:t>
            </w:r>
          </w:p>
          <w:p w14:paraId="751C0847">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提供7*24小时的热线电话技术支持服务。提供的系统符合等保二级安全要求并做好等级保护测评工作。保障面向管理部门、运输企业及驾驶员的服务质量。定期对系统的运行进行监控，避免或减少系统故障，保持业务持续性运行。</w:t>
            </w:r>
          </w:p>
          <w:p w14:paraId="53CDFB45">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二、大数据处理和分析</w:t>
            </w:r>
          </w:p>
          <w:p w14:paraId="5C5F66E6">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按照“两客一危”车辆安全码赋码规则和分类分级监管工作要求，根据赋码规则，对车辆数据进行汇总、分析、处理、赋码等，并与交通运输部进行数据交互。</w:t>
            </w:r>
          </w:p>
          <w:p w14:paraId="5A3C76D1">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（一）提供“两客一危”车辆全量数据汇聚与治理</w:t>
            </w:r>
          </w:p>
          <w:p w14:paraId="177A9730">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对接广西道路运输管理信息系统、电子运单、动态监控、公安交管、高速门架等多源异构数据，实现全区“两客一危”车辆基础信息、运行轨迹、违法违章、事故记录、证照状态、驾驶员行为等数据的实时汇聚与离线归集；开展数据清洗、去重、校验与标准化处理，确保数据完整性。</w:t>
            </w:r>
          </w:p>
          <w:p w14:paraId="2BAF4AEE">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（二）提供安全码智能赋码模型与部署</w:t>
            </w:r>
          </w:p>
          <w:p w14:paraId="5DA13815">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依据交通运输部最新发布的《“两客一危”车辆安全码赋码规则》，构建可配置、可扩展、可审计的赋码数据模型；赋码结果按“红、黄、绿”三色动态生成，更新频率每周一次。</w:t>
            </w:r>
          </w:p>
          <w:p w14:paraId="0D5FC32C">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（三）提供赋码结果展示（包括管理端、企业端、移动端）、申诉等功能。</w:t>
            </w:r>
          </w:p>
          <w:p w14:paraId="795EC8EC">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1、管理端：提供监管后台，支持按区域、企业、车辆类型等维度统计分析安全码分布、趋势变化、高风险聚集点，辅助精准执法与督导。</w:t>
            </w:r>
          </w:p>
          <w:p w14:paraId="3BBF420D">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2、企业端：开放企业自查入口，支持查看所属车辆安全码状态、风险明细、整改建议，并在线提交申诉材料。</w:t>
            </w:r>
          </w:p>
          <w:p w14:paraId="29280844">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3、移动端（含APP或小程序）：面向公众提供车辆赋码查询、历史记录查询等功能。</w:t>
            </w:r>
          </w:p>
          <w:p w14:paraId="0305D2CF">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建立申诉—复核—修正—反馈闭环机制，确保赋码结果公平、透明。</w:t>
            </w:r>
          </w:p>
          <w:p w14:paraId="2FDBDF47">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（四）与交通运输部系统对接与数据交互</w:t>
            </w:r>
          </w:p>
          <w:p w14:paraId="34B49865">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1、按照部级接口规范，实现安全码结果、车辆风险标签、申诉处理状态等数据的自动上报与双向同步。</w:t>
            </w:r>
          </w:p>
          <w:p w14:paraId="1E028B21">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2、确保数据格式、编码标准、传输协议符合《交通运输政务数据资源目录》及部级共享交换平台要求。</w:t>
            </w:r>
          </w:p>
          <w:p w14:paraId="20CD7228">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三、客服人员服务</w:t>
            </w:r>
          </w:p>
          <w:p w14:paraId="362FEB30">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安排两名客服人员，负责对道路运输赋码结果进行申诉受理与核查处理。具体工作内容包括：</w:t>
            </w:r>
          </w:p>
          <w:p w14:paraId="7BD1FE18">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1、申诉接收与登记：通过电话、在线客服系统、政务服务平台等渠道，及时接收企业和个人针对赋码结果提出的申诉请求，详细记录申诉人信息、涉及业务类型、赋码编号、申诉事由及佐证材料。</w:t>
            </w:r>
          </w:p>
          <w:p w14:paraId="038E4AC1">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2、问题核查与数据比对：根据申诉内容，调取相关业务系统数据，对赋码依据进行逐项核查，比对原始申报信息、审批流程、规则引擎执行日志等，查明赋码异常原因。</w:t>
            </w:r>
          </w:p>
          <w:p w14:paraId="170365B3">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3、跨部门协调与反馈：对于涉及多系统、多环节的复杂申诉，主动协调业务审批、技术运维、数据管理等相关职能部门，核实数据流转与规则配置情况，确保核查结果准确、全面。</w:t>
            </w:r>
          </w:p>
          <w:p w14:paraId="1DDDA303">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4、处理意见提出与结果反馈：根据核查情况，依法依规提出处理建议，对确属系统错误或数据异常的赋码结果，及时提交修正申请；同时向申诉人清晰说明核查过程与处理结果，做好政策解释与沟通安抚工作。</w:t>
            </w:r>
          </w:p>
          <w:p w14:paraId="73290113">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5、台账管理与数据分析：建立赋码申诉处理台账，分类归集常见问题类型、高频申诉事项、系统缺陷反馈等信息，定期形成分析报告，为优化赋码规则、改进系统逻辑、提升服务质量提供数据支撑。</w:t>
            </w:r>
          </w:p>
          <w:p w14:paraId="0663D6BE">
            <w:pPr>
              <w:spacing w:line="360" w:lineRule="auto"/>
              <w:ind w:firstLine="420" w:firstLineChars="200"/>
              <w:rPr>
                <w:color w:val="auto"/>
                <w:szCs w:val="21"/>
                <w:highlight w:val="none"/>
              </w:rPr>
            </w:pPr>
            <w:r>
              <w:rPr>
                <w:rFonts w:hint="eastAsia" w:ascii="宋体" w:hAnsi="宋体" w:cs="宋体"/>
                <w:color w:val="auto"/>
                <w:kern w:val="0"/>
                <w:szCs w:val="21"/>
                <w:highlight w:val="none"/>
                <w:lang w:bidi="ar"/>
              </w:rPr>
              <w:t>6、服务规范与知识库维护：持续更新赋码政策与技术规则知识库，参与客服流程优化，提升响应效率与用户满意度，确保申诉处理工作规范化、标准化、高效化。</w:t>
            </w:r>
          </w:p>
        </w:tc>
      </w:tr>
      <w:tr w14:paraId="33E5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8" w:type="dxa"/>
            <w:gridSpan w:val="4"/>
            <w:tcBorders>
              <w:top w:val="single" w:color="auto" w:sz="4" w:space="0"/>
              <w:left w:val="single" w:color="auto" w:sz="4" w:space="0"/>
              <w:right w:val="single" w:color="auto" w:sz="4" w:space="0"/>
            </w:tcBorders>
            <w:vAlign w:val="center"/>
          </w:tcPr>
          <w:p w14:paraId="1B5305E9">
            <w:pPr>
              <w:spacing w:line="360" w:lineRule="auto"/>
              <w:rPr>
                <w:b/>
                <w:color w:val="auto"/>
                <w:szCs w:val="21"/>
                <w:highlight w:val="none"/>
              </w:rPr>
            </w:pPr>
            <w:r>
              <w:rPr>
                <w:rFonts w:hint="eastAsia" w:ascii="宋体" w:hAnsi="宋体"/>
                <w:b/>
                <w:color w:val="auto"/>
                <w:szCs w:val="21"/>
                <w:highlight w:val="none"/>
              </w:rPr>
              <w:t>商务要求表</w:t>
            </w:r>
          </w:p>
        </w:tc>
      </w:tr>
      <w:tr w14:paraId="2FCA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0412EA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5B6525EC">
            <w:pPr>
              <w:spacing w:line="360" w:lineRule="auto"/>
              <w:rPr>
                <w:color w:val="auto"/>
                <w:szCs w:val="21"/>
                <w:highlight w:val="none"/>
              </w:rPr>
            </w:pPr>
            <w:r>
              <w:rPr>
                <w:rFonts w:hint="eastAsia" w:hAnsi="宋体"/>
                <w:color w:val="auto"/>
                <w:szCs w:val="21"/>
                <w:highlight w:val="none"/>
              </w:rPr>
              <w:t>2</w:t>
            </w:r>
            <w:r>
              <w:rPr>
                <w:rFonts w:hAnsi="宋体"/>
                <w:color w:val="auto"/>
                <w:szCs w:val="21"/>
                <w:highlight w:val="none"/>
              </w:rPr>
              <w:t>026年</w:t>
            </w:r>
            <w:r>
              <w:rPr>
                <w:rFonts w:hint="eastAsia" w:hAnsi="宋体"/>
                <w:color w:val="auto"/>
                <w:szCs w:val="21"/>
                <w:highlight w:val="none"/>
              </w:rPr>
              <w:t>7月1日至2</w:t>
            </w:r>
            <w:r>
              <w:rPr>
                <w:rFonts w:hAnsi="宋体"/>
                <w:color w:val="auto"/>
                <w:szCs w:val="21"/>
                <w:highlight w:val="none"/>
              </w:rPr>
              <w:t>027年</w:t>
            </w:r>
            <w:r>
              <w:rPr>
                <w:rFonts w:hint="eastAsia" w:hAnsi="宋体"/>
                <w:color w:val="auto"/>
                <w:szCs w:val="21"/>
                <w:highlight w:val="none"/>
              </w:rPr>
              <w:t>6月3</w:t>
            </w:r>
            <w:r>
              <w:rPr>
                <w:rFonts w:hAnsi="宋体"/>
                <w:color w:val="auto"/>
                <w:szCs w:val="21"/>
                <w:highlight w:val="none"/>
              </w:rPr>
              <w:t>0日</w:t>
            </w:r>
          </w:p>
        </w:tc>
      </w:tr>
      <w:tr w14:paraId="5DA8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0861679D">
            <w:pPr>
              <w:tabs>
                <w:tab w:val="left" w:pos="180"/>
                <w:tab w:val="left" w:pos="1620"/>
              </w:tabs>
              <w:spacing w:line="360" w:lineRule="auto"/>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02ECAF8F">
            <w:pPr>
              <w:tabs>
                <w:tab w:val="left" w:pos="180"/>
                <w:tab w:val="left" w:pos="1620"/>
              </w:tabs>
              <w:spacing w:line="360" w:lineRule="auto"/>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7C86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87" w:type="dxa"/>
            <w:gridSpan w:val="2"/>
            <w:tcBorders>
              <w:top w:val="single" w:color="auto" w:sz="4" w:space="0"/>
              <w:left w:val="single" w:color="auto" w:sz="4" w:space="0"/>
              <w:right w:val="single" w:color="auto" w:sz="4" w:space="0"/>
            </w:tcBorders>
            <w:vAlign w:val="center"/>
          </w:tcPr>
          <w:p w14:paraId="4D1C1F5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08C1790C">
            <w:pPr>
              <w:spacing w:line="360" w:lineRule="auto"/>
              <w:rPr>
                <w:color w:val="auto"/>
                <w:szCs w:val="21"/>
                <w:highlight w:val="none"/>
              </w:rPr>
            </w:pPr>
            <w:r>
              <w:rPr>
                <w:rFonts w:hint="eastAsia" w:ascii="宋体" w:hAnsi="宋体"/>
                <w:color w:val="auto"/>
                <w:szCs w:val="21"/>
                <w:highlight w:val="none"/>
              </w:rPr>
              <w:t>广西区内（采购人指定地点）</w:t>
            </w:r>
          </w:p>
        </w:tc>
      </w:tr>
      <w:tr w14:paraId="7F7A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371F93C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4E251911">
            <w:pPr>
              <w:spacing w:line="360" w:lineRule="auto"/>
              <w:rPr>
                <w:rFonts w:ascii="宋体" w:hAnsi="宋体"/>
                <w:color w:val="auto"/>
                <w:szCs w:val="21"/>
                <w:highlight w:val="none"/>
              </w:rPr>
            </w:pPr>
            <w:r>
              <w:rPr>
                <w:rFonts w:hint="eastAsia" w:ascii="宋体" w:hAnsi="宋体"/>
                <w:color w:val="auto"/>
                <w:szCs w:val="21"/>
                <w:highlight w:val="none"/>
              </w:rPr>
              <w:t>该项目2026年支付42.726万，签订合同后十五个工作日内，采购人向成交供应商支付42.762万元的50%；完成服务能力验收后三个月内，采购人向成交供应商支付42.762万元的50%，剩余部分在2027年支付。采购人付款前，成交供应商应向采购人开具等额有效的增值税发票，采购人未收到发票的，有权不予支付相应款项直至成交供应商提供合格发票，并不承担延迟付款责任。</w:t>
            </w:r>
          </w:p>
          <w:p w14:paraId="10FC63C6">
            <w:pPr>
              <w:spacing w:line="360" w:lineRule="auto"/>
              <w:rPr>
                <w:color w:val="auto"/>
                <w:szCs w:val="21"/>
                <w:highlight w:val="none"/>
              </w:rPr>
            </w:pPr>
            <w:r>
              <w:rPr>
                <w:rFonts w:hint="eastAsia" w:ascii="宋体" w:hAnsi="宋体"/>
                <w:color w:val="auto"/>
                <w:szCs w:val="21"/>
                <w:highlight w:val="none"/>
              </w:rPr>
              <w:t>注：如中标价格低于42.762万元，则按相同比例在2026年完成支付。</w:t>
            </w:r>
          </w:p>
        </w:tc>
      </w:tr>
      <w:tr w14:paraId="07B0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7C72B73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1351670E">
            <w:pPr>
              <w:spacing w:line="360" w:lineRule="auto"/>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2EF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37A329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1EC6079E">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3E4A2C19">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56016FBC">
            <w:pPr>
              <w:spacing w:line="360" w:lineRule="auto"/>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476E48E5">
            <w:pPr>
              <w:spacing w:line="360" w:lineRule="auto"/>
              <w:rPr>
                <w:rFonts w:ascii="宋体" w:hAnsi="宋体" w:cs="宋体"/>
                <w:color w:val="auto"/>
                <w:szCs w:val="21"/>
                <w:highlight w:val="none"/>
              </w:rPr>
            </w:pPr>
            <w:r>
              <w:rPr>
                <w:rFonts w:hint="eastAsia" w:ascii="宋体" w:hAnsi="宋体" w:cs="宋体"/>
                <w:color w:val="auto"/>
                <w:szCs w:val="21"/>
                <w:highlight w:val="none"/>
              </w:rPr>
              <w:t>▲3、投标人</w:t>
            </w:r>
            <w:bookmarkStart w:id="53" w:name="OLE_LINK6"/>
            <w:r>
              <w:rPr>
                <w:rFonts w:hint="eastAsia" w:ascii="宋体" w:hAnsi="宋体" w:cs="宋体"/>
                <w:color w:val="auto"/>
                <w:kern w:val="0"/>
                <w:szCs w:val="21"/>
                <w:highlight w:val="none"/>
                <w:lang w:bidi="ar"/>
              </w:rPr>
              <w:t>提供7*24小时的热线电话技术支持服务，保障面向管理部门、运输企业及驾驶员的服务质量。定期对系统的运行进行监控，避免或减少系统故障，保持业务持续性运行。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提供的系统符合等保二级安全要求并做好等级保护测评工作</w:t>
            </w:r>
            <w:r>
              <w:rPr>
                <w:rFonts w:hint="eastAsia" w:ascii="宋体" w:hAnsi="宋体" w:cs="宋体"/>
                <w:bCs/>
                <w:color w:val="auto"/>
                <w:szCs w:val="21"/>
                <w:highlight w:val="none"/>
              </w:rPr>
              <w:t>。</w:t>
            </w:r>
          </w:p>
          <w:bookmarkEnd w:id="53"/>
          <w:p w14:paraId="03165996">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2EC8415C">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41AC2FFC">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33CD6A58">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0D10CE31">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1E0C33BE">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7EBB96C3">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56272354">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2837A1D1">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85B8228">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1CB5A72E">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55325ABD">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7EFD876A">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6A019C07">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0058F74C">
      <w:pPr>
        <w:spacing w:line="360" w:lineRule="auto"/>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2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1F7D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7C773A7F">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68A4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F145CE9">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67C06170">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67443E73">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22A348AB">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6DEE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1BE25A79">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78110718">
            <w:pPr>
              <w:spacing w:line="38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广西道路运输驾驶员继续教育与从业资格考试技术服务</w:t>
            </w:r>
          </w:p>
        </w:tc>
        <w:tc>
          <w:tcPr>
            <w:tcW w:w="756" w:type="dxa"/>
            <w:tcBorders>
              <w:top w:val="single" w:color="auto" w:sz="4" w:space="0"/>
              <w:left w:val="single" w:color="auto" w:sz="4" w:space="0"/>
              <w:right w:val="single" w:color="auto" w:sz="4" w:space="0"/>
            </w:tcBorders>
            <w:vAlign w:val="center"/>
          </w:tcPr>
          <w:p w14:paraId="201A1C8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42862C92">
            <w:pPr>
              <w:pStyle w:val="29"/>
              <w:numPr>
                <w:ilvl w:val="0"/>
                <w:numId w:val="3"/>
              </w:num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广西道路运输驾驶员继续教育系统运维服务</w:t>
            </w:r>
          </w:p>
          <w:p w14:paraId="36A0F797">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提供“广西道路运输驾驶员继续教育系统”技术运维服务，支撑全区道路运输驾驶员（包括经营性道路客货运输驾驶员和道路危险货物运输驾驶员）的继续教育18个学时的网上学习的需求。</w:t>
            </w:r>
          </w:p>
          <w:p w14:paraId="57A0BDA5">
            <w:pPr>
              <w:pStyle w:val="29"/>
              <w:numPr>
                <w:ilvl w:val="0"/>
                <w:numId w:val="3"/>
              </w:num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广西道路运输从业资格考试系统运维服务</w:t>
            </w:r>
          </w:p>
          <w:p w14:paraId="74691174">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提供“广西道路运输从业资格考试系统” 技术服务，支撑广西全区范围内的交通运输主管部门对本辖区申请出租汽车从业资格证的驾驶员进行考试、考务管理。系统包括报名、资格审核、成绩查询、考试计划管理、学员考试、补考管理、试题管理、考点管理、考场管理、科目管理、试卷管理、系统设置等功能。实现出租汽车驾驶员从报名、考试、发证全流程闭环管理，并与出租汽车驾驶员的“扫脸即办”实现无缝衔接。</w:t>
            </w:r>
            <w:r>
              <w:rPr>
                <w:rFonts w:hint="eastAsia" w:ascii="宋体" w:hAnsi="宋体" w:cs="宋体"/>
                <w:color w:val="auto"/>
                <w:sz w:val="21"/>
                <w:szCs w:val="21"/>
                <w:highlight w:val="none"/>
                <w:lang w:bidi="ar"/>
              </w:rPr>
              <w:br w:type="textWrapping"/>
            </w:r>
            <w:r>
              <w:rPr>
                <w:rFonts w:hint="eastAsia" w:ascii="宋体" w:hAnsi="宋体" w:cs="宋体"/>
                <w:color w:val="auto"/>
                <w:sz w:val="21"/>
                <w:szCs w:val="21"/>
                <w:highlight w:val="none"/>
                <w:lang w:bidi="ar"/>
              </w:rPr>
              <w:t xml:space="preserve">    三、继续教育和考试系统功能升级优化</w:t>
            </w:r>
          </w:p>
          <w:p w14:paraId="62CD7267">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课件模板制作。支持管理员创建标准化课件模板（含封面、章节结构等），模板可按培训类型（如危货运输、普货驾驶、企业负责人安全培训等）分类管理；确保全区课件风格统一、内容合规、符合行业培训规范。</w:t>
            </w:r>
          </w:p>
          <w:p w14:paraId="13322EED">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2、课件在线编辑。支持修改课件名称、封面、岗位分类、课件类型及视频内容</w:t>
            </w:r>
          </w:p>
          <w:p w14:paraId="5B497B53">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3、课件导入。支持单个视频文件导入并自动转换为标准课件结构；导入时可选择绑定对应模板，确保格式统一；减少人工重制成本，盘活存量教学资源。</w:t>
            </w:r>
          </w:p>
          <w:p w14:paraId="197A7E9D">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4、课件修改与版本管理。已发布课件支持在线修订，支持以数据库备份的方式进行数据的版本管理；确保内容权威性与合规性；避免因内容错误导致培训失效或法律风险。</w:t>
            </w:r>
          </w:p>
          <w:p w14:paraId="07370746">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5、课件启用/停用。管理员可根据政策调整、法规更新或培训计划，通过后台数据管理对课件进行"启用"或"停用"操作，实现培训内容的动态调控，保障政策执行的时效性；停用课件不再对学员开放，但历史学习记录仍可追溯</w:t>
            </w:r>
          </w:p>
          <w:p w14:paraId="7643771E">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6、课件删除（受控）。仅允许删除未被引用、无学习记录的草稿或废弃课件；删除操作需二次确认，并记录操作日志，确保数据安全与审计合规；严防误删影响已开展的培训业务。</w:t>
            </w:r>
          </w:p>
          <w:p w14:paraId="135C379A">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7、报名流程重构。优化考生报名入口，支持“一表申请、双证同报”，自动识别考生报考类型（巡游/网约/双证）；简化信息填报项，通过对接“广西运政”平台实现身份证、驾驶证等基础信息自动填充，减少人工录入错误；增设资格预审环节，系统自动校验驾龄、无犯罪记录等准入条件，不符合者即时提示，避免无效报名。</w:t>
            </w:r>
          </w:p>
          <w:p w14:paraId="17967060">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8、根据交通运输部《出租汽车驾驶员从业资格考试大纲》及广西地方补充要求，定制"一考双证"专用题库结构，包含公共科目（通用法规、安全服务）与区域科目（柳州地方政策、地理知识）；支持按"双证融合"逻辑设置组卷规则（总题量100题，其中全国题目50题+区域题目50题，双证共用一套试卷）；完成不少于1500道试题的标准化导入、分类标注与审核发布，确保题库权威、合规、可追溯。</w:t>
            </w:r>
          </w:p>
          <w:p w14:paraId="11E22417">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9、考试功能优化。升级考试客户端，支持断网续考、异常自动保存等功能，增加考试过程日志记录，满足审计与争议复核需求，保障考试公正透明</w:t>
            </w:r>
          </w:p>
          <w:p w14:paraId="1CE5B356">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10、运政数据接口对接与发证流程调整。对接自治区运政业务系统接口，考试合格后自动触发双证并行制证流程；实现成绩数据、考生信息、证件类型等关键字段的结构化回传，支撑电子证照自动生成；取消原有人工转录环节，确保证件核发“零延迟、零差错”，真正实现“考完即发证”。</w:t>
            </w:r>
          </w:p>
          <w:p w14:paraId="188D22F3">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四、运营服务</w:t>
            </w:r>
          </w:p>
          <w:p w14:paraId="0D6B8F9E">
            <w:pPr>
              <w:spacing w:line="360" w:lineRule="auto"/>
              <w:ind w:firstLine="420" w:firstLineChars="200"/>
              <w:rPr>
                <w:color w:val="auto"/>
                <w:szCs w:val="21"/>
                <w:highlight w:val="none"/>
              </w:rPr>
            </w:pPr>
            <w:r>
              <w:rPr>
                <w:rFonts w:hint="eastAsia" w:ascii="宋体" w:hAnsi="宋体" w:cs="宋体"/>
                <w:color w:val="auto"/>
                <w:kern w:val="0"/>
                <w:szCs w:val="21"/>
                <w:highlight w:val="none"/>
                <w:lang w:bidi="ar"/>
              </w:rPr>
              <w:t>提供2名客服人员，面向全区各级交通运输管理机构、道路运输企业和96万驾驶员提供5*8在线客服咨询业务，实时响应内外部服务请求，详细记录问题解决情况。包括通过网络、电话远程业务咨询、技术协助，必要时现场业务培训及技术支持等方式。</w:t>
            </w:r>
          </w:p>
        </w:tc>
      </w:tr>
      <w:tr w14:paraId="1874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7F0EFB48">
            <w:pPr>
              <w:spacing w:line="340" w:lineRule="exact"/>
              <w:rPr>
                <w:b/>
                <w:color w:val="auto"/>
                <w:szCs w:val="21"/>
                <w:highlight w:val="none"/>
              </w:rPr>
            </w:pPr>
            <w:r>
              <w:rPr>
                <w:rFonts w:hint="eastAsia" w:ascii="宋体" w:hAnsi="宋体"/>
                <w:b/>
                <w:color w:val="auto"/>
                <w:szCs w:val="21"/>
                <w:highlight w:val="none"/>
              </w:rPr>
              <w:t>商务要求表</w:t>
            </w:r>
          </w:p>
        </w:tc>
      </w:tr>
      <w:tr w14:paraId="6C4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7E66E2D2">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17FFEE27">
            <w:pPr>
              <w:spacing w:line="340" w:lineRule="exact"/>
              <w:rPr>
                <w:color w:val="auto"/>
                <w:szCs w:val="21"/>
                <w:highlight w:val="none"/>
              </w:rPr>
            </w:pPr>
            <w:r>
              <w:rPr>
                <w:rFonts w:hint="eastAsia" w:hAnsi="宋体"/>
                <w:color w:val="auto"/>
                <w:szCs w:val="21"/>
                <w:highlight w:val="none"/>
              </w:rPr>
              <w:t>2</w:t>
            </w:r>
            <w:r>
              <w:rPr>
                <w:rFonts w:hAnsi="宋体"/>
                <w:color w:val="auto"/>
                <w:szCs w:val="21"/>
                <w:highlight w:val="none"/>
              </w:rPr>
              <w:t>026年</w:t>
            </w:r>
            <w:r>
              <w:rPr>
                <w:rFonts w:hint="eastAsia" w:hAnsi="宋体"/>
                <w:color w:val="auto"/>
                <w:szCs w:val="21"/>
                <w:highlight w:val="none"/>
              </w:rPr>
              <w:t>7月1日至2</w:t>
            </w:r>
            <w:r>
              <w:rPr>
                <w:rFonts w:hAnsi="宋体"/>
                <w:color w:val="auto"/>
                <w:szCs w:val="21"/>
                <w:highlight w:val="none"/>
              </w:rPr>
              <w:t>027年6月</w:t>
            </w:r>
            <w:r>
              <w:rPr>
                <w:rFonts w:hint="eastAsia" w:hAnsi="宋体"/>
                <w:color w:val="auto"/>
                <w:szCs w:val="21"/>
                <w:highlight w:val="none"/>
              </w:rPr>
              <w:t>3</w:t>
            </w:r>
            <w:r>
              <w:rPr>
                <w:rFonts w:hAnsi="宋体"/>
                <w:color w:val="auto"/>
                <w:szCs w:val="21"/>
                <w:highlight w:val="none"/>
              </w:rPr>
              <w:t>0日</w:t>
            </w:r>
          </w:p>
        </w:tc>
      </w:tr>
      <w:tr w14:paraId="3D6A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49CF88E">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5D896D72">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3DF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1B3E980F">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43861B64">
            <w:pPr>
              <w:spacing w:line="380" w:lineRule="exact"/>
              <w:rPr>
                <w:color w:val="auto"/>
                <w:szCs w:val="21"/>
                <w:highlight w:val="none"/>
              </w:rPr>
            </w:pPr>
            <w:r>
              <w:rPr>
                <w:rFonts w:hint="eastAsia" w:ascii="宋体" w:hAnsi="宋体"/>
                <w:color w:val="auto"/>
                <w:szCs w:val="21"/>
                <w:highlight w:val="none"/>
              </w:rPr>
              <w:t>广西区内（采购人指定地点）</w:t>
            </w:r>
          </w:p>
        </w:tc>
      </w:tr>
      <w:tr w14:paraId="3AE7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0BE1FDC0">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28BA0B5D">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签订合同后十个工作日内，采购人向中标供应商支付全部合同金额的50%;在中标供应商签订合同</w:t>
            </w:r>
            <w:r>
              <w:rPr>
                <w:rFonts w:ascii="宋体" w:hAnsi="宋体"/>
                <w:color w:val="auto"/>
                <w:szCs w:val="21"/>
                <w:highlight w:val="none"/>
              </w:rPr>
              <w:t>2</w:t>
            </w:r>
            <w:r>
              <w:rPr>
                <w:rFonts w:hint="eastAsia" w:ascii="宋体" w:hAnsi="宋体"/>
                <w:color w:val="auto"/>
                <w:szCs w:val="21"/>
                <w:highlight w:val="none"/>
              </w:rPr>
              <w:t>个月后，由采购人对中标供应商的服务能力验收，验收通过后，采购人于10个工作日内向中标供应商支付30%合同款;在中标供应商签订合同4个月后，采购人于10个工作日内向中标供应商支付20%合同款。采购人付款前，中标供应商应向采购人开具等额有效的增值税发票，采购人未收到发票的，有权不予支付相应款项直至中标供应商提供合格发票，并不承担延迟付款责任。</w:t>
            </w:r>
          </w:p>
        </w:tc>
      </w:tr>
      <w:tr w14:paraId="7D22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00E9386E">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70B413B0">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3F54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89042CA">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4A21ADC0">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6A1452F0">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67D16024">
            <w:pPr>
              <w:spacing w:line="360" w:lineRule="auto"/>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3BA9390D">
            <w:pP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3、提供系统软件的日常运维服务，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面向管理部门提供</w:t>
            </w: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7*24小时的热线电话技术支持服务。</w:t>
            </w:r>
          </w:p>
          <w:p w14:paraId="7A4CE473">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076A470B">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4DE99A40">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529C2C75">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18D9000A">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4B51E401">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50AB96DB">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632771CB">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66E643FB">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296EDA65">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4168C1D3">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471C0EBE">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1353B5A4">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2551944C">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18A3304C">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3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3B36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1756FE53">
            <w:pPr>
              <w:pStyle w:val="23"/>
              <w:spacing w:line="340" w:lineRule="exact"/>
              <w:ind w:firstLine="316" w:firstLineChars="150"/>
              <w:jc w:val="center"/>
              <w:rPr>
                <w:rFonts w:hAnsi="宋体"/>
                <w:b/>
                <w:sz w:val="21"/>
              </w:rPr>
            </w:pPr>
            <w:r>
              <w:rPr>
                <w:rFonts w:hint="eastAsia" w:hAnsi="宋体"/>
                <w:b/>
                <w:sz w:val="21"/>
              </w:rPr>
              <w:t>采购需求一览表</w:t>
            </w:r>
          </w:p>
        </w:tc>
      </w:tr>
      <w:tr w14:paraId="56C3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4276378">
            <w:pPr>
              <w:pStyle w:val="23"/>
              <w:spacing w:line="340" w:lineRule="exact"/>
              <w:jc w:val="center"/>
              <w:rPr>
                <w:rFonts w:hAnsi="宋体"/>
                <w:b/>
                <w:sz w:val="21"/>
              </w:rPr>
            </w:pPr>
            <w:r>
              <w:rPr>
                <w:rFonts w:hint="eastAsia" w:hAnsi="宋体"/>
                <w:b/>
                <w:sz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5D467B54">
            <w:pPr>
              <w:pStyle w:val="23"/>
              <w:spacing w:line="340" w:lineRule="exact"/>
              <w:jc w:val="center"/>
              <w:rPr>
                <w:rFonts w:hAnsi="宋体"/>
                <w:b/>
                <w:sz w:val="21"/>
              </w:rPr>
            </w:pPr>
            <w:r>
              <w:rPr>
                <w:rFonts w:hint="eastAsia" w:hAnsi="宋体"/>
                <w:b/>
                <w:sz w:val="21"/>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4083B876">
            <w:pPr>
              <w:widowControl/>
              <w:spacing w:line="340" w:lineRule="exact"/>
              <w:jc w:val="center"/>
              <w:rPr>
                <w:rFonts w:ascii="宋体" w:hAnsi="宋体" w:cs="宋体"/>
                <w:b/>
                <w:kern w:val="0"/>
                <w:szCs w:val="21"/>
              </w:rPr>
            </w:pPr>
            <w:r>
              <w:rPr>
                <w:rFonts w:hint="eastAsia" w:ascii="宋体" w:hAnsi="宋体" w:cs="宋体"/>
                <w:b/>
                <w:kern w:val="0"/>
                <w:szCs w:val="21"/>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214DCD9F">
            <w:pPr>
              <w:pStyle w:val="23"/>
              <w:spacing w:line="340" w:lineRule="exact"/>
              <w:ind w:firstLine="316" w:firstLineChars="150"/>
              <w:jc w:val="center"/>
              <w:rPr>
                <w:rFonts w:hAnsi="宋体"/>
                <w:b/>
                <w:sz w:val="21"/>
              </w:rPr>
            </w:pPr>
            <w:r>
              <w:rPr>
                <w:rFonts w:hint="eastAsia" w:hAnsi="宋体"/>
                <w:b/>
                <w:sz w:val="21"/>
              </w:rPr>
              <w:t>项目要求及技术需求</w:t>
            </w:r>
          </w:p>
        </w:tc>
      </w:tr>
      <w:tr w14:paraId="1B62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6DE8343E">
            <w:pPr>
              <w:pStyle w:val="23"/>
              <w:spacing w:line="340" w:lineRule="exact"/>
              <w:jc w:val="center"/>
              <w:rPr>
                <w:rFonts w:hAnsi="宋体"/>
                <w:sz w:val="21"/>
              </w:rPr>
            </w:pPr>
            <w:r>
              <w:rPr>
                <w:rFonts w:hint="eastAsia" w:hAnsi="宋体"/>
                <w:sz w:val="21"/>
              </w:rPr>
              <w:t>1</w:t>
            </w:r>
          </w:p>
        </w:tc>
        <w:tc>
          <w:tcPr>
            <w:tcW w:w="1601" w:type="dxa"/>
            <w:tcBorders>
              <w:top w:val="single" w:color="auto" w:sz="4" w:space="0"/>
              <w:left w:val="single" w:color="auto" w:sz="4" w:space="0"/>
              <w:right w:val="single" w:color="auto" w:sz="4" w:space="0"/>
            </w:tcBorders>
            <w:vAlign w:val="center"/>
          </w:tcPr>
          <w:p w14:paraId="32C1E3A0">
            <w:pPr>
              <w:spacing w:line="380" w:lineRule="exact"/>
              <w:jc w:val="center"/>
              <w:rPr>
                <w:rFonts w:ascii="宋体" w:hAnsi="宋体" w:cs="宋体"/>
                <w:szCs w:val="21"/>
              </w:rPr>
            </w:pPr>
            <w:r>
              <w:rPr>
                <w:rFonts w:hint="eastAsia" w:ascii="宋体" w:hAnsi="宋体" w:cs="宋体"/>
                <w:szCs w:val="21"/>
              </w:rPr>
              <w:t>广西机动车驾驶培训公共服务</w:t>
            </w:r>
          </w:p>
        </w:tc>
        <w:tc>
          <w:tcPr>
            <w:tcW w:w="756" w:type="dxa"/>
            <w:tcBorders>
              <w:top w:val="single" w:color="auto" w:sz="4" w:space="0"/>
              <w:left w:val="single" w:color="auto" w:sz="4" w:space="0"/>
              <w:right w:val="single" w:color="auto" w:sz="4" w:space="0"/>
            </w:tcBorders>
            <w:vAlign w:val="center"/>
          </w:tcPr>
          <w:p w14:paraId="53C16734">
            <w:pPr>
              <w:spacing w:line="380" w:lineRule="exact"/>
              <w:jc w:val="center"/>
              <w:rPr>
                <w:rFonts w:ascii="宋体" w:hAnsi="宋体" w:cs="宋体"/>
                <w:szCs w:val="21"/>
              </w:rPr>
            </w:pPr>
            <w:r>
              <w:rPr>
                <w:rFonts w:hint="eastAsia" w:ascii="宋体" w:hAnsi="宋体" w:cs="宋体"/>
                <w:szCs w:val="21"/>
              </w:rPr>
              <w:t>1项</w:t>
            </w:r>
          </w:p>
        </w:tc>
        <w:tc>
          <w:tcPr>
            <w:tcW w:w="6675" w:type="dxa"/>
            <w:tcBorders>
              <w:top w:val="single" w:color="auto" w:sz="4" w:space="0"/>
              <w:left w:val="single" w:color="auto" w:sz="4" w:space="0"/>
              <w:right w:val="single" w:color="auto" w:sz="4" w:space="0"/>
            </w:tcBorders>
            <w:vAlign w:val="center"/>
          </w:tcPr>
          <w:p w14:paraId="6FD6CC8D">
            <w:pPr>
              <w:pStyle w:val="17"/>
              <w:spacing w:line="360" w:lineRule="auto"/>
              <w:rPr>
                <w:rFonts w:ascii="宋体" w:hAnsi="宋体" w:cs="宋体"/>
                <w:sz w:val="21"/>
                <w:szCs w:val="21"/>
              </w:rPr>
            </w:pPr>
            <w:r>
              <w:rPr>
                <w:rFonts w:hint="eastAsia" w:ascii="宋体" w:hAnsi="宋体" w:cs="宋体"/>
                <w:sz w:val="21"/>
                <w:szCs w:val="21"/>
              </w:rPr>
              <w:t>▲一、提供驾驶员培训公共服务</w:t>
            </w:r>
          </w:p>
          <w:p w14:paraId="46CE84A2">
            <w:pPr>
              <w:widowControl/>
              <w:spacing w:line="360" w:lineRule="auto"/>
              <w:ind w:firstLine="422" w:firstLineChars="200"/>
              <w:jc w:val="left"/>
              <w:rPr>
                <w:rFonts w:ascii="宋体" w:hAnsi="宋体" w:cs="宋体"/>
                <w:szCs w:val="21"/>
              </w:rPr>
            </w:pPr>
            <w:r>
              <w:rPr>
                <w:rFonts w:hint="eastAsia" w:ascii="宋体" w:hAnsi="宋体" w:cs="宋体"/>
                <w:b/>
                <w:szCs w:val="21"/>
              </w:rPr>
              <w:t>投标人</w:t>
            </w:r>
            <w:r>
              <w:rPr>
                <w:rFonts w:ascii="宋体" w:hAnsi="宋体" w:cs="宋体"/>
                <w:b/>
                <w:szCs w:val="21"/>
              </w:rPr>
              <w:t>提供“广西机动车驾驶员培训公共服务系统”信息技术服务，须有电脑应用端、微信应用端。满足</w:t>
            </w:r>
            <w:r>
              <w:rPr>
                <w:rFonts w:hint="eastAsia" w:ascii="宋体" w:hAnsi="宋体" w:cs="宋体"/>
                <w:szCs w:val="21"/>
              </w:rPr>
              <w:t>驾培</w:t>
            </w:r>
            <w:r>
              <w:rPr>
                <w:rFonts w:ascii="宋体" w:hAnsi="宋体" w:cs="宋体"/>
                <w:szCs w:val="21"/>
              </w:rPr>
              <w:t>机构、学员、管理部门登录功能</w:t>
            </w:r>
            <w:r>
              <w:rPr>
                <w:rFonts w:hint="eastAsia" w:ascii="宋体" w:hAnsi="宋体" w:cs="宋体"/>
                <w:szCs w:val="21"/>
              </w:rPr>
              <w:t>,通过本平台与广西驾驶培训监管服务平台和全区机动车驾驶员培训机构进行信息互动。提供驾培机构及教练的排名查询等服务，</w:t>
            </w:r>
            <w:r>
              <w:rPr>
                <w:rFonts w:hint="eastAsia" w:ascii="宋体" w:hAnsi="宋体" w:cs="宋体"/>
                <w:szCs w:val="21"/>
                <w:lang w:bidi="ar"/>
              </w:rPr>
              <w:t>为广西区内驾培学员实现线上择校报名、线上签订电子合同、线上缴费、先培后付、分阶段支付培训费用以及线上评价等一站式信息化服务</w:t>
            </w:r>
            <w:r>
              <w:rPr>
                <w:rFonts w:hint="eastAsia" w:ascii="宋体" w:hAnsi="宋体" w:cs="宋体"/>
                <w:szCs w:val="21"/>
              </w:rPr>
              <w:t>。主要功能包括：驾培行业基础信息查询；通知公示、行业动态、政策法规等信息展示；学员培训学时查询；驾培机构违规信息展示，驾培机构、教练员、教练车处罚信息发布；驾培机构学员报名动态展示；结合质量信誉考核结果对驾培机构、教练员进行动态排名展示，对驾培机构及教练员进行评价；提供驾驶培训远程教育学习入口，提供远程学时上报功能。</w:t>
            </w:r>
          </w:p>
          <w:p w14:paraId="2F38A12D">
            <w:pPr>
              <w:spacing w:line="360" w:lineRule="auto"/>
              <w:rPr>
                <w:szCs w:val="21"/>
              </w:rPr>
            </w:pPr>
            <w:r>
              <w:rPr>
                <w:rFonts w:hint="eastAsia" w:ascii="宋体" w:hAnsi="宋体" w:cs="宋体"/>
                <w:szCs w:val="21"/>
              </w:rPr>
              <w:t>▲二、</w:t>
            </w:r>
            <w:r>
              <w:rPr>
                <w:rFonts w:ascii="宋体" w:hAnsi="宋体" w:cs="宋体"/>
                <w:szCs w:val="21"/>
              </w:rPr>
              <w:t>开发数据接口并提供与“</w:t>
            </w:r>
            <w:r>
              <w:rPr>
                <w:rFonts w:hint="eastAsia" w:ascii="宋体" w:hAnsi="宋体" w:cs="宋体"/>
                <w:szCs w:val="21"/>
              </w:rPr>
              <w:t>广西驾驶培训监管平台</w:t>
            </w:r>
            <w:r>
              <w:rPr>
                <w:rFonts w:ascii="宋体" w:hAnsi="宋体" w:cs="宋体"/>
                <w:szCs w:val="21"/>
              </w:rPr>
              <w:t>”等系统数据对接服务</w:t>
            </w:r>
          </w:p>
          <w:p w14:paraId="5AB10D0A">
            <w:pPr>
              <w:pStyle w:val="17"/>
              <w:spacing w:line="360" w:lineRule="auto"/>
              <w:ind w:firstLine="420" w:firstLineChars="200"/>
              <w:rPr>
                <w:rFonts w:ascii="宋体" w:hAnsi="宋体" w:cs="宋体"/>
                <w:sz w:val="21"/>
                <w:szCs w:val="21"/>
              </w:rPr>
            </w:pPr>
            <w:r>
              <w:rPr>
                <w:rFonts w:hint="eastAsia" w:ascii="宋体" w:hAnsi="宋体" w:cs="宋体"/>
                <w:sz w:val="21"/>
                <w:szCs w:val="21"/>
              </w:rPr>
              <w:t>投标人负责开发并通过数据接口实现与广西驾驶培训监管平台等管理系统进行数据对接，完成动态数据和基础数据的采集；针对不同的数据信息进行汇总并完成分析生成图表、报告提供给管理部门。</w:t>
            </w:r>
          </w:p>
          <w:p w14:paraId="26CBBA24">
            <w:pPr>
              <w:spacing w:line="360" w:lineRule="auto"/>
              <w:rPr>
                <w:rFonts w:ascii="宋体" w:hAnsi="宋体" w:cs="宋体"/>
                <w:szCs w:val="21"/>
              </w:rPr>
            </w:pPr>
            <w:r>
              <w:rPr>
                <w:rFonts w:hint="eastAsia" w:ascii="宋体" w:hAnsi="宋体" w:cs="宋体"/>
                <w:szCs w:val="21"/>
              </w:rPr>
              <w:t>▲三、提供电子签章服务</w:t>
            </w:r>
          </w:p>
          <w:p w14:paraId="5B97BA28">
            <w:pPr>
              <w:spacing w:line="360" w:lineRule="auto"/>
              <w:ind w:firstLine="420" w:firstLineChars="200"/>
              <w:rPr>
                <w:rFonts w:ascii="宋体" w:hAnsi="宋体" w:cs="宋体"/>
                <w:szCs w:val="21"/>
              </w:rPr>
            </w:pPr>
            <w:r>
              <w:rPr>
                <w:rFonts w:hint="eastAsia" w:ascii="宋体" w:hAnsi="宋体" w:cs="宋体"/>
                <w:szCs w:val="21"/>
              </w:rPr>
              <w:t>投标人负责</w:t>
            </w:r>
            <w:r>
              <w:rPr>
                <w:rFonts w:ascii="宋体" w:hAnsi="宋体" w:cs="宋体"/>
                <w:szCs w:val="21"/>
              </w:rPr>
              <w:t>提供</w:t>
            </w:r>
            <w:r>
              <w:rPr>
                <w:rFonts w:hint="eastAsia" w:ascii="宋体" w:hAnsi="宋体" w:cs="宋体"/>
                <w:szCs w:val="21"/>
              </w:rPr>
              <w:t>电子签章</w:t>
            </w:r>
            <w:r>
              <w:rPr>
                <w:rFonts w:ascii="宋体" w:hAnsi="宋体" w:cs="宋体"/>
                <w:szCs w:val="21"/>
              </w:rPr>
              <w:t>服务。为驾驶学员</w:t>
            </w:r>
            <w:r>
              <w:rPr>
                <w:rFonts w:hint="eastAsia" w:ascii="宋体" w:hAnsi="宋体" w:cs="宋体"/>
                <w:szCs w:val="21"/>
              </w:rPr>
              <w:t>和</w:t>
            </w:r>
            <w:r>
              <w:rPr>
                <w:rFonts w:ascii="宋体" w:hAnsi="宋体" w:cs="宋体"/>
                <w:szCs w:val="21"/>
              </w:rPr>
              <w:t>驾校</w:t>
            </w:r>
            <w:r>
              <w:rPr>
                <w:rFonts w:hint="eastAsia" w:ascii="宋体" w:hAnsi="宋体" w:cs="宋体"/>
                <w:szCs w:val="21"/>
              </w:rPr>
              <w:t>提供线上签订电子合同签章服务</w:t>
            </w:r>
            <w:r>
              <w:rPr>
                <w:rFonts w:ascii="宋体" w:hAnsi="宋体" w:cs="宋体"/>
                <w:szCs w:val="21"/>
              </w:rPr>
              <w:t>，保证系统须接入具备法律效力的电子签章，确保驾驶培训合同签订的有效性</w:t>
            </w:r>
            <w:r>
              <w:rPr>
                <w:rFonts w:hint="eastAsia" w:ascii="宋体" w:hAnsi="宋体" w:cs="宋体"/>
                <w:szCs w:val="21"/>
              </w:rPr>
              <w:t>。</w:t>
            </w:r>
          </w:p>
          <w:p w14:paraId="0F6A862C">
            <w:pPr>
              <w:spacing w:line="360" w:lineRule="auto"/>
              <w:rPr>
                <w:rFonts w:ascii="宋体" w:hAnsi="宋体" w:cs="宋体"/>
                <w:szCs w:val="21"/>
              </w:rPr>
            </w:pPr>
            <w:r>
              <w:rPr>
                <w:rFonts w:hint="eastAsia" w:ascii="宋体" w:hAnsi="宋体" w:cs="宋体"/>
                <w:szCs w:val="21"/>
              </w:rPr>
              <w:t>▲四、提供银行</w:t>
            </w:r>
            <w:r>
              <w:rPr>
                <w:rFonts w:ascii="宋体" w:hAnsi="宋体" w:cs="宋体"/>
                <w:szCs w:val="21"/>
              </w:rPr>
              <w:t>资金监管</w:t>
            </w:r>
            <w:r>
              <w:rPr>
                <w:rFonts w:hint="eastAsia" w:ascii="宋体" w:hAnsi="宋体" w:cs="宋体"/>
                <w:szCs w:val="21"/>
              </w:rPr>
              <w:t>服务</w:t>
            </w:r>
          </w:p>
          <w:p w14:paraId="2B906063">
            <w:pPr>
              <w:spacing w:line="360" w:lineRule="auto"/>
              <w:ind w:firstLine="420" w:firstLineChars="200"/>
              <w:rPr>
                <w:rFonts w:ascii="宋体" w:hAnsi="宋体" w:cs="宋体"/>
                <w:szCs w:val="21"/>
              </w:rPr>
            </w:pPr>
            <w:r>
              <w:rPr>
                <w:rFonts w:hint="eastAsia" w:ascii="宋体" w:hAnsi="宋体" w:cs="宋体"/>
                <w:szCs w:val="21"/>
              </w:rPr>
              <w:t>投标人负责依托国有银行</w:t>
            </w:r>
            <w:r>
              <w:rPr>
                <w:rFonts w:ascii="宋体" w:hAnsi="宋体" w:cs="宋体"/>
                <w:szCs w:val="21"/>
              </w:rPr>
              <w:t>提供</w:t>
            </w:r>
            <w:r>
              <w:rPr>
                <w:rFonts w:hint="eastAsia" w:ascii="宋体" w:hAnsi="宋体" w:cs="宋体"/>
                <w:szCs w:val="21"/>
              </w:rPr>
              <w:t>驾培机构</w:t>
            </w:r>
            <w:r>
              <w:rPr>
                <w:rFonts w:ascii="宋体" w:hAnsi="宋体" w:cs="宋体"/>
                <w:szCs w:val="21"/>
              </w:rPr>
              <w:t>学费清分</w:t>
            </w:r>
            <w:r>
              <w:rPr>
                <w:rFonts w:hint="eastAsia" w:ascii="宋体" w:hAnsi="宋体" w:cs="宋体"/>
                <w:szCs w:val="21"/>
              </w:rPr>
              <w:t>、资金监管等</w:t>
            </w:r>
            <w:r>
              <w:rPr>
                <w:rFonts w:ascii="宋体" w:hAnsi="宋体" w:cs="宋体"/>
                <w:szCs w:val="21"/>
              </w:rPr>
              <w:t>服务</w:t>
            </w:r>
            <w:r>
              <w:rPr>
                <w:rFonts w:hint="eastAsia" w:ascii="宋体" w:hAnsi="宋体" w:cs="宋体"/>
                <w:szCs w:val="21"/>
              </w:rPr>
              <w:t>。对接国有银行系统，依托银行产品</w:t>
            </w:r>
            <w:r>
              <w:rPr>
                <w:rFonts w:ascii="宋体" w:hAnsi="宋体" w:cs="宋体"/>
                <w:szCs w:val="21"/>
              </w:rPr>
              <w:t>实现</w:t>
            </w:r>
            <w:r>
              <w:rPr>
                <w:rFonts w:hint="eastAsia" w:ascii="宋体" w:hAnsi="宋体" w:cs="宋体"/>
                <w:szCs w:val="21"/>
              </w:rPr>
              <w:t xml:space="preserve">学员学费清分、资金监管等功能，为学员学费管理实现按照培训合同约定，依据培训学时情况，通过驾培公共服务平台与银行系统对接，由银行分阶段分批次解冻培训费用。 </w:t>
            </w:r>
          </w:p>
          <w:p w14:paraId="536252E7">
            <w:pPr>
              <w:spacing w:line="360" w:lineRule="auto"/>
              <w:ind w:firstLine="210" w:firstLineChars="100"/>
              <w:rPr>
                <w:rFonts w:ascii="宋体" w:hAnsi="宋体" w:cs="宋体"/>
                <w:kern w:val="0"/>
                <w:szCs w:val="21"/>
                <w:lang w:bidi="ar"/>
              </w:rPr>
            </w:pPr>
            <w:r>
              <w:rPr>
                <w:rFonts w:hint="eastAsia" w:ascii="宋体" w:hAnsi="宋体" w:cs="宋体"/>
                <w:szCs w:val="21"/>
              </w:rPr>
              <w:t>五、提供</w:t>
            </w:r>
            <w:r>
              <w:rPr>
                <w:rFonts w:hint="eastAsia" w:ascii="宋体" w:hAnsi="宋体" w:cs="宋体"/>
                <w:kern w:val="0"/>
                <w:szCs w:val="21"/>
                <w:lang w:bidi="ar"/>
              </w:rPr>
              <w:t>技术支持维护服务</w:t>
            </w:r>
          </w:p>
          <w:p w14:paraId="73AB4E70">
            <w:pPr>
              <w:spacing w:line="360" w:lineRule="auto"/>
              <w:ind w:firstLine="420" w:firstLineChars="200"/>
              <w:rPr>
                <w:rFonts w:ascii="宋体" w:hAnsi="宋体" w:cs="宋体"/>
                <w:szCs w:val="21"/>
              </w:rPr>
            </w:pPr>
            <w:r>
              <w:rPr>
                <w:rFonts w:hint="eastAsia" w:ascii="宋体" w:hAnsi="宋体" w:cs="宋体"/>
                <w:szCs w:val="21"/>
              </w:rPr>
              <w:t>1.日常巡检维护服务</w:t>
            </w:r>
          </w:p>
          <w:p w14:paraId="7C6029CA">
            <w:pPr>
              <w:spacing w:line="360" w:lineRule="auto"/>
              <w:ind w:firstLine="630" w:firstLineChars="300"/>
              <w:rPr>
                <w:rFonts w:ascii="宋体" w:hAnsi="宋体" w:cs="宋体"/>
                <w:szCs w:val="21"/>
              </w:rPr>
            </w:pPr>
            <w:r>
              <w:rPr>
                <w:rFonts w:hint="eastAsia" w:ascii="宋体" w:hAnsi="宋体" w:cs="宋体"/>
                <w:szCs w:val="21"/>
              </w:rPr>
              <w:t>主要服务内容包括操作系统、网络、数据库、存储、驾培应用系统、接口服务等环境进行监测和日常巡检维护支持。针对应用系统提供统一运维服务，满足平台产品使用需求。</w:t>
            </w:r>
          </w:p>
          <w:p w14:paraId="148589D1">
            <w:pPr>
              <w:spacing w:line="360" w:lineRule="auto"/>
              <w:ind w:left="420" w:leftChars="200"/>
              <w:rPr>
                <w:rFonts w:ascii="宋体" w:hAnsi="宋体" w:cs="宋体"/>
                <w:szCs w:val="21"/>
              </w:rPr>
            </w:pPr>
            <w:r>
              <w:rPr>
                <w:rFonts w:hint="eastAsia" w:ascii="宋体" w:hAnsi="宋体" w:cs="宋体"/>
                <w:szCs w:val="21"/>
              </w:rPr>
              <w:t>2.应用系统维护服务</w:t>
            </w:r>
          </w:p>
          <w:p w14:paraId="643B893E">
            <w:pPr>
              <w:spacing w:line="360" w:lineRule="auto"/>
              <w:ind w:firstLine="420" w:firstLineChars="200"/>
              <w:rPr>
                <w:rFonts w:ascii="宋体" w:hAnsi="宋体" w:cs="宋体"/>
                <w:szCs w:val="21"/>
              </w:rPr>
            </w:pPr>
            <w:r>
              <w:rPr>
                <w:rFonts w:hint="eastAsia" w:ascii="宋体" w:hAnsi="宋体" w:cs="宋体"/>
                <w:szCs w:val="21"/>
              </w:rPr>
              <w:t>针对各应用系统提供统一运维服务，满足平台产品使用需求。具体包括系统巡检、系统监控、系统功能优化、性能优化、系统升级、系统管理、数据备份恢复、服务信息保密等服务。</w:t>
            </w:r>
          </w:p>
          <w:p w14:paraId="7DACFAE8">
            <w:pPr>
              <w:spacing w:line="360" w:lineRule="auto"/>
              <w:ind w:firstLine="420" w:firstLineChars="200"/>
              <w:rPr>
                <w:rFonts w:ascii="宋体" w:hAnsi="宋体" w:cs="宋体"/>
                <w:szCs w:val="21"/>
              </w:rPr>
            </w:pPr>
            <w:r>
              <w:rPr>
                <w:rFonts w:hint="eastAsia" w:ascii="宋体" w:hAnsi="宋体" w:cs="宋体"/>
                <w:szCs w:val="21"/>
              </w:rPr>
              <w:t>3.提供系统升级服务，定期进行系统版本、系统功能、系统组件等的升级更新。</w:t>
            </w:r>
          </w:p>
          <w:p w14:paraId="219276A3">
            <w:pPr>
              <w:pStyle w:val="29"/>
              <w:spacing w:line="360" w:lineRule="auto"/>
              <w:rPr>
                <w:sz w:val="21"/>
                <w:szCs w:val="21"/>
              </w:rPr>
            </w:pPr>
            <w:r>
              <w:rPr>
                <w:rFonts w:hint="eastAsia" w:ascii="宋体" w:hAnsi="宋体" w:cs="宋体"/>
                <w:sz w:val="21"/>
                <w:szCs w:val="21"/>
                <w:lang w:bidi="ar"/>
              </w:rPr>
              <w:t>（1）更新平台报名弹窗提示功能，提示报名驾校、车型、学费等。</w:t>
            </w:r>
            <w:r>
              <w:rPr>
                <w:rFonts w:hint="eastAsia" w:ascii="宋体" w:hAnsi="宋体" w:cs="宋体"/>
                <w:sz w:val="21"/>
                <w:szCs w:val="21"/>
                <w:lang w:bidi="ar"/>
              </w:rPr>
              <w:br w:type="textWrapping"/>
            </w:r>
            <w:r>
              <w:rPr>
                <w:rFonts w:hint="eastAsia" w:ascii="宋体" w:hAnsi="宋体" w:cs="宋体"/>
                <w:sz w:val="21"/>
                <w:szCs w:val="21"/>
                <w:lang w:bidi="ar"/>
              </w:rPr>
              <w:t>（2）优化平台驾校、教练名单筛选条件。</w:t>
            </w:r>
            <w:r>
              <w:rPr>
                <w:rFonts w:hint="eastAsia" w:ascii="宋体" w:hAnsi="宋体" w:cs="宋体"/>
                <w:sz w:val="21"/>
                <w:szCs w:val="21"/>
                <w:lang w:bidi="ar"/>
              </w:rPr>
              <w:br w:type="textWrapping"/>
            </w:r>
            <w:r>
              <w:rPr>
                <w:rFonts w:hint="eastAsia" w:ascii="宋体" w:hAnsi="宋体" w:cs="宋体"/>
                <w:sz w:val="21"/>
                <w:szCs w:val="21"/>
                <w:lang w:bidi="ar"/>
              </w:rPr>
              <w:t>（3）更新学员退款审核功能，学员申请退款后须驾校及主管部门审核。</w:t>
            </w:r>
            <w:r>
              <w:rPr>
                <w:rFonts w:hint="eastAsia" w:ascii="宋体" w:hAnsi="宋体" w:cs="宋体"/>
                <w:sz w:val="21"/>
                <w:szCs w:val="21"/>
                <w:lang w:bidi="ar"/>
              </w:rPr>
              <w:br w:type="textWrapping"/>
            </w:r>
            <w:r>
              <w:rPr>
                <w:rFonts w:hint="eastAsia" w:ascii="宋体" w:hAnsi="宋体" w:cs="宋体"/>
                <w:sz w:val="21"/>
                <w:szCs w:val="21"/>
                <w:lang w:bidi="ar"/>
              </w:rPr>
              <w:t>（4）优化学员管理模块，增加车型筛选条件。</w:t>
            </w:r>
            <w:r>
              <w:rPr>
                <w:rFonts w:hint="eastAsia" w:ascii="宋体" w:hAnsi="宋体" w:cs="宋体"/>
                <w:sz w:val="21"/>
                <w:szCs w:val="21"/>
                <w:lang w:bidi="ar"/>
              </w:rPr>
              <w:br w:type="textWrapping"/>
            </w:r>
            <w:r>
              <w:rPr>
                <w:rFonts w:hint="eastAsia" w:ascii="宋体" w:hAnsi="宋体" w:cs="宋体"/>
                <w:sz w:val="21"/>
                <w:szCs w:val="21"/>
                <w:lang w:bidi="ar"/>
              </w:rPr>
              <w:t>（5）优化资金日志模块，增加学费、日期筛选条件。</w:t>
            </w:r>
            <w:r>
              <w:rPr>
                <w:rFonts w:hint="eastAsia" w:ascii="宋体" w:hAnsi="宋体" w:cs="宋体"/>
                <w:sz w:val="21"/>
                <w:szCs w:val="21"/>
                <w:lang w:bidi="ar"/>
              </w:rPr>
              <w:br w:type="textWrapping"/>
            </w:r>
            <w:r>
              <w:rPr>
                <w:rFonts w:hint="eastAsia" w:ascii="宋体" w:hAnsi="宋体" w:cs="宋体"/>
                <w:sz w:val="21"/>
                <w:szCs w:val="21"/>
                <w:lang w:bidi="ar"/>
              </w:rPr>
              <w:t>（6）优化驾校设置模块，增加驾校监管户信息。</w:t>
            </w:r>
            <w:r>
              <w:rPr>
                <w:rFonts w:hint="eastAsia" w:ascii="宋体" w:hAnsi="宋体" w:cs="宋体"/>
                <w:sz w:val="21"/>
                <w:szCs w:val="21"/>
                <w:lang w:bidi="ar"/>
              </w:rPr>
              <w:br w:type="textWrapping"/>
            </w:r>
            <w:r>
              <w:rPr>
                <w:rFonts w:hint="eastAsia" w:ascii="宋体" w:hAnsi="宋体" w:cs="宋体"/>
                <w:sz w:val="21"/>
                <w:szCs w:val="21"/>
                <w:lang w:bidi="ar"/>
              </w:rPr>
              <w:t>（7）更新驾校报名功能模块，主管部门可对驾校进行停业。</w:t>
            </w:r>
            <w:r>
              <w:rPr>
                <w:rFonts w:hint="eastAsia" w:ascii="宋体" w:hAnsi="宋体" w:cs="宋体"/>
                <w:sz w:val="21"/>
                <w:szCs w:val="21"/>
                <w:lang w:bidi="ar"/>
              </w:rPr>
              <w:br w:type="textWrapping"/>
            </w:r>
            <w:r>
              <w:rPr>
                <w:rFonts w:hint="eastAsia" w:ascii="宋体" w:hAnsi="宋体" w:cs="宋体"/>
                <w:sz w:val="21"/>
                <w:szCs w:val="21"/>
                <w:lang w:bidi="ar"/>
              </w:rPr>
              <w:t>（8）更新转学学员审核功能。</w:t>
            </w:r>
            <w:r>
              <w:rPr>
                <w:rFonts w:hint="eastAsia" w:ascii="宋体" w:hAnsi="宋体" w:cs="宋体"/>
                <w:sz w:val="21"/>
                <w:szCs w:val="21"/>
                <w:lang w:bidi="ar"/>
              </w:rPr>
              <w:br w:type="textWrapping"/>
            </w:r>
            <w:r>
              <w:rPr>
                <w:rFonts w:hint="eastAsia" w:ascii="宋体" w:hAnsi="宋体" w:cs="宋体"/>
                <w:sz w:val="21"/>
                <w:szCs w:val="21"/>
                <w:lang w:bidi="ar"/>
              </w:rPr>
              <w:t>（9）优化学员登录平台页面及操作。</w:t>
            </w:r>
            <w:r>
              <w:rPr>
                <w:rFonts w:hint="eastAsia" w:ascii="宋体" w:hAnsi="宋体" w:cs="宋体"/>
                <w:sz w:val="21"/>
                <w:szCs w:val="21"/>
                <w:lang w:bidi="ar"/>
              </w:rPr>
              <w:br w:type="textWrapping"/>
            </w:r>
            <w:r>
              <w:rPr>
                <w:rFonts w:hint="eastAsia" w:ascii="宋体" w:hAnsi="宋体" w:cs="宋体"/>
                <w:sz w:val="21"/>
                <w:szCs w:val="21"/>
                <w:lang w:bidi="ar"/>
              </w:rPr>
              <w:t>（10）优化学员申请退款填写信息页面。</w:t>
            </w:r>
            <w:r>
              <w:rPr>
                <w:rFonts w:hint="eastAsia" w:ascii="宋体" w:hAnsi="宋体" w:cs="宋体"/>
                <w:sz w:val="21"/>
                <w:szCs w:val="21"/>
                <w:lang w:bidi="ar"/>
              </w:rPr>
              <w:br w:type="textWrapping"/>
            </w:r>
            <w:r>
              <w:rPr>
                <w:rFonts w:hint="eastAsia" w:ascii="宋体" w:hAnsi="宋体" w:cs="宋体"/>
                <w:sz w:val="21"/>
                <w:szCs w:val="21"/>
                <w:lang w:bidi="ar"/>
              </w:rPr>
              <w:t>（11）更新学员评论功能。</w:t>
            </w:r>
            <w:r>
              <w:rPr>
                <w:rFonts w:hint="eastAsia" w:ascii="宋体" w:hAnsi="宋体" w:cs="宋体"/>
                <w:sz w:val="21"/>
                <w:szCs w:val="21"/>
                <w:lang w:bidi="ar"/>
              </w:rPr>
              <w:br w:type="textWrapping"/>
            </w:r>
            <w:r>
              <w:rPr>
                <w:rFonts w:hint="eastAsia" w:ascii="宋体" w:hAnsi="宋体" w:cs="宋体"/>
                <w:sz w:val="21"/>
                <w:szCs w:val="21"/>
                <w:lang w:bidi="ar"/>
              </w:rPr>
              <w:t>（12）优化教练、驾校评论数据页面。</w:t>
            </w:r>
            <w:r>
              <w:rPr>
                <w:rFonts w:hint="eastAsia" w:ascii="宋体" w:hAnsi="宋体" w:cs="宋体"/>
                <w:sz w:val="21"/>
                <w:szCs w:val="21"/>
                <w:lang w:bidi="ar"/>
              </w:rPr>
              <w:br w:type="textWrapping"/>
            </w:r>
            <w:r>
              <w:rPr>
                <w:rFonts w:hint="eastAsia" w:ascii="宋体" w:hAnsi="宋体" w:cs="宋体"/>
                <w:sz w:val="21"/>
                <w:szCs w:val="21"/>
                <w:lang w:bidi="ar"/>
              </w:rPr>
              <w:t>（13）优化学员评论操作。</w:t>
            </w:r>
            <w:r>
              <w:rPr>
                <w:rFonts w:hint="eastAsia" w:ascii="宋体" w:hAnsi="宋体" w:cs="宋体"/>
                <w:sz w:val="21"/>
                <w:szCs w:val="21"/>
                <w:lang w:bidi="ar"/>
              </w:rPr>
              <w:br w:type="textWrapping"/>
            </w:r>
            <w:r>
              <w:rPr>
                <w:rFonts w:hint="eastAsia" w:ascii="宋体" w:hAnsi="宋体" w:cs="宋体"/>
                <w:sz w:val="21"/>
                <w:szCs w:val="21"/>
                <w:lang w:bidi="ar"/>
              </w:rPr>
              <w:t>（14）优化学员报名缴费、签订合同页面。</w:t>
            </w:r>
            <w:r>
              <w:rPr>
                <w:rFonts w:hint="eastAsia" w:ascii="宋体" w:hAnsi="宋体" w:cs="宋体"/>
                <w:sz w:val="21"/>
                <w:szCs w:val="21"/>
                <w:lang w:bidi="ar"/>
              </w:rPr>
              <w:br w:type="textWrapping"/>
            </w:r>
            <w:r>
              <w:rPr>
                <w:rFonts w:hint="eastAsia" w:ascii="宋体" w:hAnsi="宋体" w:cs="宋体"/>
                <w:sz w:val="21"/>
                <w:szCs w:val="21"/>
                <w:lang w:bidi="ar"/>
              </w:rPr>
              <w:t>（15）更新转学学员状态信息。</w:t>
            </w:r>
            <w:r>
              <w:rPr>
                <w:rFonts w:hint="eastAsia" w:ascii="宋体" w:hAnsi="宋体" w:cs="宋体"/>
                <w:sz w:val="21"/>
                <w:szCs w:val="21"/>
                <w:lang w:bidi="ar"/>
              </w:rPr>
              <w:br w:type="textWrapping"/>
            </w:r>
            <w:r>
              <w:rPr>
                <w:rFonts w:hint="eastAsia" w:ascii="宋体" w:hAnsi="宋体" w:cs="宋体"/>
                <w:sz w:val="21"/>
                <w:szCs w:val="21"/>
                <w:lang w:bidi="ar"/>
              </w:rPr>
              <w:t>（16）更新主管部门审核退款时间信息。</w:t>
            </w:r>
            <w:r>
              <w:rPr>
                <w:rFonts w:hint="eastAsia" w:ascii="宋体" w:hAnsi="宋体" w:cs="宋体"/>
                <w:sz w:val="21"/>
                <w:szCs w:val="21"/>
                <w:lang w:bidi="ar"/>
              </w:rPr>
              <w:br w:type="textWrapping"/>
            </w:r>
            <w:r>
              <w:rPr>
                <w:rFonts w:hint="eastAsia" w:ascii="宋体" w:hAnsi="宋体" w:cs="宋体"/>
                <w:sz w:val="21"/>
                <w:szCs w:val="21"/>
                <w:lang w:bidi="ar"/>
              </w:rPr>
              <w:t>（17）优化退款审核页面，增加驾校名称筛选条件。</w:t>
            </w:r>
            <w:r>
              <w:rPr>
                <w:rFonts w:hint="eastAsia" w:ascii="宋体" w:hAnsi="宋体" w:cs="宋体"/>
                <w:sz w:val="21"/>
                <w:szCs w:val="21"/>
                <w:lang w:bidi="ar"/>
              </w:rPr>
              <w:br w:type="textWrapping"/>
            </w:r>
            <w:r>
              <w:rPr>
                <w:rFonts w:hint="eastAsia" w:ascii="宋体" w:hAnsi="宋体" w:cs="宋体"/>
                <w:sz w:val="21"/>
                <w:szCs w:val="21"/>
                <w:lang w:bidi="ar"/>
              </w:rPr>
              <w:t>（18）优化学员扫描支付页面。</w:t>
            </w:r>
            <w:r>
              <w:rPr>
                <w:rFonts w:hint="eastAsia" w:ascii="宋体" w:hAnsi="宋体" w:cs="宋体"/>
                <w:sz w:val="21"/>
                <w:szCs w:val="21"/>
                <w:lang w:bidi="ar"/>
              </w:rPr>
              <w:br w:type="textWrapping"/>
            </w:r>
            <w:r>
              <w:rPr>
                <w:rFonts w:hint="eastAsia" w:ascii="宋体" w:hAnsi="宋体" w:cs="宋体"/>
                <w:sz w:val="21"/>
                <w:szCs w:val="21"/>
                <w:lang w:bidi="ar"/>
              </w:rPr>
              <w:t>（19）优化平台首页页面信息。</w:t>
            </w:r>
            <w:r>
              <w:rPr>
                <w:rFonts w:hint="eastAsia" w:ascii="宋体" w:hAnsi="宋体" w:cs="宋体"/>
                <w:sz w:val="21"/>
                <w:szCs w:val="21"/>
                <w:lang w:bidi="ar"/>
              </w:rPr>
              <w:br w:type="textWrapping"/>
            </w:r>
            <w:r>
              <w:rPr>
                <w:rFonts w:hint="eastAsia" w:ascii="宋体" w:hAnsi="宋体" w:cs="宋体"/>
                <w:sz w:val="21"/>
                <w:szCs w:val="21"/>
                <w:lang w:bidi="ar"/>
              </w:rPr>
              <w:t>（20）更新教练模块，增加删除功能。</w:t>
            </w:r>
            <w:r>
              <w:rPr>
                <w:rFonts w:hint="eastAsia" w:ascii="宋体" w:hAnsi="宋体" w:cs="宋体"/>
                <w:sz w:val="21"/>
                <w:szCs w:val="21"/>
                <w:lang w:bidi="ar"/>
              </w:rPr>
              <w:br w:type="textWrapping"/>
            </w:r>
            <w:r>
              <w:rPr>
                <w:rFonts w:hint="eastAsia" w:ascii="宋体" w:hAnsi="宋体" w:cs="宋体"/>
                <w:sz w:val="21"/>
                <w:szCs w:val="21"/>
                <w:lang w:bidi="ar"/>
              </w:rPr>
              <w:t>（21）更新转学学员录入功能，增加录入信息。</w:t>
            </w:r>
            <w:r>
              <w:rPr>
                <w:rFonts w:hint="eastAsia" w:ascii="宋体" w:hAnsi="宋体" w:cs="宋体"/>
                <w:sz w:val="21"/>
                <w:szCs w:val="21"/>
                <w:lang w:bidi="ar"/>
              </w:rPr>
              <w:br w:type="textWrapping"/>
            </w:r>
            <w:r>
              <w:rPr>
                <w:rFonts w:hint="eastAsia" w:ascii="宋体" w:hAnsi="宋体" w:cs="宋体"/>
                <w:sz w:val="21"/>
                <w:szCs w:val="21"/>
                <w:lang w:bidi="ar"/>
              </w:rPr>
              <w:t>（22）更新退款审核文件上传及审核功能。</w:t>
            </w:r>
            <w:r>
              <w:rPr>
                <w:rFonts w:hint="eastAsia" w:ascii="宋体" w:hAnsi="宋体" w:cs="宋体"/>
                <w:sz w:val="21"/>
                <w:szCs w:val="21"/>
                <w:lang w:bidi="ar"/>
              </w:rPr>
              <w:br w:type="textWrapping"/>
            </w:r>
            <w:r>
              <w:rPr>
                <w:rFonts w:hint="eastAsia" w:ascii="宋体" w:hAnsi="宋体" w:cs="宋体"/>
                <w:sz w:val="21"/>
                <w:szCs w:val="21"/>
                <w:lang w:bidi="ar"/>
              </w:rPr>
              <w:t>（23）优化学员查看资金解冻进度页面信息。</w:t>
            </w:r>
            <w:r>
              <w:rPr>
                <w:rFonts w:hint="eastAsia" w:ascii="宋体" w:hAnsi="宋体" w:cs="宋体"/>
                <w:sz w:val="21"/>
                <w:szCs w:val="21"/>
                <w:lang w:bidi="ar"/>
              </w:rPr>
              <w:br w:type="textWrapping"/>
            </w:r>
            <w:r>
              <w:rPr>
                <w:rFonts w:hint="eastAsia" w:ascii="宋体" w:hAnsi="宋体" w:cs="宋体"/>
                <w:sz w:val="21"/>
                <w:szCs w:val="21"/>
                <w:lang w:bidi="ar"/>
              </w:rPr>
              <w:t>（24）更新平台首页行业新闻及政策法规栏目上传功能。</w:t>
            </w:r>
            <w:r>
              <w:rPr>
                <w:rFonts w:hint="eastAsia" w:ascii="宋体" w:hAnsi="宋体" w:cs="宋体"/>
                <w:sz w:val="21"/>
                <w:szCs w:val="21"/>
                <w:lang w:bidi="ar"/>
              </w:rPr>
              <w:br w:type="textWrapping"/>
            </w:r>
            <w:r>
              <w:rPr>
                <w:rFonts w:hint="eastAsia" w:ascii="宋体" w:hAnsi="宋体" w:cs="宋体"/>
                <w:sz w:val="21"/>
                <w:szCs w:val="21"/>
                <w:lang w:bidi="ar"/>
              </w:rPr>
              <w:t>（25）更新学员报名查询功能，查询学员是否在平台完成报名。</w:t>
            </w:r>
            <w:r>
              <w:rPr>
                <w:rFonts w:hint="eastAsia" w:ascii="宋体" w:hAnsi="宋体" w:cs="宋体"/>
                <w:sz w:val="21"/>
                <w:szCs w:val="21"/>
                <w:lang w:bidi="ar"/>
              </w:rPr>
              <w:br w:type="textWrapping"/>
            </w:r>
            <w:r>
              <w:rPr>
                <w:rFonts w:hint="eastAsia" w:ascii="宋体" w:hAnsi="宋体" w:cs="宋体"/>
                <w:sz w:val="21"/>
                <w:szCs w:val="21"/>
                <w:lang w:bidi="ar"/>
              </w:rPr>
              <w:t>（26）更新驾校信息，增加报名点、分校等信息。</w:t>
            </w:r>
            <w:r>
              <w:rPr>
                <w:rFonts w:hint="eastAsia" w:ascii="宋体" w:hAnsi="宋体" w:cs="宋体"/>
                <w:sz w:val="21"/>
                <w:szCs w:val="21"/>
                <w:lang w:bidi="ar"/>
              </w:rPr>
              <w:br w:type="textWrapping"/>
            </w:r>
            <w:r>
              <w:rPr>
                <w:rFonts w:hint="eastAsia" w:ascii="宋体" w:hAnsi="宋体" w:cs="宋体"/>
                <w:sz w:val="21"/>
                <w:szCs w:val="21"/>
                <w:lang w:bidi="ar"/>
              </w:rPr>
              <w:t>（27）更新车型学费设置，增加车型备注、一车型多价格等信息。</w:t>
            </w:r>
            <w:r>
              <w:rPr>
                <w:rFonts w:hint="eastAsia" w:ascii="宋体" w:hAnsi="宋体" w:cs="宋体"/>
                <w:sz w:val="21"/>
                <w:szCs w:val="21"/>
                <w:lang w:bidi="ar"/>
              </w:rPr>
              <w:br w:type="textWrapping"/>
            </w:r>
            <w:r>
              <w:rPr>
                <w:rFonts w:hint="eastAsia" w:ascii="宋体" w:hAnsi="宋体" w:cs="宋体"/>
                <w:sz w:val="21"/>
                <w:szCs w:val="21"/>
                <w:lang w:bidi="ar"/>
              </w:rPr>
              <w:t>（28）更新待办事项提醒功能。</w:t>
            </w:r>
            <w:r>
              <w:rPr>
                <w:rFonts w:hint="eastAsia" w:ascii="宋体" w:hAnsi="宋体" w:cs="宋体"/>
                <w:sz w:val="21"/>
                <w:szCs w:val="21"/>
                <w:lang w:bidi="ar"/>
              </w:rPr>
              <w:br w:type="textWrapping"/>
            </w:r>
            <w:r>
              <w:rPr>
                <w:rFonts w:hint="eastAsia" w:ascii="宋体" w:hAnsi="宋体" w:cs="宋体"/>
                <w:sz w:val="21"/>
                <w:szCs w:val="21"/>
                <w:lang w:bidi="ar"/>
              </w:rPr>
              <w:t>（29）更新数据脱敏功能。</w:t>
            </w:r>
            <w:r>
              <w:rPr>
                <w:rFonts w:hint="eastAsia" w:ascii="宋体" w:hAnsi="宋体" w:cs="宋体"/>
                <w:sz w:val="21"/>
                <w:szCs w:val="21"/>
                <w:lang w:bidi="ar"/>
              </w:rPr>
              <w:br w:type="textWrapping"/>
            </w:r>
            <w:r>
              <w:rPr>
                <w:rFonts w:hint="eastAsia" w:ascii="宋体" w:hAnsi="宋体" w:cs="宋体"/>
                <w:sz w:val="21"/>
                <w:szCs w:val="21"/>
                <w:lang w:bidi="ar"/>
              </w:rPr>
              <w:t>（30）更新驾校列表显示内容，增加学时合格率、投诉量等信息。</w:t>
            </w:r>
            <w:r>
              <w:rPr>
                <w:rFonts w:hint="eastAsia" w:ascii="宋体" w:hAnsi="宋体" w:cs="宋体"/>
                <w:sz w:val="21"/>
                <w:szCs w:val="21"/>
                <w:lang w:bidi="ar"/>
              </w:rPr>
              <w:br w:type="textWrapping"/>
            </w:r>
            <w:r>
              <w:rPr>
                <w:rFonts w:hint="eastAsia" w:ascii="宋体" w:hAnsi="宋体" w:cs="宋体"/>
                <w:sz w:val="21"/>
                <w:szCs w:val="21"/>
                <w:lang w:bidi="ar"/>
              </w:rPr>
              <w:t>（31）更新驾校列表训练分场定位导航功能。</w:t>
            </w:r>
            <w:r>
              <w:rPr>
                <w:rFonts w:hint="eastAsia" w:ascii="宋体" w:hAnsi="宋体" w:cs="宋体"/>
                <w:sz w:val="21"/>
                <w:szCs w:val="21"/>
                <w:lang w:bidi="ar"/>
              </w:rPr>
              <w:br w:type="textWrapping"/>
            </w:r>
            <w:r>
              <w:rPr>
                <w:rFonts w:hint="eastAsia" w:ascii="宋体" w:hAnsi="宋体" w:cs="宋体"/>
                <w:sz w:val="21"/>
                <w:szCs w:val="21"/>
                <w:lang w:bidi="ar"/>
              </w:rPr>
              <w:t>（32）更新驾校列表地址信息展示内容。</w:t>
            </w:r>
            <w:r>
              <w:rPr>
                <w:rFonts w:hint="eastAsia" w:ascii="宋体" w:hAnsi="宋体" w:cs="宋体"/>
                <w:sz w:val="21"/>
                <w:szCs w:val="21"/>
                <w:lang w:bidi="ar"/>
              </w:rPr>
              <w:br w:type="textWrapping"/>
            </w:r>
            <w:r>
              <w:rPr>
                <w:rFonts w:hint="eastAsia" w:ascii="宋体" w:hAnsi="宋体" w:cs="宋体"/>
                <w:sz w:val="21"/>
                <w:szCs w:val="21"/>
                <w:lang w:bidi="ar"/>
              </w:rPr>
              <w:t>（33）更新解冻资金转出备注功能。</w:t>
            </w:r>
          </w:p>
          <w:p w14:paraId="0F1DA6C7">
            <w:pPr>
              <w:spacing w:line="360" w:lineRule="auto"/>
              <w:ind w:firstLine="420" w:firstLineChars="200"/>
              <w:rPr>
                <w:rFonts w:ascii="宋体" w:hAnsi="宋体" w:cs="宋体"/>
                <w:szCs w:val="21"/>
              </w:rPr>
            </w:pPr>
            <w:r>
              <w:rPr>
                <w:rFonts w:hint="eastAsia" w:ascii="宋体" w:hAnsi="宋体" w:cs="宋体"/>
                <w:szCs w:val="21"/>
              </w:rPr>
              <w:t>六、提供国产化服务</w:t>
            </w:r>
          </w:p>
          <w:p w14:paraId="0DF3B9D0">
            <w:pPr>
              <w:spacing w:line="360" w:lineRule="auto"/>
              <w:ind w:firstLine="420" w:firstLineChars="200"/>
              <w:rPr>
                <w:rFonts w:ascii="宋体" w:hAnsi="宋体" w:cs="宋体"/>
                <w:szCs w:val="21"/>
              </w:rPr>
            </w:pPr>
            <w:r>
              <w:rPr>
                <w:rFonts w:hint="eastAsia" w:ascii="宋体" w:hAnsi="宋体" w:cs="宋体"/>
                <w:szCs w:val="21"/>
              </w:rPr>
              <w:t>投标人提供的应用系统部署在国产化服务器上，使用的数据库、操作系统、文件服务等符合国产化要求，提供相关国产化技术服务。</w:t>
            </w:r>
          </w:p>
          <w:p w14:paraId="2E6E450A">
            <w:pPr>
              <w:spacing w:line="360" w:lineRule="auto"/>
              <w:ind w:firstLine="420" w:firstLineChars="200"/>
              <w:rPr>
                <w:rFonts w:ascii="宋体" w:hAnsi="宋体" w:cs="宋体"/>
                <w:szCs w:val="21"/>
              </w:rPr>
            </w:pPr>
            <w:r>
              <w:rPr>
                <w:rFonts w:hint="eastAsia" w:ascii="宋体" w:hAnsi="宋体" w:cs="宋体"/>
                <w:szCs w:val="21"/>
              </w:rPr>
              <w:t>七、提供用户咨询与业务支持服务</w:t>
            </w:r>
          </w:p>
          <w:p w14:paraId="0C1A4065">
            <w:pPr>
              <w:spacing w:line="360" w:lineRule="auto"/>
              <w:ind w:firstLine="420" w:firstLineChars="200"/>
              <w:rPr>
                <w:rFonts w:ascii="宋体" w:hAnsi="宋体" w:cs="宋体"/>
                <w:szCs w:val="21"/>
              </w:rPr>
            </w:pPr>
            <w:r>
              <w:rPr>
                <w:rFonts w:hint="eastAsia" w:ascii="宋体" w:hAnsi="宋体" w:cs="宋体"/>
                <w:szCs w:val="21"/>
              </w:rPr>
              <w:t>1.日常业务咨询响应</w:t>
            </w:r>
          </w:p>
          <w:p w14:paraId="227DFAE1">
            <w:pPr>
              <w:spacing w:line="360" w:lineRule="auto"/>
              <w:ind w:firstLine="420" w:firstLineChars="200"/>
              <w:rPr>
                <w:rFonts w:ascii="宋体" w:hAnsi="宋体" w:cs="宋体"/>
                <w:szCs w:val="21"/>
              </w:rPr>
            </w:pPr>
            <w:r>
              <w:rPr>
                <w:rFonts w:hint="eastAsia" w:ascii="宋体" w:hAnsi="宋体" w:cs="宋体"/>
                <w:szCs w:val="21"/>
              </w:rPr>
              <w:t>面向全区14个设区市交通运输管理部门及1</w:t>
            </w:r>
            <w:r>
              <w:rPr>
                <w:rFonts w:ascii="宋体" w:hAnsi="宋体" w:cs="宋体"/>
                <w:szCs w:val="21"/>
              </w:rPr>
              <w:t>11个县（市、区）交通运输管理部门</w:t>
            </w:r>
            <w:r>
              <w:rPr>
                <w:rFonts w:hint="eastAsia" w:ascii="宋体" w:hAnsi="宋体" w:cs="宋体"/>
                <w:szCs w:val="21"/>
              </w:rPr>
              <w:t>、全区驾培机构及学员，提供5×8小时在线客服支持（电话、在线工单、即时通讯等）。</w:t>
            </w:r>
          </w:p>
          <w:p w14:paraId="2F65346C">
            <w:pPr>
              <w:spacing w:line="360" w:lineRule="auto"/>
              <w:ind w:firstLine="420" w:firstLineChars="200"/>
              <w:rPr>
                <w:rFonts w:ascii="宋体" w:hAnsi="宋体" w:cs="宋体"/>
                <w:szCs w:val="21"/>
              </w:rPr>
            </w:pPr>
            <w:r>
              <w:rPr>
                <w:rFonts w:hint="eastAsia" w:ascii="宋体" w:hAnsi="宋体" w:cs="宋体"/>
                <w:szCs w:val="21"/>
              </w:rPr>
              <w:t>日均处理咨询量超100人次，年累计超8万次，问题类型包括：学员报名缴费流程指导；手机号/身份证信息变更；培训车型更换操作；资金解冻、退学退款流程；系统登录与权限问题。</w:t>
            </w:r>
          </w:p>
          <w:p w14:paraId="13989FD6">
            <w:pPr>
              <w:spacing w:line="360" w:lineRule="auto"/>
              <w:ind w:firstLine="420" w:firstLineChars="200"/>
              <w:rPr>
                <w:rFonts w:ascii="宋体" w:hAnsi="宋体" w:cs="宋体"/>
                <w:szCs w:val="21"/>
              </w:rPr>
            </w:pPr>
            <w:r>
              <w:rPr>
                <w:rFonts w:hint="eastAsia" w:ascii="宋体" w:hAnsi="宋体" w:cs="宋体"/>
                <w:szCs w:val="21"/>
              </w:rPr>
              <w:t>3.根据采购方实际业务需求，提供关于系统使用和维护、管理、安全等方面的咨询解答服务。</w:t>
            </w:r>
          </w:p>
          <w:p w14:paraId="63A56858">
            <w:pPr>
              <w:spacing w:line="360" w:lineRule="auto"/>
              <w:ind w:firstLine="420" w:firstLineChars="200"/>
              <w:rPr>
                <w:rFonts w:ascii="宋体" w:hAnsi="宋体" w:cs="宋体"/>
                <w:szCs w:val="21"/>
              </w:rPr>
            </w:pPr>
            <w:r>
              <w:rPr>
                <w:rFonts w:hint="eastAsia" w:ascii="宋体" w:hAnsi="宋体" w:cs="宋体"/>
                <w:szCs w:val="21"/>
              </w:rPr>
              <w:t>4.问题分类与闭环管理</w:t>
            </w:r>
          </w:p>
          <w:p w14:paraId="6CEBA738">
            <w:pPr>
              <w:spacing w:line="360" w:lineRule="auto"/>
              <w:ind w:firstLine="420" w:firstLineChars="200"/>
              <w:rPr>
                <w:rFonts w:ascii="宋体" w:hAnsi="宋体" w:cs="宋体"/>
                <w:szCs w:val="21"/>
              </w:rPr>
            </w:pPr>
            <w:r>
              <w:rPr>
                <w:rFonts w:hint="eastAsia" w:ascii="宋体" w:hAnsi="宋体" w:cs="宋体"/>
                <w:szCs w:val="21"/>
              </w:rPr>
              <w:t>对用户问题进行分类（技术类、业务类、政策类），建立问题台账；跟踪问题处理进度，确保48小时内闭环反馈；定期汇总高频问题，形成知识库并推送至相关单位。</w:t>
            </w:r>
          </w:p>
          <w:p w14:paraId="511F7F6C">
            <w:pPr>
              <w:spacing w:line="360" w:lineRule="auto"/>
              <w:ind w:firstLine="420" w:firstLineChars="200"/>
              <w:rPr>
                <w:rFonts w:ascii="宋体" w:hAnsi="宋体" w:cs="宋体"/>
                <w:szCs w:val="21"/>
              </w:rPr>
            </w:pPr>
            <w:r>
              <w:rPr>
                <w:rFonts w:hint="eastAsia" w:ascii="宋体" w:hAnsi="宋体" w:cs="宋体"/>
                <w:szCs w:val="21"/>
              </w:rPr>
              <w:t>八、提供属地化协调与机构服务</w:t>
            </w:r>
          </w:p>
          <w:p w14:paraId="7C69D35E">
            <w:pPr>
              <w:spacing w:line="360" w:lineRule="auto"/>
              <w:ind w:firstLine="420" w:firstLineChars="200"/>
              <w:rPr>
                <w:rFonts w:ascii="宋体" w:hAnsi="宋体" w:cs="宋体"/>
                <w:szCs w:val="21"/>
              </w:rPr>
            </w:pPr>
            <w:r>
              <w:rPr>
                <w:rFonts w:hint="eastAsia" w:ascii="宋体" w:hAnsi="宋体" w:cs="宋体"/>
                <w:szCs w:val="21"/>
              </w:rPr>
              <w:t>1.驾培机构日常对接与问题跟踪</w:t>
            </w:r>
          </w:p>
          <w:p w14:paraId="05597958">
            <w:pPr>
              <w:spacing w:line="360" w:lineRule="auto"/>
              <w:ind w:firstLine="420" w:firstLineChars="200"/>
              <w:rPr>
                <w:rFonts w:ascii="宋体" w:hAnsi="宋体" w:cs="宋体"/>
                <w:szCs w:val="21"/>
              </w:rPr>
            </w:pPr>
            <w:r>
              <w:rPr>
                <w:rFonts w:hint="eastAsia" w:ascii="宋体" w:hAnsi="宋体" w:cs="宋体"/>
                <w:szCs w:val="21"/>
              </w:rPr>
              <w:t>每名运营人员负责2个地市约110–120家驾培机构；建立“机构联络员”机制，每机构指定1名对接人；每月至少1次主动回访（电话或线上），收集使用问题；对“投诉集中”的机构，开展专项跟踪；向交通运输部门提供季度驾培质量报告数据与解释。</w:t>
            </w:r>
          </w:p>
          <w:p w14:paraId="667C22EF">
            <w:pPr>
              <w:spacing w:line="360" w:lineRule="auto"/>
              <w:ind w:firstLine="420" w:firstLineChars="200"/>
              <w:rPr>
                <w:rFonts w:ascii="宋体" w:hAnsi="宋体" w:cs="宋体"/>
                <w:szCs w:val="21"/>
              </w:rPr>
            </w:pPr>
            <w:r>
              <w:rPr>
                <w:rFonts w:hint="eastAsia" w:ascii="宋体" w:hAnsi="宋体" w:cs="宋体"/>
                <w:szCs w:val="21"/>
              </w:rPr>
              <w:t>2.政策落地与业务规则宣贯</w:t>
            </w:r>
          </w:p>
          <w:p w14:paraId="53C819FB">
            <w:pPr>
              <w:spacing w:line="360" w:lineRule="auto"/>
              <w:ind w:firstLine="420" w:firstLineChars="200"/>
              <w:rPr>
                <w:rFonts w:ascii="宋体" w:hAnsi="宋体" w:cs="宋体"/>
                <w:szCs w:val="21"/>
              </w:rPr>
            </w:pPr>
            <w:r>
              <w:rPr>
                <w:rFonts w:hint="eastAsia" w:ascii="宋体" w:hAnsi="宋体" w:cs="宋体"/>
                <w:szCs w:val="21"/>
              </w:rPr>
              <w:t>当自治区出台新政策，</w:t>
            </w:r>
            <w:r>
              <w:rPr>
                <w:rFonts w:ascii="宋体" w:hAnsi="宋体" w:cs="宋体"/>
                <w:szCs w:val="21"/>
              </w:rPr>
              <w:t>协助</w:t>
            </w:r>
            <w:r>
              <w:rPr>
                <w:rFonts w:hint="eastAsia" w:ascii="宋体" w:hAnsi="宋体" w:cs="宋体"/>
                <w:szCs w:val="21"/>
              </w:rPr>
              <w:t>编写本地化解读材料（图文/短视频）；协助组织线上宣讲（每季度至少1场/人）；一对一解答机构疑问。</w:t>
            </w:r>
          </w:p>
          <w:p w14:paraId="4FF05052">
            <w:pPr>
              <w:spacing w:line="360" w:lineRule="auto"/>
              <w:ind w:firstLine="420" w:firstLineChars="200"/>
              <w:rPr>
                <w:rFonts w:ascii="宋体" w:hAnsi="宋体" w:cs="宋体"/>
                <w:szCs w:val="21"/>
              </w:rPr>
            </w:pPr>
            <w:r>
              <w:rPr>
                <w:rFonts w:hint="eastAsia" w:ascii="宋体" w:hAnsi="宋体" w:cs="宋体"/>
                <w:szCs w:val="21"/>
              </w:rPr>
              <w:t>九、提供数据核查与业务协同服务</w:t>
            </w:r>
          </w:p>
          <w:p w14:paraId="21ECA45F">
            <w:pPr>
              <w:spacing w:line="360" w:lineRule="auto"/>
              <w:ind w:firstLine="420" w:firstLineChars="200"/>
              <w:rPr>
                <w:rFonts w:ascii="宋体" w:hAnsi="宋体" w:cs="宋体"/>
                <w:szCs w:val="21"/>
              </w:rPr>
            </w:pPr>
            <w:r>
              <w:rPr>
                <w:rFonts w:hint="eastAsia" w:ascii="宋体" w:hAnsi="宋体" w:cs="宋体"/>
                <w:szCs w:val="21"/>
              </w:rPr>
              <w:t>1.异常数据人工复核与协调</w:t>
            </w:r>
          </w:p>
          <w:p w14:paraId="28A386F1">
            <w:pPr>
              <w:spacing w:line="360" w:lineRule="auto"/>
              <w:ind w:firstLine="420" w:firstLineChars="200"/>
              <w:rPr>
                <w:rFonts w:ascii="宋体" w:hAnsi="宋体" w:cs="宋体"/>
                <w:szCs w:val="21"/>
              </w:rPr>
            </w:pPr>
            <w:r>
              <w:rPr>
                <w:rFonts w:hint="eastAsia" w:ascii="宋体" w:hAnsi="宋体" w:cs="宋体"/>
                <w:szCs w:val="21"/>
              </w:rPr>
              <w:t>对系统自动标记的异常数据，需联系学员/机构核实真实性；判断是否属违规行为；形成核查记录，提交交通局作为执法依据；年均处理异常数据工单 ≥1,500条/人。</w:t>
            </w:r>
          </w:p>
          <w:p w14:paraId="0815A290">
            <w:pPr>
              <w:spacing w:line="360" w:lineRule="auto"/>
              <w:ind w:firstLine="420" w:firstLineChars="200"/>
              <w:rPr>
                <w:rFonts w:ascii="宋体" w:hAnsi="宋体" w:cs="宋体"/>
                <w:szCs w:val="21"/>
              </w:rPr>
            </w:pPr>
            <w:r>
              <w:rPr>
                <w:rFonts w:hint="eastAsia" w:ascii="宋体" w:hAnsi="宋体" w:cs="宋体"/>
                <w:szCs w:val="21"/>
              </w:rPr>
              <w:t>2.跨系统业务协同支持</w:t>
            </w:r>
          </w:p>
          <w:p w14:paraId="378677F6">
            <w:pPr>
              <w:spacing w:line="360" w:lineRule="auto"/>
              <w:ind w:firstLine="420" w:firstLineChars="200"/>
              <w:rPr>
                <w:rFonts w:ascii="宋体" w:hAnsi="宋体" w:cs="宋体"/>
                <w:szCs w:val="21"/>
              </w:rPr>
            </w:pPr>
            <w:r>
              <w:rPr>
                <w:rFonts w:hint="eastAsia" w:ascii="宋体" w:hAnsi="宋体" w:cs="宋体"/>
                <w:szCs w:val="21"/>
              </w:rPr>
              <w:t>与公安交管“考试预约系统”、银行系统接口等对接工作；收集用户反馈意见，推动系统功能优化；</w:t>
            </w:r>
          </w:p>
          <w:p w14:paraId="41FC605F">
            <w:pPr>
              <w:spacing w:line="360" w:lineRule="auto"/>
              <w:ind w:firstLine="420" w:firstLineChars="200"/>
              <w:rPr>
                <w:rFonts w:ascii="宋体" w:hAnsi="宋体" w:cs="宋体"/>
                <w:szCs w:val="21"/>
              </w:rPr>
            </w:pPr>
            <w:r>
              <w:rPr>
                <w:rFonts w:hint="eastAsia" w:ascii="宋体" w:hAnsi="宋体" w:cs="宋体"/>
                <w:szCs w:val="21"/>
              </w:rPr>
              <w:t>十、提供系统操作培训服务</w:t>
            </w:r>
          </w:p>
          <w:p w14:paraId="3C3E1216">
            <w:pPr>
              <w:spacing w:line="360" w:lineRule="auto"/>
              <w:ind w:firstLine="420" w:firstLineChars="200"/>
              <w:rPr>
                <w:rFonts w:ascii="宋体" w:hAnsi="宋体" w:cs="宋体"/>
                <w:szCs w:val="21"/>
              </w:rPr>
            </w:pPr>
            <w:r>
              <w:rPr>
                <w:rFonts w:hint="eastAsia" w:ascii="宋体" w:hAnsi="宋体" w:cs="宋体"/>
                <w:szCs w:val="21"/>
              </w:rPr>
              <w:t>根据需要对业务部门进行操作使用及定制化培训服务，提供操作文档。定期对广西全区14个设区市开展系统操作培训，详细讲解系统升级功能，处理系统应用过程中的问题。</w:t>
            </w:r>
          </w:p>
          <w:p w14:paraId="149A79E8">
            <w:pPr>
              <w:spacing w:line="360" w:lineRule="auto"/>
              <w:ind w:firstLine="420" w:firstLineChars="200"/>
              <w:rPr>
                <w:rFonts w:ascii="宋体" w:hAnsi="宋体" w:cs="宋体"/>
                <w:szCs w:val="21"/>
              </w:rPr>
            </w:pPr>
            <w:r>
              <w:rPr>
                <w:rFonts w:hint="eastAsia" w:ascii="宋体" w:hAnsi="宋体" w:cs="宋体"/>
                <w:szCs w:val="21"/>
              </w:rPr>
              <w:t>1.新机构接入培训：每年新增/变更机构约50家，需安排1对1系统操作培训；</w:t>
            </w:r>
          </w:p>
          <w:p w14:paraId="23FEF8FE">
            <w:pPr>
              <w:spacing w:line="360" w:lineRule="auto"/>
              <w:ind w:firstLine="420" w:firstLineChars="200"/>
              <w:rPr>
                <w:rFonts w:ascii="宋体" w:hAnsi="宋体" w:cs="宋体"/>
                <w:szCs w:val="21"/>
              </w:rPr>
            </w:pPr>
            <w:r>
              <w:rPr>
                <w:rFonts w:hint="eastAsia" w:ascii="宋体" w:hAnsi="宋体" w:cs="宋体"/>
                <w:szCs w:val="21"/>
              </w:rPr>
              <w:t>2.功能升级培训：平台每年2–3次重大功能更新（如新增退费模块、对接公安考试系统），需组织覆盖全部机构的培训；</w:t>
            </w:r>
          </w:p>
          <w:p w14:paraId="57992AD1">
            <w:pPr>
              <w:spacing w:line="360" w:lineRule="auto"/>
              <w:ind w:firstLine="420" w:firstLineChars="200"/>
              <w:rPr>
                <w:rFonts w:ascii="宋体" w:hAnsi="宋体" w:cs="宋体"/>
                <w:szCs w:val="21"/>
              </w:rPr>
            </w:pPr>
            <w:r>
              <w:rPr>
                <w:rFonts w:hint="eastAsia" w:ascii="宋体" w:hAnsi="宋体" w:cs="宋体"/>
                <w:szCs w:val="21"/>
              </w:rPr>
              <w:t>3.交通局业务人员培训：协助市级交通局信息科人员掌握数据查询、异常处理等操作；</w:t>
            </w:r>
          </w:p>
          <w:p w14:paraId="0B601703">
            <w:pPr>
              <w:spacing w:line="360" w:lineRule="auto"/>
              <w:ind w:firstLine="420" w:firstLineChars="200"/>
              <w:rPr>
                <w:rFonts w:ascii="宋体" w:hAnsi="宋体" w:cs="宋体"/>
                <w:szCs w:val="21"/>
              </w:rPr>
            </w:pPr>
            <w:r>
              <w:rPr>
                <w:rFonts w:hint="eastAsia" w:ascii="宋体" w:hAnsi="宋体" w:cs="宋体"/>
                <w:szCs w:val="21"/>
              </w:rPr>
              <w:t>4.培训形式：线上直播（主）、线下集中（辅），每次培训含课件准备、演练、答疑、反馈收集；</w:t>
            </w:r>
          </w:p>
          <w:p w14:paraId="7ED8B9EA">
            <w:pPr>
              <w:spacing w:line="360" w:lineRule="auto"/>
              <w:ind w:firstLine="420" w:firstLineChars="200"/>
              <w:rPr>
                <w:szCs w:val="21"/>
              </w:rPr>
            </w:pPr>
            <w:r>
              <w:rPr>
                <w:rFonts w:hint="eastAsia" w:ascii="宋体" w:hAnsi="宋体" w:cs="宋体"/>
                <w:szCs w:val="21"/>
              </w:rPr>
              <w:t>5.年均工作量：每人年组织培训 ≥10场，准备材料 ≥20份</w:t>
            </w:r>
          </w:p>
        </w:tc>
      </w:tr>
      <w:tr w14:paraId="6646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6FF84B1">
            <w:pPr>
              <w:spacing w:line="340" w:lineRule="exact"/>
              <w:rPr>
                <w:b/>
                <w:szCs w:val="21"/>
              </w:rPr>
            </w:pPr>
            <w:r>
              <w:rPr>
                <w:rFonts w:hint="eastAsia" w:ascii="宋体" w:hAnsi="宋体"/>
                <w:b/>
                <w:szCs w:val="21"/>
              </w:rPr>
              <w:t>商务要求表</w:t>
            </w:r>
          </w:p>
        </w:tc>
      </w:tr>
      <w:tr w14:paraId="1713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49424C91">
            <w:pPr>
              <w:snapToGrid w:val="0"/>
              <w:spacing w:line="340" w:lineRule="exact"/>
              <w:jc w:val="center"/>
              <w:rPr>
                <w:rFonts w:ascii="宋体" w:hAnsi="宋体"/>
                <w:szCs w:val="21"/>
              </w:rPr>
            </w:pPr>
            <w:r>
              <w:rPr>
                <w:rFonts w:hint="eastAsia" w:ascii="宋体" w:hAnsi="宋体"/>
                <w:szCs w:val="21"/>
              </w:rPr>
              <w:t>▲服务期限</w:t>
            </w:r>
          </w:p>
        </w:tc>
        <w:tc>
          <w:tcPr>
            <w:tcW w:w="7431" w:type="dxa"/>
            <w:gridSpan w:val="2"/>
            <w:tcBorders>
              <w:top w:val="single" w:color="auto" w:sz="4" w:space="0"/>
              <w:left w:val="single" w:color="auto" w:sz="4" w:space="0"/>
              <w:right w:val="single" w:color="auto" w:sz="4" w:space="0"/>
            </w:tcBorders>
            <w:vAlign w:val="center"/>
          </w:tcPr>
          <w:p w14:paraId="675BEBC2">
            <w:pPr>
              <w:spacing w:line="340" w:lineRule="exact"/>
              <w:rPr>
                <w:szCs w:val="21"/>
              </w:rPr>
            </w:pPr>
            <w:r>
              <w:rPr>
                <w:rFonts w:hint="eastAsia" w:ascii="宋体" w:hAnsi="宋体" w:cs="宋体"/>
                <w:bCs/>
                <w:szCs w:val="21"/>
              </w:rPr>
              <w:t>2026年</w:t>
            </w:r>
            <w:r>
              <w:rPr>
                <w:rFonts w:ascii="宋体" w:hAnsi="宋体" w:cs="宋体"/>
                <w:bCs/>
                <w:szCs w:val="21"/>
              </w:rPr>
              <w:t>6</w:t>
            </w:r>
            <w:r>
              <w:rPr>
                <w:rFonts w:hint="eastAsia" w:ascii="宋体" w:hAnsi="宋体" w:cs="宋体"/>
                <w:bCs/>
                <w:szCs w:val="21"/>
              </w:rPr>
              <w:t>月</w:t>
            </w:r>
            <w:r>
              <w:rPr>
                <w:rFonts w:ascii="宋体" w:hAnsi="宋体" w:cs="宋体"/>
                <w:bCs/>
                <w:szCs w:val="21"/>
              </w:rPr>
              <w:t>1</w:t>
            </w:r>
            <w:r>
              <w:rPr>
                <w:rFonts w:hint="eastAsia" w:ascii="宋体" w:hAnsi="宋体" w:cs="宋体"/>
                <w:bCs/>
                <w:szCs w:val="21"/>
              </w:rPr>
              <w:t>日至2027年</w:t>
            </w:r>
            <w:r>
              <w:rPr>
                <w:rFonts w:ascii="宋体" w:hAnsi="宋体" w:cs="宋体"/>
                <w:bCs/>
                <w:szCs w:val="21"/>
              </w:rPr>
              <w:t>5</w:t>
            </w:r>
            <w:r>
              <w:rPr>
                <w:rFonts w:hint="eastAsia" w:ascii="宋体" w:hAnsi="宋体" w:cs="宋体"/>
                <w:bCs/>
                <w:szCs w:val="21"/>
              </w:rPr>
              <w:t>月</w:t>
            </w:r>
            <w:r>
              <w:rPr>
                <w:rFonts w:ascii="宋体" w:hAnsi="宋体" w:cs="宋体"/>
                <w:bCs/>
                <w:szCs w:val="21"/>
              </w:rPr>
              <w:t>31</w:t>
            </w:r>
            <w:r>
              <w:rPr>
                <w:rFonts w:hint="eastAsia" w:ascii="宋体" w:hAnsi="宋体" w:cs="宋体"/>
                <w:bCs/>
                <w:szCs w:val="21"/>
              </w:rPr>
              <w:t>日</w:t>
            </w:r>
          </w:p>
        </w:tc>
      </w:tr>
      <w:tr w14:paraId="4837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0E55332B">
            <w:pPr>
              <w:tabs>
                <w:tab w:val="left" w:pos="180"/>
                <w:tab w:val="left" w:pos="1620"/>
              </w:tabs>
              <w:spacing w:line="400" w:lineRule="exact"/>
              <w:jc w:val="center"/>
              <w:rPr>
                <w:rFonts w:ascii="宋体" w:hAnsi="宋体"/>
                <w:szCs w:val="21"/>
              </w:rPr>
            </w:pPr>
            <w:r>
              <w:rPr>
                <w:rFonts w:hint="eastAsia" w:ascii="宋体" w:hAnsi="宋体"/>
                <w:szCs w:val="21"/>
              </w:rPr>
              <w:t>合同签订期</w:t>
            </w:r>
          </w:p>
        </w:tc>
        <w:tc>
          <w:tcPr>
            <w:tcW w:w="7431" w:type="dxa"/>
            <w:gridSpan w:val="2"/>
            <w:tcBorders>
              <w:top w:val="single" w:color="auto" w:sz="4" w:space="0"/>
              <w:left w:val="single" w:color="auto" w:sz="4" w:space="0"/>
              <w:right w:val="single" w:color="auto" w:sz="4" w:space="0"/>
            </w:tcBorders>
            <w:vAlign w:val="center"/>
          </w:tcPr>
          <w:p w14:paraId="00F68F1C">
            <w:pPr>
              <w:tabs>
                <w:tab w:val="left" w:pos="180"/>
                <w:tab w:val="left" w:pos="1620"/>
              </w:tabs>
              <w:spacing w:line="400" w:lineRule="exact"/>
              <w:jc w:val="left"/>
              <w:rPr>
                <w:rFonts w:ascii="宋体" w:hAnsi="宋体"/>
                <w:szCs w:val="21"/>
              </w:rPr>
            </w:pPr>
            <w:r>
              <w:rPr>
                <w:rFonts w:hint="eastAsia" w:ascii="宋体" w:hAnsi="宋体"/>
                <w:szCs w:val="21"/>
              </w:rPr>
              <w:t>自中标通知书发出之日起25日内。</w:t>
            </w:r>
          </w:p>
        </w:tc>
      </w:tr>
      <w:tr w14:paraId="7D7C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7C44B0BD">
            <w:pPr>
              <w:snapToGrid w:val="0"/>
              <w:spacing w:line="380" w:lineRule="exact"/>
              <w:jc w:val="center"/>
              <w:rPr>
                <w:rFonts w:ascii="宋体" w:hAnsi="宋体"/>
                <w:szCs w:val="21"/>
              </w:rPr>
            </w:pPr>
            <w:r>
              <w:rPr>
                <w:rFonts w:hint="eastAsia" w:ascii="宋体" w:hAnsi="宋体"/>
                <w:szCs w:val="21"/>
              </w:rPr>
              <w:t>▲服务地点</w:t>
            </w:r>
          </w:p>
        </w:tc>
        <w:tc>
          <w:tcPr>
            <w:tcW w:w="7431" w:type="dxa"/>
            <w:gridSpan w:val="2"/>
            <w:tcBorders>
              <w:top w:val="single" w:color="auto" w:sz="4" w:space="0"/>
              <w:left w:val="single" w:color="auto" w:sz="4" w:space="0"/>
              <w:right w:val="single" w:color="auto" w:sz="4" w:space="0"/>
            </w:tcBorders>
            <w:vAlign w:val="center"/>
          </w:tcPr>
          <w:p w14:paraId="20D27E3D">
            <w:pPr>
              <w:spacing w:line="380" w:lineRule="exact"/>
              <w:rPr>
                <w:szCs w:val="21"/>
              </w:rPr>
            </w:pPr>
            <w:r>
              <w:rPr>
                <w:rFonts w:hint="eastAsia" w:ascii="宋体" w:hAnsi="宋体"/>
                <w:szCs w:val="21"/>
              </w:rPr>
              <w:t>广西区内（采购人指定地点）</w:t>
            </w:r>
          </w:p>
        </w:tc>
      </w:tr>
      <w:tr w14:paraId="2A3C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02109DAC">
            <w:pPr>
              <w:snapToGrid w:val="0"/>
              <w:spacing w:line="340" w:lineRule="exact"/>
              <w:jc w:val="center"/>
              <w:rPr>
                <w:rFonts w:ascii="宋体" w:hAnsi="宋体"/>
                <w:szCs w:val="21"/>
              </w:rPr>
            </w:pPr>
            <w:r>
              <w:rPr>
                <w:rFonts w:hint="eastAsia" w:ascii="宋体" w:hAnsi="宋体"/>
                <w:szCs w:val="21"/>
              </w:rPr>
              <w:t>▲付款条件</w:t>
            </w:r>
          </w:p>
        </w:tc>
        <w:tc>
          <w:tcPr>
            <w:tcW w:w="7431" w:type="dxa"/>
            <w:gridSpan w:val="2"/>
            <w:tcBorders>
              <w:top w:val="single" w:color="auto" w:sz="4" w:space="0"/>
              <w:left w:val="single" w:color="auto" w:sz="4" w:space="0"/>
              <w:right w:val="single" w:color="auto" w:sz="4" w:space="0"/>
            </w:tcBorders>
            <w:vAlign w:val="center"/>
          </w:tcPr>
          <w:p w14:paraId="5357BAE1">
            <w:pPr>
              <w:spacing w:line="360" w:lineRule="auto"/>
              <w:rPr>
                <w:szCs w:val="21"/>
              </w:rPr>
            </w:pPr>
            <w:r>
              <w:rPr>
                <w:rFonts w:hint="eastAsia" w:ascii="宋体" w:hAnsi="宋体"/>
                <w:szCs w:val="21"/>
              </w:rPr>
              <w:t>签订合同后十个工作日内，采购人向中标供应商支付全部合同金额的50%；在中标供应商签订合同</w:t>
            </w:r>
            <w:r>
              <w:rPr>
                <w:rFonts w:ascii="宋体" w:hAnsi="宋体"/>
                <w:szCs w:val="21"/>
              </w:rPr>
              <w:t>2</w:t>
            </w:r>
            <w:r>
              <w:rPr>
                <w:rFonts w:hint="eastAsia" w:ascii="宋体" w:hAnsi="宋体"/>
                <w:szCs w:val="21"/>
              </w:rPr>
              <w:t>个月后，由采购人对中标供应商的服务能力验收，验收通过后，采购人于10个工作日内向中标供应商支付30%合同款；在中标供应商签订合同4个月后，采购人于10个工作日内向中标供应商支付20%合同款。采购人付款前，中标供应商应向采购人开具等额有效的增值税发票，采购人未收到发票的，有权不予支付相应款项直至中标供应商提供合格发票，并不承担延迟付款责任。</w:t>
            </w:r>
          </w:p>
        </w:tc>
      </w:tr>
      <w:tr w14:paraId="550A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0B9EF3F9">
            <w:pPr>
              <w:snapToGrid w:val="0"/>
              <w:spacing w:line="340" w:lineRule="exact"/>
              <w:jc w:val="center"/>
              <w:rPr>
                <w:rFonts w:ascii="宋体" w:hAnsi="宋体"/>
                <w:szCs w:val="21"/>
              </w:rPr>
            </w:pPr>
            <w:r>
              <w:rPr>
                <w:rFonts w:hint="eastAsia" w:ascii="宋体" w:hAnsi="宋体"/>
                <w:szCs w:val="21"/>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693968DC">
            <w:pPr>
              <w:spacing w:line="400" w:lineRule="exact"/>
              <w:rPr>
                <w:szCs w:val="21"/>
              </w:rPr>
            </w:pPr>
            <w:r>
              <w:rPr>
                <w:rFonts w:hint="eastAsia" w:ascii="宋体" w:hAnsi="宋体"/>
                <w:szCs w:val="21"/>
              </w:rPr>
              <w:t>本项目报价为总包干价。</w:t>
            </w:r>
            <w:r>
              <w:rPr>
                <w:rFonts w:hint="eastAsia"/>
                <w:szCs w:val="21"/>
              </w:rPr>
              <w:t>报价包含本项目所有服务内容、</w:t>
            </w:r>
            <w:r>
              <w:rPr>
                <w:rFonts w:hint="eastAsia" w:ascii="宋体" w:hAnsi="宋体" w:cs="宋体"/>
                <w:szCs w:val="21"/>
              </w:rPr>
              <w:t>服务中包含货物</w:t>
            </w:r>
            <w:r>
              <w:rPr>
                <w:rFonts w:hint="eastAsia"/>
                <w:szCs w:val="21"/>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szCs w:val="21"/>
              </w:rPr>
              <w:t>由供应商根据采购文件所提供的资料自行测算投标报价；一经中标，投标报价总价作为中标供应商与采购人签订的合同金额，合同期限内不做调整。</w:t>
            </w:r>
          </w:p>
        </w:tc>
      </w:tr>
      <w:tr w14:paraId="579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0377596A">
            <w:pPr>
              <w:snapToGrid w:val="0"/>
              <w:spacing w:line="380" w:lineRule="exact"/>
              <w:jc w:val="center"/>
              <w:rPr>
                <w:rFonts w:ascii="宋体" w:hAnsi="宋体"/>
                <w:szCs w:val="21"/>
              </w:rPr>
            </w:pPr>
            <w:r>
              <w:rPr>
                <w:rFonts w:hint="eastAsia" w:ascii="宋体" w:hAnsi="宋体"/>
                <w:szCs w:val="21"/>
              </w:rPr>
              <w:t>其它要求</w:t>
            </w:r>
          </w:p>
        </w:tc>
        <w:tc>
          <w:tcPr>
            <w:tcW w:w="7431" w:type="dxa"/>
            <w:gridSpan w:val="2"/>
            <w:tcBorders>
              <w:top w:val="single" w:color="auto" w:sz="4" w:space="0"/>
              <w:left w:val="single" w:color="auto" w:sz="4" w:space="0"/>
              <w:right w:val="single" w:color="auto" w:sz="4" w:space="0"/>
            </w:tcBorders>
            <w:vAlign w:val="center"/>
          </w:tcPr>
          <w:p w14:paraId="67BD11C9">
            <w:pPr>
              <w:spacing w:line="380" w:lineRule="exact"/>
              <w:rPr>
                <w:szCs w:val="21"/>
              </w:rPr>
            </w:pPr>
            <w:r>
              <w:rPr>
                <w:rFonts w:hint="eastAsia"/>
                <w:szCs w:val="21"/>
              </w:rPr>
              <w:t>（一）服务质量要求</w:t>
            </w:r>
          </w:p>
          <w:p w14:paraId="1880B48D">
            <w:pPr>
              <w:spacing w:line="380" w:lineRule="exact"/>
              <w:rPr>
                <w:szCs w:val="21"/>
              </w:rPr>
            </w:pPr>
            <w:r>
              <w:rPr>
                <w:rFonts w:hint="eastAsia"/>
                <w:szCs w:val="21"/>
              </w:rPr>
              <w:t>1、投标人具备相关信息化系统的开发和运行维护经验。</w:t>
            </w:r>
          </w:p>
          <w:p w14:paraId="2171966E">
            <w:pPr>
              <w:spacing w:line="380" w:lineRule="exact"/>
              <w:rPr>
                <w:szCs w:val="21"/>
              </w:rPr>
            </w:pPr>
            <w:r>
              <w:rPr>
                <w:rFonts w:hint="eastAsia"/>
                <w:szCs w:val="21"/>
              </w:rPr>
              <w:t>2、投标人承诺中标后能为本项目提供本地化服务的能力，并在广西设有本地化的服务团队</w:t>
            </w:r>
            <w:r>
              <w:rPr>
                <w:rFonts w:hint="eastAsia" w:ascii="宋体" w:hAnsi="宋体" w:cs="宋体"/>
                <w:szCs w:val="21"/>
              </w:rPr>
              <w:t>（如已具备本地化能力，投标文件中提供地址、服务团队名单、联系方式；未设立的则在投标文件中提供承诺函（格式自拟））</w:t>
            </w:r>
            <w:r>
              <w:rPr>
                <w:rFonts w:hint="eastAsia"/>
                <w:szCs w:val="21"/>
              </w:rPr>
              <w:t>。</w:t>
            </w:r>
          </w:p>
          <w:p w14:paraId="3177DA7F">
            <w:pPr>
              <w:spacing w:line="380" w:lineRule="exact"/>
              <w:rPr>
                <w:szCs w:val="21"/>
              </w:rPr>
            </w:pPr>
            <w:r>
              <w:rPr>
                <w:rFonts w:hint="eastAsia"/>
                <w:szCs w:val="21"/>
              </w:rPr>
              <w:t>3、投标人提供7*24小时专人职守服务，实时响应内部服务请求，详细记录问题解决情况。维护期内配备1名技术人员驻场，每个部署上线的</w:t>
            </w:r>
            <w:r>
              <w:rPr>
                <w:szCs w:val="21"/>
              </w:rPr>
              <w:t>地市</w:t>
            </w:r>
            <w:r>
              <w:rPr>
                <w:rFonts w:hint="eastAsia"/>
                <w:szCs w:val="21"/>
              </w:rPr>
              <w:t>配置1</w:t>
            </w:r>
            <w:r>
              <w:rPr>
                <w:szCs w:val="21"/>
              </w:rPr>
              <w:t>-2</w:t>
            </w:r>
            <w:r>
              <w:rPr>
                <w:rFonts w:hint="eastAsia"/>
                <w:szCs w:val="21"/>
              </w:rPr>
              <w:t>名</w:t>
            </w:r>
            <w:r>
              <w:rPr>
                <w:szCs w:val="21"/>
              </w:rPr>
              <w:t>服务人员</w:t>
            </w:r>
            <w:r>
              <w:rPr>
                <w:rFonts w:hint="eastAsia"/>
                <w:szCs w:val="21"/>
              </w:rPr>
              <w:t>，提供现场服务、远程技术服务、预防性服务、定期专访、远程监控等服务方式，提供7×24小时维保服务。面向各级交通运输主管部门、区内驾驶培训机构提供技术和业务支持，包括通过网络、电话和邮件远程技术协助，现场技术支持。</w:t>
            </w:r>
          </w:p>
          <w:p w14:paraId="3A808BE2">
            <w:pPr>
              <w:spacing w:line="380" w:lineRule="exact"/>
              <w:rPr>
                <w:szCs w:val="21"/>
              </w:rPr>
            </w:pPr>
            <w:r>
              <w:rPr>
                <w:rFonts w:hint="eastAsia"/>
                <w:szCs w:val="21"/>
              </w:rPr>
              <w:t>4、投标人应建立规范的内部管理制度。严格管理专职专业技术人员，保证服务态度良好、问题解决及时、重大问题及时反馈、运维记录详细。</w:t>
            </w:r>
          </w:p>
          <w:p w14:paraId="6B82C994">
            <w:pPr>
              <w:spacing w:line="380" w:lineRule="exact"/>
              <w:rPr>
                <w:szCs w:val="21"/>
              </w:rPr>
            </w:pPr>
            <w:r>
              <w:rPr>
                <w:rFonts w:hint="eastAsia"/>
                <w:szCs w:val="21"/>
              </w:rPr>
              <w:t>5、投标人应建立常见系统故障应急预案，以便出现问题后，及时作出响应。</w:t>
            </w:r>
          </w:p>
          <w:p w14:paraId="0A5141EF">
            <w:pPr>
              <w:spacing w:line="380" w:lineRule="exact"/>
              <w:rPr>
                <w:szCs w:val="21"/>
              </w:rPr>
            </w:pPr>
            <w:r>
              <w:rPr>
                <w:rFonts w:hint="eastAsia"/>
                <w:szCs w:val="21"/>
              </w:rPr>
              <w:t>6、投标人有义务对专职专业技术人员进行岗前操作培训，以便更好地掌握平台运维技能。</w:t>
            </w:r>
          </w:p>
          <w:p w14:paraId="52563831">
            <w:pPr>
              <w:spacing w:line="380" w:lineRule="exact"/>
              <w:rPr>
                <w:szCs w:val="21"/>
              </w:rPr>
            </w:pPr>
            <w:r>
              <w:rPr>
                <w:rFonts w:hint="eastAsia"/>
                <w:szCs w:val="21"/>
              </w:rPr>
              <w:t>7、当出现业务无法办理、数据丢失等系统故障时，投标人必须在10分钟内进行响应，2小时内提出处理方案，12小时内解决故障。</w:t>
            </w:r>
          </w:p>
          <w:p w14:paraId="44076B78">
            <w:pPr>
              <w:spacing w:line="380" w:lineRule="exact"/>
              <w:rPr>
                <w:szCs w:val="21"/>
              </w:rPr>
            </w:pPr>
            <w:r>
              <w:rPr>
                <w:rFonts w:hint="eastAsia"/>
                <w:szCs w:val="21"/>
              </w:rPr>
              <w:t>（二）服务规范要求</w:t>
            </w:r>
          </w:p>
          <w:p w14:paraId="245A5C34">
            <w:pPr>
              <w:spacing w:line="380" w:lineRule="exact"/>
              <w:rPr>
                <w:szCs w:val="21"/>
              </w:rPr>
            </w:pPr>
            <w:r>
              <w:rPr>
                <w:rFonts w:hint="eastAsia"/>
                <w:szCs w:val="21"/>
              </w:rPr>
              <w:t>1、遵守用户的规章制度，严格按照规章制度办事。</w:t>
            </w:r>
          </w:p>
          <w:p w14:paraId="733811BA">
            <w:pPr>
              <w:spacing w:line="380" w:lineRule="exact"/>
              <w:rPr>
                <w:szCs w:val="21"/>
              </w:rPr>
            </w:pPr>
            <w:r>
              <w:rPr>
                <w:rFonts w:hint="eastAsia"/>
                <w:szCs w:val="21"/>
              </w:rPr>
              <w:t>2、对被支持单位的网络、主机、系统软件、应用软件的密码、核心参数、业务数据等负有保密责任，不得随意复制和传播。</w:t>
            </w:r>
          </w:p>
          <w:p w14:paraId="6A54E024">
            <w:pPr>
              <w:spacing w:line="380" w:lineRule="exact"/>
              <w:rPr>
                <w:szCs w:val="21"/>
              </w:rPr>
            </w:pPr>
            <w:r>
              <w:rPr>
                <w:rFonts w:hint="eastAsia"/>
                <w:szCs w:val="21"/>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716EE703">
            <w:pPr>
              <w:spacing w:line="380" w:lineRule="exact"/>
              <w:rPr>
                <w:szCs w:val="21"/>
              </w:rPr>
            </w:pPr>
            <w:r>
              <w:rPr>
                <w:rFonts w:hint="eastAsia"/>
                <w:szCs w:val="21"/>
              </w:rPr>
              <w:t>4、服务期间须按照国家网络安全及信息保密安全有关管理规定做好网络安全保密工作。指定具体网络安全责任人，建立独立的管理技术团队负责项目实施过程中的网络安全管理。网络安全责任人及工作人员有变更、业务转型或因自身原因有合并重组等的须提前向招标人进行书面说明，未经采购人同意，不得私自将在采购人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25F196CE">
            <w:pPr>
              <w:spacing w:line="380" w:lineRule="exact"/>
              <w:rPr>
                <w:szCs w:val="21"/>
              </w:rPr>
            </w:pPr>
            <w:r>
              <w:rPr>
                <w:rFonts w:hint="eastAsia"/>
                <w:szCs w:val="21"/>
              </w:rPr>
              <w:t>5、服务期间涉及的政务数据和其他数据须分开处理，不得私自将工作中处理的数据进行变更处理。投标人在服务期间处理数据，涉及到个人信息时，须按照国家个人信息保护相关管理规定，做好数据处理存储工作。采购人具有所有权、使用权和访问权，投标人不得私自更改、访问、利用和销毁服务期间涉及到的政务数据信息。</w:t>
            </w:r>
          </w:p>
          <w:p w14:paraId="7FBAC45E">
            <w:pPr>
              <w:spacing w:line="380" w:lineRule="exact"/>
              <w:rPr>
                <w:szCs w:val="21"/>
              </w:rPr>
            </w:pPr>
            <w:r>
              <w:rPr>
                <w:rFonts w:hint="eastAsia"/>
                <w:szCs w:val="21"/>
              </w:rPr>
              <w:t>▲6、中标人必须与采购人签订保密协议， 202</w:t>
            </w:r>
            <w:r>
              <w:rPr>
                <w:szCs w:val="21"/>
              </w:rPr>
              <w:t>6</w:t>
            </w:r>
            <w:r>
              <w:rPr>
                <w:rFonts w:hint="eastAsia"/>
                <w:szCs w:val="21"/>
              </w:rPr>
              <w:t>年完成信息系统安全等级保护（三级）备案工作，做好网络安全等级及密码测评</w:t>
            </w:r>
            <w:r>
              <w:rPr>
                <w:szCs w:val="21"/>
              </w:rPr>
              <w:t>。</w:t>
            </w:r>
          </w:p>
          <w:p w14:paraId="00EDEC54">
            <w:pPr>
              <w:spacing w:line="380" w:lineRule="exact"/>
              <w:rPr>
                <w:szCs w:val="21"/>
              </w:rPr>
            </w:pPr>
            <w:r>
              <w:rPr>
                <w:rFonts w:hint="eastAsia"/>
                <w:szCs w:val="21"/>
              </w:rPr>
              <w:t>▲7、投标人须配合做好国产化相关工作。</w:t>
            </w:r>
          </w:p>
        </w:tc>
      </w:tr>
    </w:tbl>
    <w:p w14:paraId="669489EE">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4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7E76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58B27661">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14A0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A094DFC">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26AF2BAC">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05A26B1B">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6397B442">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1F52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23BB82E4">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0EDD7B63">
            <w:pPr>
              <w:spacing w:line="380" w:lineRule="exact"/>
              <w:jc w:val="center"/>
              <w:rPr>
                <w:rFonts w:ascii="宋体" w:hAnsi="宋体" w:cs="宋体"/>
                <w:color w:val="auto"/>
                <w:szCs w:val="21"/>
                <w:highlight w:val="none"/>
              </w:rPr>
            </w:pPr>
            <w:r>
              <w:rPr>
                <w:rFonts w:hint="eastAsia" w:hAnsi="宋体"/>
                <w:color w:val="auto"/>
                <w:szCs w:val="21"/>
                <w:highlight w:val="none"/>
              </w:rPr>
              <w:t>广西道路运输车辆智能防控系统技术服务</w:t>
            </w:r>
          </w:p>
        </w:tc>
        <w:tc>
          <w:tcPr>
            <w:tcW w:w="756" w:type="dxa"/>
            <w:tcBorders>
              <w:top w:val="single" w:color="auto" w:sz="4" w:space="0"/>
              <w:left w:val="single" w:color="auto" w:sz="4" w:space="0"/>
              <w:right w:val="single" w:color="auto" w:sz="4" w:space="0"/>
            </w:tcBorders>
            <w:vAlign w:val="center"/>
          </w:tcPr>
          <w:p w14:paraId="5FD8623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1D96149A">
            <w:pPr>
              <w:spacing w:line="312" w:lineRule="auto"/>
              <w:ind w:firstLine="420" w:firstLineChars="200"/>
              <w:jc w:val="left"/>
              <w:rPr>
                <w:color w:val="auto"/>
                <w:szCs w:val="21"/>
                <w:highlight w:val="none"/>
              </w:rPr>
            </w:pPr>
            <w:r>
              <w:rPr>
                <w:color w:val="auto"/>
                <w:szCs w:val="21"/>
                <w:highlight w:val="none"/>
              </w:rPr>
              <w:t>一、提供运营服务</w:t>
            </w:r>
          </w:p>
          <w:p w14:paraId="27F99E4A">
            <w:pPr>
              <w:spacing w:line="312" w:lineRule="auto"/>
              <w:ind w:firstLine="420" w:firstLineChars="200"/>
              <w:jc w:val="left"/>
              <w:rPr>
                <w:color w:val="auto"/>
                <w:szCs w:val="21"/>
                <w:highlight w:val="none"/>
              </w:rPr>
            </w:pPr>
            <w:r>
              <w:rPr>
                <w:rFonts w:hint="eastAsia"/>
                <w:color w:val="auto"/>
                <w:szCs w:val="21"/>
                <w:highlight w:val="none"/>
              </w:rPr>
              <w:t>1.组织开展智能视频监控装置、企业监控平台、动态监控专项委托服务的抽查工作。对</w:t>
            </w:r>
            <w:r>
              <w:rPr>
                <w:rFonts w:hint="eastAsia" w:ascii="宋体" w:hAnsi="宋体" w:cs="宋体"/>
                <w:color w:val="auto"/>
                <w:kern w:val="0"/>
                <w:szCs w:val="21"/>
                <w:highlight w:val="none"/>
                <w:lang w:bidi="ar"/>
              </w:rPr>
              <w:t>全省“两客一危”智能监控设备、企业监控平台服务商技术年度抽查工作（终端设备规范性抽查、企业管理制度抽查、监控人员能力资质抽查等）</w:t>
            </w:r>
            <w:r>
              <w:rPr>
                <w:rFonts w:hint="eastAsia"/>
                <w:color w:val="auto"/>
                <w:szCs w:val="21"/>
                <w:highlight w:val="none"/>
              </w:rPr>
              <w:t>，对各地市动态监控平台服务商实施现场检查及指导，确保对已备案的企业监控平台检查全覆盖，形成检查报告。根据检查结果编制报告并提出整改建议，协助管理部门督促整改，同时协助管理部门将检查结果应用于对运营商和设备商的考核管理。</w:t>
            </w:r>
          </w:p>
          <w:p w14:paraId="1136EA52">
            <w:pPr>
              <w:spacing w:line="312"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.配合做好运营服务商备案工作，</w:t>
            </w:r>
            <w:r>
              <w:rPr>
                <w:rFonts w:hint="eastAsia" w:ascii="宋体" w:hAnsi="宋体" w:cs="宋体"/>
                <w:color w:val="auto"/>
                <w:kern w:val="0"/>
                <w:szCs w:val="21"/>
                <w:highlight w:val="none"/>
                <w:lang w:bidi="ar"/>
              </w:rPr>
              <w:t>对各地、各企业应用“广西道路运输车辆智能防控系统”提供技术支撑，对设备报警信息核查分析，形成月度、季度“两客一危”动态监控监管情况分析报告</w:t>
            </w:r>
            <w:r>
              <w:rPr>
                <w:rFonts w:hint="eastAsia"/>
                <w:color w:val="auto"/>
                <w:szCs w:val="21"/>
                <w:highlight w:val="none"/>
              </w:rPr>
              <w:t>。</w:t>
            </w:r>
          </w:p>
          <w:p w14:paraId="70C27B68">
            <w:pPr>
              <w:spacing w:line="312"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日常监测服务。配备驻场专职专业技术人员，对广西壮族自治区道路运输车辆智能防控系统行业服务平台运行情况进行日常监测。对平台上报数量进行实时统计和更新，并与企业、运营商进行数据核对与确认，内容存档形成管理档案资料，提供后期的应用参考依据。</w:t>
            </w:r>
          </w:p>
          <w:p w14:paraId="347052AB">
            <w:pPr>
              <w:spacing w:line="312" w:lineRule="auto"/>
              <w:ind w:firstLine="420" w:firstLineChars="200"/>
              <w:jc w:val="left"/>
              <w:rPr>
                <w:color w:val="auto"/>
                <w:szCs w:val="21"/>
                <w:highlight w:val="none"/>
              </w:rPr>
            </w:pPr>
            <w:r>
              <w:rPr>
                <w:color w:val="auto"/>
                <w:szCs w:val="21"/>
                <w:highlight w:val="none"/>
              </w:rPr>
              <w:t>4</w:t>
            </w:r>
            <w:r>
              <w:rPr>
                <w:rFonts w:hint="eastAsia"/>
                <w:color w:val="auto"/>
                <w:szCs w:val="21"/>
                <w:highlight w:val="none"/>
              </w:rPr>
              <w:t>.配合开展公交车、巡游出租汽车安装智能安防设备，在规定时间内完成数据对接工作，对接入数据进行定期分析、利用，协助企业提升安全管理水平。</w:t>
            </w:r>
          </w:p>
          <w:p w14:paraId="0266C251">
            <w:pPr>
              <w:spacing w:line="312" w:lineRule="auto"/>
              <w:ind w:firstLine="420" w:firstLineChars="200"/>
              <w:jc w:val="left"/>
              <w:rPr>
                <w:color w:val="auto"/>
                <w:szCs w:val="21"/>
                <w:highlight w:val="none"/>
              </w:rPr>
            </w:pPr>
            <w:r>
              <w:rPr>
                <w:rFonts w:hint="eastAsia"/>
                <w:color w:val="auto"/>
                <w:szCs w:val="21"/>
                <w:highlight w:val="none"/>
              </w:rPr>
              <w:t>二、系统运维服务：</w:t>
            </w:r>
          </w:p>
          <w:p w14:paraId="5BF8EBA8">
            <w:pPr>
              <w:spacing w:line="380" w:lineRule="exact"/>
              <w:rPr>
                <w:color w:val="auto"/>
                <w:szCs w:val="21"/>
                <w:highlight w:val="none"/>
              </w:rPr>
            </w:pPr>
            <w:r>
              <w:rPr>
                <w:rFonts w:hint="eastAsia" w:ascii="宋体" w:hAnsi="宋体" w:cs="宋体"/>
                <w:color w:val="auto"/>
                <w:kern w:val="0"/>
                <w:szCs w:val="21"/>
                <w:highlight w:val="none"/>
                <w:lang w:bidi="ar"/>
              </w:rPr>
              <w:t>1.基础环境运维：保障应用服务器、数据库服务器、网络设备等硬件设施的稳定运行，包括状态监控、性能优化、故障处理。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2.软件系统运维：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1）确保系统各功能模块（如车辆监控、报警查询、轨迹查询、数据分析等）正常可用，处理日常运行问题。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2）系统漏洞修复与补丁管理 定期进行系统漏洞扫描，及时安装官方安全补丁，修复程序缺陷。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3）病毒防治与恶意代码清理 部署并维护防病毒体系，定期进行全盘扫描，处置安全威胁。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4）数据库维护与性能优化，定期进行数据库健康检查、索引优化、空间清理，保障数据存取效率。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5）数据备份与恢复演练，执行关键数据的定时、增量及全量备份，并定期进行数据恢复演练，确保备份有效性。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3.系统优化与升级：系统性能优化，根据业务增长和用户反馈，对系统响应速度、并发处理能力等进行软件层面的调优。功能性优化与迭代，根据政策要求或业务需求，进行小幅度的功能新增、调整优化。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4.故障应急响应：重大/突发故障处理，提供应急响应机制，对导致系统瘫痪或核心功能失效的故障进行优先处理。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5.网络安全服务：配置并维护防火墙，进行安全日志分析，抵御网络攻击。负责对测评中发现的安全问题进行整改。</w:t>
            </w:r>
          </w:p>
        </w:tc>
      </w:tr>
      <w:tr w14:paraId="71BA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5F3BA30A">
            <w:pPr>
              <w:spacing w:line="340" w:lineRule="exact"/>
              <w:rPr>
                <w:b/>
                <w:color w:val="auto"/>
                <w:szCs w:val="21"/>
                <w:highlight w:val="none"/>
              </w:rPr>
            </w:pPr>
            <w:r>
              <w:rPr>
                <w:rFonts w:hint="eastAsia" w:ascii="宋体" w:hAnsi="宋体"/>
                <w:b/>
                <w:color w:val="auto"/>
                <w:szCs w:val="21"/>
                <w:highlight w:val="none"/>
              </w:rPr>
              <w:t>商务要求表</w:t>
            </w:r>
          </w:p>
        </w:tc>
      </w:tr>
      <w:tr w14:paraId="4EA5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F42E378">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2A99D955">
            <w:pPr>
              <w:spacing w:line="340" w:lineRule="exact"/>
              <w:rPr>
                <w:color w:val="auto"/>
                <w:szCs w:val="21"/>
                <w:highlight w:val="none"/>
              </w:rPr>
            </w:pPr>
            <w:r>
              <w:rPr>
                <w:rFonts w:hint="eastAsia" w:hAnsi="宋体"/>
                <w:color w:val="auto"/>
                <w:szCs w:val="21"/>
                <w:highlight w:val="none"/>
              </w:rPr>
              <w:t>2</w:t>
            </w:r>
            <w:r>
              <w:rPr>
                <w:rFonts w:hAnsi="宋体"/>
                <w:color w:val="auto"/>
                <w:szCs w:val="21"/>
                <w:highlight w:val="none"/>
              </w:rPr>
              <w:t>026年</w:t>
            </w:r>
            <w:r>
              <w:rPr>
                <w:rFonts w:hint="eastAsia" w:hAnsi="宋体"/>
                <w:color w:val="auto"/>
                <w:szCs w:val="21"/>
                <w:highlight w:val="none"/>
              </w:rPr>
              <w:t>7月1日至2</w:t>
            </w:r>
            <w:r>
              <w:rPr>
                <w:rFonts w:hAnsi="宋体"/>
                <w:color w:val="auto"/>
                <w:szCs w:val="21"/>
                <w:highlight w:val="none"/>
              </w:rPr>
              <w:t>027年</w:t>
            </w:r>
            <w:r>
              <w:rPr>
                <w:rFonts w:hint="eastAsia" w:hAnsi="宋体"/>
                <w:color w:val="auto"/>
                <w:szCs w:val="21"/>
                <w:highlight w:val="none"/>
              </w:rPr>
              <w:t>6月3</w:t>
            </w:r>
            <w:r>
              <w:rPr>
                <w:rFonts w:hAnsi="宋体"/>
                <w:color w:val="auto"/>
                <w:szCs w:val="21"/>
                <w:highlight w:val="none"/>
              </w:rPr>
              <w:t>0日</w:t>
            </w:r>
          </w:p>
        </w:tc>
      </w:tr>
      <w:tr w14:paraId="0DC0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8427A00">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3B827A6A">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4B05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6DB48BBC">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03001B8F">
            <w:pPr>
              <w:spacing w:line="380" w:lineRule="exact"/>
              <w:rPr>
                <w:color w:val="auto"/>
                <w:szCs w:val="21"/>
                <w:highlight w:val="none"/>
              </w:rPr>
            </w:pPr>
            <w:r>
              <w:rPr>
                <w:rFonts w:hint="eastAsia" w:ascii="宋体" w:hAnsi="宋体"/>
                <w:color w:val="auto"/>
                <w:szCs w:val="21"/>
                <w:highlight w:val="none"/>
              </w:rPr>
              <w:t>广西区内（采购人指定地点）</w:t>
            </w:r>
          </w:p>
        </w:tc>
      </w:tr>
      <w:tr w14:paraId="34DC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7CB6FAEE">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28A003CC">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签订合同后十个工作日内，采购人向中标供应商支付全部合同金额的50%；在中标供应商签订合同</w:t>
            </w:r>
            <w:r>
              <w:rPr>
                <w:rFonts w:ascii="宋体" w:hAnsi="宋体"/>
                <w:color w:val="auto"/>
                <w:szCs w:val="21"/>
                <w:highlight w:val="none"/>
              </w:rPr>
              <w:t>2</w:t>
            </w:r>
            <w:r>
              <w:rPr>
                <w:rFonts w:hint="eastAsia" w:ascii="宋体" w:hAnsi="宋体"/>
                <w:color w:val="auto"/>
                <w:szCs w:val="21"/>
                <w:highlight w:val="none"/>
              </w:rPr>
              <w:t>个月后，由采购人对中标供应商的服务能力验收，验收通过后，采购人于10个工作日内向中标供应商支付</w:t>
            </w:r>
            <w:r>
              <w:rPr>
                <w:rFonts w:ascii="宋体" w:hAnsi="宋体"/>
                <w:color w:val="auto"/>
                <w:szCs w:val="21"/>
                <w:highlight w:val="none"/>
              </w:rPr>
              <w:t>4</w:t>
            </w:r>
            <w:r>
              <w:rPr>
                <w:rFonts w:hint="eastAsia" w:ascii="宋体" w:hAnsi="宋体"/>
                <w:color w:val="auto"/>
                <w:szCs w:val="21"/>
                <w:highlight w:val="none"/>
              </w:rPr>
              <w:t>0%合同款;在中标供应商签订合同4个月后，采购人于10个工作日内向中标供应商支付</w:t>
            </w:r>
            <w:r>
              <w:rPr>
                <w:rFonts w:ascii="宋体" w:hAnsi="宋体"/>
                <w:color w:val="auto"/>
                <w:szCs w:val="21"/>
                <w:highlight w:val="none"/>
              </w:rPr>
              <w:t>1</w:t>
            </w:r>
            <w:r>
              <w:rPr>
                <w:rFonts w:hint="eastAsia" w:ascii="宋体" w:hAnsi="宋体"/>
                <w:color w:val="auto"/>
                <w:szCs w:val="21"/>
                <w:highlight w:val="none"/>
              </w:rPr>
              <w:t>0%合同款，采购人付款前，中标供应商应向采购人开具等额有效的增值税发票，采购人未收到发票的，有权不予支付相应款项直至中标供应商提供合格发票，并不承担延迟付款责任。</w:t>
            </w:r>
          </w:p>
        </w:tc>
      </w:tr>
      <w:tr w14:paraId="5E9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446F1063">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2AD62FE7">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C01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70FEF1E">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40044D78">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4B805030">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1DBDC4E8">
            <w:pPr>
              <w:spacing w:line="360"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承诺中标后能为本项目提供本地化服务的能力，并在广西设有本地化的服务团队（如已具备本地化能力，投标文件中提供地址、服务团队名单、联系方式；未设立的则在投标文件中提供承诺函（格式自拟））。</w:t>
            </w:r>
          </w:p>
          <w:p w14:paraId="1E9A08EA">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、投标人提供7*24小时专人职守服务，实时响应内部服务请求，详细记录问题解决情况。</w:t>
            </w:r>
            <w:r>
              <w:rPr>
                <w:rFonts w:hint="eastAsia" w:ascii="宋体" w:hAnsi="宋体" w:cs="宋体"/>
                <w:bCs/>
                <w:color w:val="auto"/>
                <w:szCs w:val="21"/>
                <w:highlight w:val="none"/>
              </w:rPr>
              <w:t>维护期内配备</w:t>
            </w:r>
            <w:r>
              <w:rPr>
                <w:rFonts w:ascii="宋体" w:hAnsi="宋体" w:cs="宋体"/>
                <w:bCs/>
                <w:color w:val="auto"/>
                <w:szCs w:val="21"/>
                <w:highlight w:val="none"/>
              </w:rPr>
              <w:t>1</w:t>
            </w:r>
            <w:r>
              <w:rPr>
                <w:rFonts w:hint="eastAsia" w:ascii="宋体" w:hAnsi="宋体" w:cs="宋体"/>
                <w:bCs/>
                <w:color w:val="auto"/>
                <w:szCs w:val="21"/>
                <w:highlight w:val="none"/>
              </w:rPr>
              <w:t>名或以上运维人员通过现场服务、远程技术服务、预防性服务、定期专访、远程监控等服务方式，提供7×24小时维保服务。面向各级道路运输管理机构、省内驾驶培训机构提供技术和业务支持，包括通过网络、电话和邮件远程技术协助，现场技术支持。</w:t>
            </w:r>
          </w:p>
          <w:p w14:paraId="2633EA24">
            <w:pPr>
              <w:spacing w:line="360" w:lineRule="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、投标人应建立规范的内部管理制度。严格管理专职专业技术人员，保证服务态度良好、问题解决及时、重大问题及时反馈、运维记录详细。</w:t>
            </w:r>
          </w:p>
          <w:p w14:paraId="73D94D44">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、投标人应建立常见系统故障应急预案，以便出现问题后，及时作出响应，降低事故后果。</w:t>
            </w:r>
          </w:p>
          <w:p w14:paraId="695FE26B">
            <w:pPr>
              <w:spacing w:line="360" w:lineRule="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、投标人有义务对专职专业技术人员进行岗前操作培训，以便更好地掌握平台运维技能。</w:t>
            </w:r>
          </w:p>
          <w:p w14:paraId="3098EFB8">
            <w:pPr>
              <w:spacing w:line="360" w:lineRule="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、当出现系统崩溃导致业务停止、数据丢失等系统故障时，投标人必须在10分钟内进行响应，2小时内提出处理方案，12小时内解决故障。</w:t>
            </w:r>
          </w:p>
          <w:p w14:paraId="76E26944">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749F9B74">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2AA7AA88">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57A8FE92">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64A0CEC0">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3C982B69">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6F0FED10">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279BC978">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6AD6F369">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06BA2257">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34212659">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5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05BA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53A17FCD">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2B70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ECB69C7">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495FEDF9">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6BC46355">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0334A8C9">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0101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07779F88">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5C7B33FE">
            <w:pPr>
              <w:spacing w:line="380" w:lineRule="exact"/>
              <w:jc w:val="center"/>
              <w:rPr>
                <w:rFonts w:ascii="宋体" w:hAnsi="宋体" w:cs="宋体"/>
                <w:color w:val="auto"/>
                <w:szCs w:val="21"/>
                <w:highlight w:val="none"/>
              </w:rPr>
            </w:pPr>
            <w:r>
              <w:rPr>
                <w:rFonts w:hint="eastAsia" w:hAnsi="宋体"/>
                <w:color w:val="auto"/>
                <w:szCs w:val="21"/>
                <w:highlight w:val="none"/>
              </w:rPr>
              <w:t>内部控制信息系统运行维护经费项目</w:t>
            </w:r>
          </w:p>
        </w:tc>
        <w:tc>
          <w:tcPr>
            <w:tcW w:w="756" w:type="dxa"/>
            <w:tcBorders>
              <w:top w:val="single" w:color="auto" w:sz="4" w:space="0"/>
              <w:left w:val="single" w:color="auto" w:sz="4" w:space="0"/>
              <w:right w:val="single" w:color="auto" w:sz="4" w:space="0"/>
            </w:tcBorders>
            <w:vAlign w:val="center"/>
          </w:tcPr>
          <w:p w14:paraId="494D61A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4BD77C61">
            <w:pPr>
              <w:spacing w:line="340" w:lineRule="exact"/>
              <w:ind w:firstLine="422" w:firstLineChars="200"/>
              <w:rPr>
                <w:b/>
                <w:bCs/>
                <w:color w:val="auto"/>
                <w:szCs w:val="21"/>
                <w:highlight w:val="none"/>
              </w:rPr>
            </w:pPr>
            <w:r>
              <w:rPr>
                <w:rFonts w:hint="eastAsia"/>
                <w:b/>
                <w:bCs/>
                <w:color w:val="auto"/>
                <w:szCs w:val="21"/>
                <w:highlight w:val="none"/>
              </w:rPr>
              <w:t>服务主要内容</w:t>
            </w:r>
          </w:p>
          <w:p w14:paraId="08451985">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一、技术运维</w:t>
            </w:r>
          </w:p>
          <w:p w14:paraId="650F3E6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主要服务方式：提供现场支持服务；日常电话支持服务；紧急电话支持及必要现场服务；互联网在线服务；远程在线诊断和故障排除服务。</w:t>
            </w:r>
          </w:p>
          <w:p w14:paraId="3D49536F">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日常运维主要内容：</w:t>
            </w:r>
          </w:p>
          <w:p w14:paraId="6BA79CF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一）系统基础信息配置及维护：承担内控系统运行的线上监控、问题的修正优化完善、运行异常的应急处理及限期恢复等，至少覆盖预算管理模块、收支管理模块、政府采购管理模块、合同管理模块、资产管理模块、建设项目管理模块共六大业务模块的正常运维；并确保内控系统运行中所有数据的准确性和安全性，做好年度数据结转、指标录入及核验等工作；按采购人要求完善改进相关功能，如签报、用章、预算项目追加等无需追加成本的功能。</w:t>
            </w:r>
          </w:p>
          <w:p w14:paraId="6651542F">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（二）账号信息维护：负责用户权限设置、日志管理维护、系统参数维护，根据采购人用户情况开放内控系统应用模块、变更角色权限等设置；</w:t>
            </w:r>
          </w:p>
          <w:p w14:paraId="3D9BEB00">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三）系统操作使用咨询/用户操作疑问解答：设置专人向采购人提供技术支持服务和在线业务咨询，解决采购人系统日常使用问题；维护期内，若采购人的管理员若发生人事变动，中标供应商负责免费对新管理员进行系统的重新培训、软件操作规范指导等服务；</w:t>
            </w:r>
          </w:p>
          <w:p w14:paraId="2CEE89D3">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四）系统巡检与监控：定期对内控系统进行全面检查，检查软件运行状况、以往反馈问题状态的确认、收集用户需求及建议、收集系统运行的各项指标，及时排查系统漏洞和隐患，提供运行情况诊断报告和改进建议；</w:t>
            </w:r>
          </w:p>
          <w:p w14:paraId="2C9E713B">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（五）表单问题处理；流程问题处理；系统环境异常处理；系统故障排除；系统异常的处理；系统漏洞处理修复；编制运维报告；</w:t>
            </w:r>
          </w:p>
          <w:p w14:paraId="44DAAE83">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（六）系统数据库备份与恢复：根据采购人需要设置系统备份策略，完成系统整体数据的备份和安全存放；</w:t>
            </w:r>
          </w:p>
          <w:p w14:paraId="46305983">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七）进行安全管理与防护：随时配合采购人进行安全检测与漏洞修复，第一时间安装最新产品补丁以及已发现的安全漏洞与BUG修复。须按照国家相关软件、网络安全标准要求执行，若因中标供应商原因导致采购人出现数据丢失、破坏等一切损失，由中标供应商承担。</w:t>
            </w:r>
          </w:p>
          <w:p w14:paraId="6E43674E">
            <w:pPr>
              <w:spacing w:line="340" w:lineRule="exact"/>
              <w:ind w:firstLine="420" w:firstLineChars="200"/>
              <w:rPr>
                <w:color w:val="auto"/>
                <w:szCs w:val="21"/>
                <w:highlight w:val="none"/>
              </w:rPr>
            </w:pPr>
            <w:r>
              <w:rPr>
                <w:rFonts w:hint="eastAsia" w:ascii="Calibri" w:hAnsi="Calibri" w:cs="Calibri"/>
                <w:color w:val="auto"/>
                <w:szCs w:val="21"/>
                <w:highlight w:val="none"/>
                <w:lang w:bidi="ar"/>
              </w:rPr>
              <w:t>（八）保证日常工作业务的正常进行，通过配备至少1人专业技术人员驻点进行系统日常维护管理以及解决系统日常问题。</w:t>
            </w:r>
          </w:p>
          <w:p w14:paraId="49EBD56C">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二、系统升级</w:t>
            </w:r>
          </w:p>
          <w:p w14:paraId="0282F320">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定期或按客户需求进行内控系统、数据库和其他关键软件的升级，以获取新功能、修复漏洞和提高系统性能。</w:t>
            </w:r>
          </w:p>
          <w:p w14:paraId="16DC39EA">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三、系统性能优化</w:t>
            </w:r>
          </w:p>
          <w:p w14:paraId="2B3EBE8C">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针对性能进行优化，例如数据库查询优化、代码优化和缓存设置等；配置和调整系统资源，包括CPU、内存和存储等，以确保系统能够满足业务需求。</w:t>
            </w:r>
          </w:p>
          <w:p w14:paraId="5FFBD9CA">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（一）数据库性能优化：</w:t>
            </w:r>
          </w:p>
          <w:p w14:paraId="4FAEFC32">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1.对数据库进行索引优化，确保查询的高效执行。</w:t>
            </w:r>
          </w:p>
          <w:p w14:paraId="0562FA90">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2.优化数据库的表结构和查询语句，以减少资源消耗和提高查询速度。</w:t>
            </w:r>
          </w:p>
          <w:p w14:paraId="369AFDAF">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3.定期进行数据库清理和统计，删除不必要的数据和索引，提高数据库性能。</w:t>
            </w:r>
          </w:p>
          <w:p w14:paraId="460E88B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（二）并发和负载均衡优化：针对系统的并发访问和负载情况，优化系统的架构和配置，提高并发处理能力。</w:t>
            </w:r>
          </w:p>
          <w:p w14:paraId="5AC1731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（三）缓存优化：</w:t>
            </w:r>
          </w:p>
          <w:p w14:paraId="6076E1F5">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1.使用缓存技术，例如内存缓存和分布式缓存，缓存频繁读取的数据和计算结果，提高系统的响应速度。</w:t>
            </w:r>
          </w:p>
          <w:p w14:paraId="616E55A8">
            <w:pPr>
              <w:spacing w:line="380" w:lineRule="exact"/>
              <w:rPr>
                <w:color w:val="auto"/>
                <w:szCs w:val="21"/>
                <w:highlight w:val="none"/>
              </w:rPr>
            </w:pPr>
            <w:r>
              <w:rPr>
                <w:rFonts w:hint="eastAsia" w:ascii="Calibri" w:hAnsi="Calibri" w:cs="Calibri"/>
                <w:color w:val="auto"/>
                <w:szCs w:val="21"/>
                <w:highlight w:val="none"/>
                <w:lang w:bidi="ar"/>
              </w:rPr>
              <w:t>2.设计合理的缓存策略，包括缓存过期时间、内存分配和数据更新策略等</w:t>
            </w:r>
          </w:p>
        </w:tc>
      </w:tr>
      <w:tr w14:paraId="053E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E67A12F">
            <w:pPr>
              <w:spacing w:line="340" w:lineRule="exact"/>
              <w:rPr>
                <w:b/>
                <w:color w:val="auto"/>
                <w:szCs w:val="21"/>
                <w:highlight w:val="none"/>
              </w:rPr>
            </w:pPr>
            <w:r>
              <w:rPr>
                <w:rFonts w:hint="eastAsia" w:ascii="宋体" w:hAnsi="宋体"/>
                <w:b/>
                <w:color w:val="auto"/>
                <w:szCs w:val="21"/>
                <w:highlight w:val="none"/>
              </w:rPr>
              <w:t>商务要求表</w:t>
            </w:r>
          </w:p>
        </w:tc>
      </w:tr>
      <w:tr w14:paraId="57C0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7D3E767D">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6B47C4C4">
            <w:pPr>
              <w:spacing w:line="340" w:lineRule="exact"/>
              <w:rPr>
                <w:color w:val="auto"/>
                <w:szCs w:val="21"/>
                <w:highlight w:val="none"/>
              </w:rPr>
            </w:pPr>
            <w:r>
              <w:rPr>
                <w:rFonts w:hint="eastAsia"/>
                <w:color w:val="auto"/>
                <w:szCs w:val="21"/>
                <w:highlight w:val="none"/>
              </w:rPr>
              <w:t>2026年6月1日—2027年5月30日</w:t>
            </w:r>
          </w:p>
        </w:tc>
      </w:tr>
      <w:tr w14:paraId="3449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3D1267C">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18CE73A7">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2BD0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221F0A10">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6D542496">
            <w:pPr>
              <w:spacing w:line="380" w:lineRule="exact"/>
              <w:rPr>
                <w:color w:val="auto"/>
                <w:szCs w:val="21"/>
                <w:highlight w:val="none"/>
              </w:rPr>
            </w:pPr>
            <w:r>
              <w:rPr>
                <w:rFonts w:hint="eastAsia" w:hAnsi="宋体"/>
                <w:color w:val="auto"/>
                <w:szCs w:val="21"/>
                <w:highlight w:val="none"/>
              </w:rPr>
              <w:t>南宁市厢竹大道4号广西壮族自治区道路运输发展中心</w:t>
            </w:r>
            <w:r>
              <w:rPr>
                <w:rFonts w:hAnsi="宋体"/>
                <w:color w:val="auto"/>
                <w:szCs w:val="21"/>
                <w:highlight w:val="none"/>
              </w:rPr>
              <w:t>。</w:t>
            </w:r>
          </w:p>
        </w:tc>
      </w:tr>
      <w:tr w14:paraId="0389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2740260F">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02C58CDA">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在中标供应商签订合同3个月后，由采购人对中标供应商的服务能力验收，验收通过后，采购人于10个工作日内向中标供应商支付30%合同款；在中标供应商签订合同5个月后，采购人于10个工作日内向中标供应商支付20%合同款。采购人付款前，中标供应商应向采购人开具等额有效的增值税发票，采购人未收到发票的，有权不予支付相应款项直至中标供应商提供合格的增值税发票，并不承担延迟付款责任。</w:t>
            </w:r>
          </w:p>
        </w:tc>
      </w:tr>
      <w:tr w14:paraId="6AC0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41183078">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721ED066">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FD8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41EBF61">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7A13937A">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6172E7E0">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4A4BE0EA">
            <w:pPr>
              <w:spacing w:line="360" w:lineRule="auto"/>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56A852A5">
            <w:pPr>
              <w:spacing w:line="360" w:lineRule="auto"/>
              <w:rPr>
                <w:rFonts w:ascii="宋体" w:hAnsi="宋体" w:cs="宋体"/>
                <w:bCs/>
                <w:color w:val="auto"/>
                <w:szCs w:val="21"/>
                <w:highlight w:val="none"/>
              </w:rPr>
            </w:pPr>
            <w:r>
              <w:rPr>
                <w:rFonts w:hint="eastAsia" w:ascii="宋体" w:hAnsi="宋体" w:cs="宋体"/>
                <w:color w:val="auto"/>
                <w:szCs w:val="21"/>
                <w:highlight w:val="none"/>
              </w:rPr>
              <w:t>▲3、投标人提供7*24小时专人职守服务，实时响应内部服务请求，详细记录问题解决情况。</w:t>
            </w:r>
            <w:r>
              <w:rPr>
                <w:rFonts w:hint="eastAsia" w:ascii="宋体" w:hAnsi="宋体" w:cs="宋体"/>
                <w:bCs/>
                <w:color w:val="auto"/>
                <w:szCs w:val="21"/>
                <w:highlight w:val="none"/>
              </w:rPr>
              <w:t>并通过现场服务、远程技术服务、预防性服务、定期专访、远程监控等服务方式，提供7×24小时维保服务。</w:t>
            </w:r>
          </w:p>
          <w:p w14:paraId="2F0D19F4">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2D436DD3">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5B63925F">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103AACC3">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1125F9F4">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38915F34">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71F2F9CA">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6AC13E76">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3378A70A">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77BFCE14">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22F4E5BA">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447F90C8">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51986086">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7、处理数据时优先使用国产安全可信的硬件软件产品。硬软件信息系统须按照国家密码管理要求设置不限于数字字母特殊字符组合的强口令的密码。</w:t>
            </w:r>
          </w:p>
          <w:p w14:paraId="10E38B97">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5395E620">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6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4113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4693AC39">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462D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082F1BF">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7F0D0A23">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72260189">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7CA70004">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185E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6296BEF5">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2BB8CAB1">
            <w:pPr>
              <w:spacing w:line="380" w:lineRule="exact"/>
              <w:jc w:val="center"/>
              <w:rPr>
                <w:rFonts w:ascii="宋体" w:hAnsi="宋体" w:cs="宋体"/>
                <w:color w:val="auto"/>
                <w:szCs w:val="21"/>
                <w:highlight w:val="none"/>
              </w:rPr>
            </w:pPr>
            <w:r>
              <w:rPr>
                <w:rFonts w:hint="eastAsia" w:hAnsi="宋体"/>
                <w:color w:val="auto"/>
                <w:szCs w:val="21"/>
                <w:highlight w:val="none"/>
              </w:rPr>
              <w:t>广西道路运输行业党建服务系统“桂运先锋”平台</w:t>
            </w:r>
          </w:p>
        </w:tc>
        <w:tc>
          <w:tcPr>
            <w:tcW w:w="756" w:type="dxa"/>
            <w:tcBorders>
              <w:top w:val="single" w:color="auto" w:sz="4" w:space="0"/>
              <w:left w:val="single" w:color="auto" w:sz="4" w:space="0"/>
              <w:right w:val="single" w:color="auto" w:sz="4" w:space="0"/>
            </w:tcBorders>
            <w:vAlign w:val="center"/>
          </w:tcPr>
          <w:p w14:paraId="3713701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30AB6834">
            <w:pPr>
              <w:spacing w:line="380" w:lineRule="exact"/>
              <w:rPr>
                <w:color w:val="auto"/>
                <w:szCs w:val="21"/>
                <w:highlight w:val="none"/>
              </w:rPr>
            </w:pPr>
            <w:r>
              <w:rPr>
                <w:rFonts w:hint="eastAsia" w:ascii="宋体" w:hAnsi="宋体" w:cs="宋体"/>
                <w:color w:val="auto"/>
                <w:kern w:val="0"/>
                <w:szCs w:val="21"/>
                <w:highlight w:val="none"/>
                <w:lang w:bidi="ar"/>
              </w:rPr>
              <w:t>日常运行维护内容主要涉及系统技术支持服务、系统安全保障服务、用户咨询支撑服务、培训及知识管理、运维报告与绩效评估等方面。主要包括：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1.系统技术支持服务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完成服务内容请求分析、故障处理、系统优化、日常系统操作支持、系统发布和发布前测试等工作。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2.系统安全保障服务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进行应用系统监控、系统巡检、配置维护、运行分析、备份/恢复、资源管理、系统业务数据维护、重要时期业务保障、应急处理和应急演练等工作。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3.用户咨询支撑服务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受理用户业务咨询请求及答疑，并协助开展用户满意度调查。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4.培训及知识管理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提供与使用该系统相关的技术文档及培训服务，帮助建设单位相关人员熟练掌握系统的使用及管理操作，按照建设单位指定的进度计划及工作要求完成知识转移。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5.运维报告与绩效评估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定期报告生成和运维期间绩效指标监控。</w:t>
            </w:r>
          </w:p>
        </w:tc>
      </w:tr>
      <w:tr w14:paraId="5F32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FEE88B6">
            <w:pPr>
              <w:spacing w:line="340" w:lineRule="exact"/>
              <w:rPr>
                <w:b/>
                <w:color w:val="auto"/>
                <w:szCs w:val="21"/>
                <w:highlight w:val="none"/>
              </w:rPr>
            </w:pPr>
            <w:r>
              <w:rPr>
                <w:rFonts w:hint="eastAsia" w:ascii="宋体" w:hAnsi="宋体"/>
                <w:b/>
                <w:color w:val="auto"/>
                <w:szCs w:val="21"/>
                <w:highlight w:val="none"/>
              </w:rPr>
              <w:t>商务要求表</w:t>
            </w:r>
          </w:p>
        </w:tc>
      </w:tr>
      <w:tr w14:paraId="1F14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6EA3B6B">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3A3D19FC">
            <w:pPr>
              <w:spacing w:line="340" w:lineRule="exact"/>
              <w:rPr>
                <w:color w:val="auto"/>
                <w:szCs w:val="21"/>
                <w:highlight w:val="none"/>
              </w:rPr>
            </w:pPr>
            <w:r>
              <w:rPr>
                <w:rFonts w:hAnsi="宋体"/>
                <w:color w:val="auto"/>
                <w:szCs w:val="21"/>
                <w:highlight w:val="none"/>
              </w:rPr>
              <w:t>服务期限</w:t>
            </w:r>
            <w:r>
              <w:rPr>
                <w:rFonts w:hint="eastAsia" w:hAnsi="宋体"/>
                <w:color w:val="auto"/>
                <w:szCs w:val="21"/>
                <w:highlight w:val="none"/>
              </w:rPr>
              <w:t>：2026年7月1日至2027年6月30日。</w:t>
            </w:r>
          </w:p>
        </w:tc>
      </w:tr>
      <w:tr w14:paraId="0C25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47C72AE1">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7FECB813">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556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14C00107">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0BE70CF7">
            <w:pPr>
              <w:spacing w:line="380" w:lineRule="exact"/>
              <w:rPr>
                <w:color w:val="auto"/>
                <w:szCs w:val="21"/>
                <w:highlight w:val="none"/>
              </w:rPr>
            </w:pPr>
            <w:r>
              <w:rPr>
                <w:rFonts w:hint="eastAsia" w:ascii="宋体" w:hAnsi="宋体"/>
                <w:color w:val="auto"/>
                <w:szCs w:val="21"/>
                <w:highlight w:val="none"/>
              </w:rPr>
              <w:t>广西区内（采购人指定地点）</w:t>
            </w:r>
          </w:p>
        </w:tc>
      </w:tr>
      <w:tr w14:paraId="2AB8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12D13DAA">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6689B33A">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完成日常运行维护能力验收后三个月内，采购人向中标供应商支付全部合同款剩余的50%。采购人付款前，中标供应商应向采购人开具等额有效的增值税发票，采购人未收到发票的，有权不予支付相应款项直至中标供应商提供合格发票，并不承担延迟付款责任。</w:t>
            </w:r>
          </w:p>
        </w:tc>
      </w:tr>
      <w:tr w14:paraId="6A91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727C92FD">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426F7060">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20F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BFE9D29">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3B228B78">
            <w:pPr>
              <w:spacing w:line="340" w:lineRule="exact"/>
              <w:rPr>
                <w:rFonts w:ascii="宋体" w:hAnsi="宋体" w:cs="宋体"/>
                <w:color w:val="auto"/>
                <w:szCs w:val="21"/>
                <w:highlight w:val="none"/>
              </w:rPr>
            </w:pPr>
            <w:r>
              <w:rPr>
                <w:rFonts w:hint="eastAsia" w:ascii="宋体" w:hAnsi="宋体" w:cs="宋体"/>
                <w:color w:val="auto"/>
                <w:szCs w:val="21"/>
                <w:highlight w:val="none"/>
              </w:rPr>
              <w:t>（一）服务质量要求</w:t>
            </w:r>
          </w:p>
          <w:p w14:paraId="525250EF">
            <w:pPr>
              <w:spacing w:line="340" w:lineRule="exact"/>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7DD60BBE">
            <w:pPr>
              <w:spacing w:line="340" w:lineRule="exac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承诺中标后能为本项目提供本地化服务的能力，并在广西设有本地化的服务团队（如已具备本地化能力，投标文件中提供地址、服务团队名单、联系方式；未设立的则在投标文件中提供承诺函（格式自拟））。</w:t>
            </w:r>
          </w:p>
          <w:p w14:paraId="58B1E65C">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、投标人提供7*24小时专人职守服务，实时响应内部服务请求，详细记录问题解决情况。</w:t>
            </w:r>
            <w:r>
              <w:rPr>
                <w:rFonts w:hint="eastAsia" w:ascii="宋体" w:hAnsi="宋体" w:cs="宋体"/>
                <w:bCs/>
                <w:color w:val="auto"/>
                <w:szCs w:val="21"/>
                <w:highlight w:val="none"/>
              </w:rPr>
              <w:t>配合</w:t>
            </w:r>
            <w:r>
              <w:rPr>
                <w:rFonts w:ascii="宋体" w:hAnsi="宋体" w:cs="宋体"/>
                <w:bCs/>
                <w:color w:val="auto"/>
                <w:szCs w:val="21"/>
                <w:highlight w:val="none"/>
              </w:rPr>
              <w:t>1</w:t>
            </w:r>
            <w:r>
              <w:rPr>
                <w:rFonts w:hint="eastAsia" w:ascii="宋体" w:hAnsi="宋体" w:cs="宋体"/>
                <w:bCs/>
                <w:color w:val="auto"/>
                <w:szCs w:val="21"/>
                <w:highlight w:val="none"/>
              </w:rPr>
              <w:t>名或以上运维人员通过现场服务、远程技术服务、预防性服务、定期专访、远程监控等服务方式，提供7×24小时维保服务。面向各级道路运输管理机构、省内驾驶培训机构提供技术和业务支持，包括通过网络、电话和邮件远程技术协助，现场技术支持。</w:t>
            </w:r>
          </w:p>
          <w:p w14:paraId="0E277515">
            <w:pPr>
              <w:spacing w:line="360" w:lineRule="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、投标人应建立规范的内部管理制度。严格管理专职专业技术人员，保证服务态度良好、问题解决及时、重大问题及时反馈、运维记录详细。</w:t>
            </w:r>
          </w:p>
          <w:p w14:paraId="4CD8EF54">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、投标人应建立常见系统故障应急预案，以便出现问题后，及时作出响应，降低事故后果。</w:t>
            </w:r>
          </w:p>
          <w:p w14:paraId="10D2ED14">
            <w:pPr>
              <w:spacing w:line="360" w:lineRule="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、投标人有义务对专职专业技术人员进行岗前操作培训，以便更好地掌握平台运维技能。</w:t>
            </w:r>
          </w:p>
          <w:p w14:paraId="032B6CF0">
            <w:pPr>
              <w:spacing w:line="360" w:lineRule="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、当出现系统崩溃导致业务停止、数据丢失等系统故障时，投标人必须在10分钟内进行响应，2小时内提出处理方案，12小时内解决故障。</w:t>
            </w:r>
          </w:p>
          <w:p w14:paraId="7F6CD3B4">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6100BE46">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07F6B40C">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2506D782">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048FF3E4">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5EB5EC7">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26854B4A">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0288EA29">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01193703">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1AAE5F3B">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42556E7B">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7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6E8A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10EAC873">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3688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00CFBFD">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170DB011">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776B3340">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53F8BDFA">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6C65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4F8331D3">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1EA6692B">
            <w:pPr>
              <w:spacing w:line="380" w:lineRule="exact"/>
              <w:jc w:val="center"/>
              <w:rPr>
                <w:rFonts w:ascii="宋体" w:hAnsi="宋体" w:cs="宋体"/>
                <w:color w:val="auto"/>
                <w:szCs w:val="21"/>
                <w:highlight w:val="none"/>
              </w:rPr>
            </w:pPr>
            <w:r>
              <w:rPr>
                <w:rFonts w:hint="eastAsia" w:hAnsi="宋体"/>
                <w:color w:val="auto"/>
                <w:szCs w:val="21"/>
                <w:highlight w:val="none"/>
              </w:rPr>
              <w:t>广西道路运输发展中心业务系统第三方技术服务</w:t>
            </w:r>
          </w:p>
        </w:tc>
        <w:tc>
          <w:tcPr>
            <w:tcW w:w="756" w:type="dxa"/>
            <w:tcBorders>
              <w:top w:val="single" w:color="auto" w:sz="4" w:space="0"/>
              <w:left w:val="single" w:color="auto" w:sz="4" w:space="0"/>
              <w:right w:val="single" w:color="auto" w:sz="4" w:space="0"/>
            </w:tcBorders>
            <w:vAlign w:val="center"/>
          </w:tcPr>
          <w:p w14:paraId="0C4B8D3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6207838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一、国产数据库适配及数据迁移服务</w:t>
            </w:r>
          </w:p>
          <w:p w14:paraId="6AA4C0E8">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为全面推动交通运输行业信息系统安全可控升级，本项目需完成广西道路运输管理信息系统、广西道路运输动态监控行业服务系统、广西网络货运信息监测系统、内部控制信息系统等4个核心业务系统向自治区级XC云平台的整体迁移。服务内容包括但不限于：</w:t>
            </w:r>
          </w:p>
          <w:p w14:paraId="044F76A1">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1、系统适配优化：对原系统架构、SQL语句、存储过程、触发器、函数等进行深度分析与改造，确保其在国产数据库环境下的功能完整性和性能稳定性；</w:t>
            </w:r>
          </w:p>
          <w:p w14:paraId="5724750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2、数据资产梳理与清洗：全面收集各系统历史数据，开展数据质量评估、冗余清理、格式标准化及敏感信息脱敏处理；</w:t>
            </w:r>
          </w:p>
          <w:p w14:paraId="1C8A57D7">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3、数据迁移实施：制定详细迁移方案（含回滚预案），分阶段、分批次完成结构迁移、数据迁移及索引重建；</w:t>
            </w:r>
          </w:p>
          <w:p w14:paraId="7D2E09A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4、迁移验证与测试：通过数据一致性校验、业务功能回归测试、压力负载测试等方式，确保迁移后数据零丢失、逻辑无偏差、业务连续可用；</w:t>
            </w:r>
          </w:p>
          <w:p w14:paraId="112511F2">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5、迁移后性能调优：基于国产数据库特性，开展SQL优化、索引策略调整、内存参数配置等，保障系统响应效率不低于原系统水平。</w:t>
            </w:r>
          </w:p>
          <w:p w14:paraId="6015F900">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二、国产数据库产品技术要求</w:t>
            </w:r>
          </w:p>
          <w:p w14:paraId="43E6DB8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投标人须提供满足以下全部技术指标的国产关系型数据库产品，且该产品须已通过国家权威机构的安全可靠测评（等级不低于Ⅰ级），并符合《数据库政府采购需求标准（2023年版）》：</w:t>
            </w:r>
          </w:p>
          <w:p w14:paraId="49553D8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1、硬件与操作系统兼容性 。支持鲲鹏、飞腾、龙芯等主流国产CPU架构；</w:t>
            </w:r>
          </w:p>
          <w:p w14:paraId="31A12354">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兼容统信UOS、银河麒麟等国产操作系统；可根据采购人指定的“CPU+OS”组合提供匹配版本。</w:t>
            </w:r>
          </w:p>
          <w:p w14:paraId="4FF8C897">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2、开发接口与语言支持，兼容多种数据库开发与框架。</w:t>
            </w:r>
          </w:p>
          <w:p w14:paraId="5B29E81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全面兼容OCI、OO4O、OCCI、OTL、QT、Pro*C、ODBC、JDBC、Hibernate、.NET Data Provider、EF/EFCore、NHibernate、VS DDEX插件等主流开发接口；支持C/C++、Java、Python、Go、PHP、Node.js等多种开发语言。</w:t>
            </w:r>
          </w:p>
          <w:p w14:paraId="505829E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3、高阶表结构与分区能力 </w:t>
            </w:r>
          </w:p>
          <w:p w14:paraId="098CA96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单表支持最多2048列；支持分区表，包括范围分区、哈希分区、列表分区、间隔分区等;支持组合分区，如可以实现列表、范围组合分区等;单表最大支持65,535个分区，支持分区键包含多列，分区键可包含最多16列；支持分区的增加、删除、合并、拆分、交换、截断、重命名等全生命周期操作，并支持分区表在线迁移。</w:t>
            </w:r>
          </w:p>
          <w:p w14:paraId="2FE20C8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4、高性能事务处理能力 </w:t>
            </w:r>
          </w:p>
          <w:p w14:paraId="338E3E45">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（1）在x86环境： 3000仓、3000并发下持续运行60分钟，TPC-C性能 ≥ 170万 tpmC； 100仓、200并发下持续运行10分钟，TPC-C性能 ≥ 195万 tpmC；</w:t>
            </w:r>
          </w:p>
          <w:p w14:paraId="36669FB8">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（2）在双路国产CPU环境（如鲲鹏920）： 100仓、144并发下持续运行10分钟，TPC-C性能 ≥ 115万 tpmC。</w:t>
            </w:r>
          </w:p>
          <w:p w14:paraId="58B8191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5、高吞吐数据写入能力 </w:t>
            </w:r>
          </w:p>
          <w:p w14:paraId="10652E5E">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单表插入100万条记录耗时 &lt; 1.3秒，平均写入速率 ≥ 80万条/秒；单库单表批量导入200万行数据耗时 &lt; 3秒，批量导入速率 ≥ 70万条/秒。</w:t>
            </w:r>
          </w:p>
          <w:p w14:paraId="4C1D28D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6、高并发服务能力 </w:t>
            </w:r>
          </w:p>
          <w:p w14:paraId="02D2F30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支持 ≥ 25万用户在线并发访问；持续压测1小时以上，请求成功率100%，平均响应时间 ≤ 200ms，系统资源无瓶颈。</w:t>
            </w:r>
          </w:p>
          <w:p w14:paraId="2B257F44">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7、智能自治优化能力，具备智能数据库资质优化技术。 </w:t>
            </w:r>
          </w:p>
          <w:p w14:paraId="2E557EB3">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内置基于代价的查询优化器（CBO）；支持表及索引的统计信息系，支持对象统计信息自动采集与更新；能通过分析对象统计信息生成最优执行计划；支持数据库内存及执行计划智能配置，支持数据库动态配置调整，支持内存、连接池、执行计划等参数的动态自调优。</w:t>
            </w:r>
          </w:p>
          <w:p w14:paraId="1CFE07F6">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8、自主可控与知识产权 </w:t>
            </w:r>
          </w:p>
          <w:p w14:paraId="2D284A2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提供的数据库产品在国产数据库采购目录里，是完全自主可控的产品。核心功能模块源代码自主率 ≥ 95%；</w:t>
            </w:r>
          </w:p>
          <w:p w14:paraId="394FA501">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研发过程符合CMMI 5级标准。</w:t>
            </w:r>
          </w:p>
          <w:p w14:paraId="3621BD5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9、国密与安全合规 </w:t>
            </w:r>
          </w:p>
          <w:p w14:paraId="3C7761AC">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支持SM4国密算法的按列存储加密；按照CMMI5标准设计、研发、发行，支持ODBC 2.x/3.x、JDBC 3.0、OLE DB 2.7、Unix ODBC等标准接口；过国家信息安全等级保护及安全可靠测评（≥Ⅰ级）。</w:t>
            </w:r>
          </w:p>
          <w:p w14:paraId="1B653B68">
            <w:pPr>
              <w:spacing w:line="380" w:lineRule="exact"/>
              <w:rPr>
                <w:rFonts w:ascii="宋体" w:hAnsi="宋体" w:cs="宋体"/>
                <w:color w:val="auto"/>
                <w:kern w:val="0"/>
                <w:szCs w:val="21"/>
                <w:highlight w:val="none"/>
                <w:lang w:bidi="ar"/>
              </w:rPr>
            </w:pPr>
            <w:r>
              <w:rPr>
                <w:rFonts w:ascii="宋体" w:hAnsi="宋体" w:cs="宋体"/>
                <w:color w:val="auto"/>
                <w:kern w:val="0"/>
                <w:szCs w:val="21"/>
                <w:highlight w:val="none"/>
                <w:lang w:bidi="ar"/>
              </w:rPr>
              <w:t>10</w:t>
            </w:r>
            <w:r>
              <w:rPr>
                <w:rFonts w:hint="eastAsia" w:ascii="宋体" w:hAnsi="宋体" w:cs="宋体"/>
                <w:color w:val="auto"/>
                <w:kern w:val="0"/>
                <w:szCs w:val="21"/>
                <w:highlight w:val="none"/>
                <w:lang w:bidi="ar"/>
              </w:rPr>
              <w:t xml:space="preserve">、支持全文检索性能 </w:t>
            </w:r>
          </w:p>
          <w:p w14:paraId="56803370">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在1亿条数据规模下： 前模糊、后模糊、前后模糊查询响应时间均 ≤ 1ms。</w:t>
            </w:r>
          </w:p>
          <w:p w14:paraId="42A31F05">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三、工程技术与安全保障要求</w:t>
            </w:r>
          </w:p>
          <w:p w14:paraId="468C2CE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▲（一）部署要求</w:t>
            </w:r>
          </w:p>
          <w:p w14:paraId="2FD50E3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采用集中式部署模式，统一部署于广西政务云信创专区；</w:t>
            </w:r>
          </w:p>
          <w:p w14:paraId="33894078">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所有组件（数据库、中间件、应用）须在信创环境下完成兼容性适配并通过验收测试。</w:t>
            </w:r>
          </w:p>
          <w:p w14:paraId="077ECAA4">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（二）性能与可靠性要求</w:t>
            </w:r>
          </w:p>
          <w:p w14:paraId="157BF49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兼容性保障：完成全链路兼容性测试，确保国产数据库与现有业务逻辑无缝集成，功能100%可用；</w:t>
            </w:r>
          </w:p>
          <w:p w14:paraId="1AB2084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性能不降反升：迁移后系统关键业务响应时间、并发处理能力、批处理效率等核心指标不得低于原系统，鼓励性能提升；</w:t>
            </w:r>
          </w:p>
          <w:p w14:paraId="3B933496">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数据完整性：迁移过程须实现零数据丢失、零逻辑错误、零业务中断，提供完整的数据比对报告。</w:t>
            </w:r>
          </w:p>
          <w:p w14:paraId="660FB84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▲（三）安全要求</w:t>
            </w:r>
          </w:p>
          <w:p w14:paraId="3A1C05F5">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建立覆盖“用户—应用—数据库—网络”四层的安全防护体系；</w:t>
            </w:r>
          </w:p>
          <w:p w14:paraId="3C4B59D6">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实现强身份认证、细粒度授权、操作审计日志留存 ≥ 180天；</w:t>
            </w:r>
          </w:p>
          <w:p w14:paraId="04B9E8B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数据存储与传输须支持国密算法加密；</w:t>
            </w:r>
          </w:p>
          <w:p w14:paraId="5D6D6A89">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应用层须具备防范SQL注入、XSS、CSRF、URL重定向钓鱼等常见Web攻击的能力；</w:t>
            </w:r>
          </w:p>
          <w:p w14:paraId="4BE12F82">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严格限制非法访问与越权操作，确保数据不被窃取、篡改或破坏。</w:t>
            </w:r>
          </w:p>
          <w:p w14:paraId="51CBE4E7">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▲（四）交接要求</w:t>
            </w:r>
          </w:p>
          <w:p w14:paraId="1BA933DF">
            <w:pPr>
              <w:spacing w:line="380" w:lineRule="exact"/>
              <w:rPr>
                <w:color w:val="auto"/>
                <w:szCs w:val="21"/>
                <w:highlight w:val="none"/>
              </w:rPr>
            </w:pPr>
            <w:r>
              <w:rPr>
                <w:rFonts w:hint="eastAsia" w:ascii="宋体" w:hAnsi="宋体" w:cs="宋体"/>
                <w:color w:val="auto"/>
                <w:kern w:val="0"/>
                <w:szCs w:val="21"/>
                <w:highlight w:val="none"/>
                <w:lang w:bidi="ar"/>
              </w:rPr>
              <w:t>项目验收合格后，中标供应商须完成数据库交接。</w:t>
            </w:r>
          </w:p>
        </w:tc>
      </w:tr>
      <w:tr w14:paraId="7564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1119D9EC">
            <w:pPr>
              <w:spacing w:line="340" w:lineRule="exact"/>
              <w:rPr>
                <w:b/>
                <w:color w:val="auto"/>
                <w:szCs w:val="21"/>
                <w:highlight w:val="none"/>
              </w:rPr>
            </w:pPr>
            <w:r>
              <w:rPr>
                <w:rFonts w:hint="eastAsia" w:ascii="宋体" w:hAnsi="宋体"/>
                <w:b/>
                <w:color w:val="auto"/>
                <w:szCs w:val="21"/>
                <w:highlight w:val="none"/>
              </w:rPr>
              <w:t>商务要求表</w:t>
            </w:r>
          </w:p>
        </w:tc>
      </w:tr>
      <w:tr w14:paraId="6FE6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976E4A5">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1FC2926A">
            <w:pPr>
              <w:spacing w:line="340" w:lineRule="exact"/>
              <w:rPr>
                <w:color w:val="auto"/>
                <w:szCs w:val="21"/>
                <w:highlight w:val="none"/>
              </w:rPr>
            </w:pPr>
            <w:r>
              <w:rPr>
                <w:rFonts w:hint="eastAsia" w:hAnsi="宋体"/>
                <w:color w:val="auto"/>
                <w:szCs w:val="21"/>
                <w:highlight w:val="none"/>
              </w:rPr>
              <w:t>于2</w:t>
            </w:r>
            <w:r>
              <w:rPr>
                <w:rFonts w:hAnsi="宋体"/>
                <w:color w:val="auto"/>
                <w:szCs w:val="21"/>
                <w:highlight w:val="none"/>
              </w:rPr>
              <w:t>026年</w:t>
            </w:r>
            <w:r>
              <w:rPr>
                <w:rFonts w:hint="eastAsia" w:hAnsi="宋体"/>
                <w:color w:val="auto"/>
                <w:szCs w:val="21"/>
                <w:highlight w:val="none"/>
              </w:rPr>
              <w:t>1</w:t>
            </w:r>
            <w:r>
              <w:rPr>
                <w:rFonts w:hAnsi="宋体"/>
                <w:color w:val="auto"/>
                <w:szCs w:val="21"/>
                <w:highlight w:val="none"/>
              </w:rPr>
              <w:t>2月底前完成数据库适配，并移交数据库资产。自完成适配后，免费运维服务一年。</w:t>
            </w:r>
          </w:p>
        </w:tc>
      </w:tr>
      <w:tr w14:paraId="74D3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8FB2A94">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08CAB345">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1FF8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69BE8331">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11E2682B">
            <w:pPr>
              <w:spacing w:line="380" w:lineRule="exact"/>
              <w:rPr>
                <w:color w:val="auto"/>
                <w:szCs w:val="21"/>
                <w:highlight w:val="none"/>
              </w:rPr>
            </w:pPr>
            <w:r>
              <w:rPr>
                <w:rFonts w:hint="eastAsia" w:ascii="宋体" w:hAnsi="宋体"/>
                <w:color w:val="auto"/>
                <w:szCs w:val="21"/>
                <w:highlight w:val="none"/>
              </w:rPr>
              <w:t>广西区内（采购人指定地点）</w:t>
            </w:r>
          </w:p>
        </w:tc>
      </w:tr>
      <w:tr w14:paraId="2028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00852DA8">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1163A44F">
            <w:pPr>
              <w:spacing w:line="360" w:lineRule="auto"/>
              <w:rPr>
                <w:color w:val="auto"/>
                <w:szCs w:val="21"/>
                <w:highlight w:val="none"/>
              </w:rPr>
            </w:pPr>
            <w:r>
              <w:rPr>
                <w:rFonts w:hint="eastAsia" w:ascii="宋体" w:hAnsi="宋体"/>
                <w:color w:val="auto"/>
                <w:szCs w:val="21"/>
                <w:highlight w:val="none"/>
              </w:rPr>
              <w:t>签订合同后十五个工作日内，采购人向中标供应商支付全部合同金额的50%；签订合同2个月后支付合同款的4</w:t>
            </w:r>
            <w:r>
              <w:rPr>
                <w:rFonts w:ascii="宋体" w:hAnsi="宋体"/>
                <w:color w:val="auto"/>
                <w:szCs w:val="21"/>
                <w:highlight w:val="none"/>
              </w:rPr>
              <w:t>0%，</w:t>
            </w:r>
            <w:r>
              <w:rPr>
                <w:rFonts w:hint="eastAsia" w:ascii="宋体" w:hAnsi="宋体"/>
                <w:color w:val="auto"/>
                <w:szCs w:val="21"/>
                <w:highlight w:val="none"/>
              </w:rPr>
              <w:t>完成验收后二十个工作日内，采购人向中标供应商支付全部合同款的</w:t>
            </w:r>
            <w:r>
              <w:rPr>
                <w:rFonts w:ascii="宋体" w:hAnsi="宋体"/>
                <w:color w:val="auto"/>
                <w:szCs w:val="21"/>
                <w:highlight w:val="none"/>
              </w:rPr>
              <w:t>1</w:t>
            </w:r>
            <w:r>
              <w:rPr>
                <w:rFonts w:hint="eastAsia" w:ascii="宋体" w:hAnsi="宋体"/>
                <w:color w:val="auto"/>
                <w:szCs w:val="21"/>
                <w:highlight w:val="none"/>
              </w:rPr>
              <w:t>0%。采购人付款前，中标供应商应向采购人开具等额有效的增值税发票，采购人未收到发票的，有权不予支付相应款项直至中标供应商提供合格发票，并不承担延迟付款责任。</w:t>
            </w:r>
          </w:p>
        </w:tc>
      </w:tr>
      <w:tr w14:paraId="2F5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3850C6BC">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71CF7CC1">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5EB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7FF2054">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01A06D81">
            <w:pPr>
              <w:spacing w:line="340" w:lineRule="exact"/>
              <w:rPr>
                <w:rFonts w:ascii="宋体" w:hAnsi="宋体" w:cs="宋体"/>
                <w:color w:val="auto"/>
                <w:szCs w:val="21"/>
                <w:highlight w:val="none"/>
              </w:rPr>
            </w:pPr>
            <w:r>
              <w:rPr>
                <w:rFonts w:hint="eastAsia" w:ascii="宋体" w:hAnsi="宋体" w:cs="宋体"/>
                <w:color w:val="auto"/>
                <w:szCs w:val="21"/>
                <w:highlight w:val="none"/>
              </w:rPr>
              <w:t>（一）服务质量要求</w:t>
            </w:r>
          </w:p>
          <w:p w14:paraId="34097C67">
            <w:pPr>
              <w:spacing w:line="340" w:lineRule="exact"/>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116AB688">
            <w:pPr>
              <w:spacing w:line="340" w:lineRule="exact"/>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356398BD">
            <w:pPr>
              <w:spacing w:line="340" w:lineRule="exact"/>
              <w:rPr>
                <w:rFonts w:ascii="宋体" w:hAnsi="宋体" w:cs="宋体"/>
                <w:color w:val="auto"/>
                <w:szCs w:val="21"/>
                <w:highlight w:val="none"/>
              </w:rPr>
            </w:pPr>
            <w:r>
              <w:rPr>
                <w:rFonts w:hint="eastAsia" w:ascii="宋体" w:hAnsi="宋体" w:cs="宋体"/>
                <w:color w:val="auto"/>
                <w:kern w:val="0"/>
                <w:szCs w:val="21"/>
                <w:highlight w:val="none"/>
                <w:lang w:bidi="ar"/>
              </w:rPr>
              <w:t>3、提供软件的日常运维服务，包括：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面向管理部门提供</w:t>
            </w: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7*24小时的热线电话技术支持服务。</w:t>
            </w:r>
          </w:p>
          <w:p w14:paraId="77FE1B25">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7B37D2C8">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71F937DF">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2D04E647">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5EA4CEE8">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58AD462B">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445308F0">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1A6BE731">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41F69CA1">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39D0ED19">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6575C23E">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448F9F9B">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74FEA52A">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0208B2EC">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24CC9B80">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8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26C6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525252EB">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4D85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40D3E76">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661D00DD">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0F834D5B">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432BBE0D">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28D0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7A882B1A">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524F0340">
            <w:pPr>
              <w:spacing w:line="380" w:lineRule="exact"/>
              <w:jc w:val="center"/>
              <w:rPr>
                <w:rFonts w:ascii="宋体" w:hAnsi="宋体" w:cs="宋体"/>
                <w:color w:val="auto"/>
                <w:szCs w:val="21"/>
                <w:highlight w:val="none"/>
              </w:rPr>
            </w:pPr>
            <w:r>
              <w:rPr>
                <w:rFonts w:hint="eastAsia" w:hAnsi="宋体"/>
                <w:bCs/>
                <w:color w:val="auto"/>
                <w:szCs w:val="20"/>
                <w:highlight w:val="none"/>
              </w:rPr>
              <w:t>广西道路运输发展中心业务系统等保测评及密评服务</w:t>
            </w:r>
          </w:p>
        </w:tc>
        <w:tc>
          <w:tcPr>
            <w:tcW w:w="756" w:type="dxa"/>
            <w:tcBorders>
              <w:top w:val="single" w:color="auto" w:sz="4" w:space="0"/>
              <w:left w:val="single" w:color="auto" w:sz="4" w:space="0"/>
              <w:right w:val="single" w:color="auto" w:sz="4" w:space="0"/>
            </w:tcBorders>
            <w:vAlign w:val="center"/>
          </w:tcPr>
          <w:p w14:paraId="4CCD2DA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00F8C16C">
            <w:pPr>
              <w:spacing w:line="380" w:lineRule="exact"/>
              <w:jc w:val="left"/>
              <w:rPr>
                <w:rFonts w:hAnsi="宋体"/>
                <w:bCs/>
                <w:color w:val="auto"/>
                <w:szCs w:val="20"/>
                <w:highlight w:val="none"/>
              </w:rPr>
            </w:pPr>
            <w:r>
              <w:rPr>
                <w:rFonts w:hint="eastAsia" w:hAnsi="宋体"/>
                <w:bCs/>
                <w:color w:val="auto"/>
                <w:szCs w:val="20"/>
                <w:highlight w:val="none"/>
              </w:rPr>
              <w:t>一、等保测评服务要求</w:t>
            </w:r>
          </w:p>
          <w:p w14:paraId="07ED8FF1">
            <w:pPr>
              <w:spacing w:line="380" w:lineRule="exact"/>
              <w:jc w:val="left"/>
              <w:rPr>
                <w:rFonts w:hAnsi="宋体"/>
                <w:bCs/>
                <w:color w:val="auto"/>
                <w:szCs w:val="20"/>
                <w:highlight w:val="none"/>
              </w:rPr>
            </w:pPr>
            <w:r>
              <w:rPr>
                <w:rFonts w:hint="eastAsia" w:hAnsi="宋体"/>
                <w:bCs/>
                <w:color w:val="auto"/>
                <w:szCs w:val="20"/>
                <w:highlight w:val="none"/>
              </w:rPr>
              <w:t>（一）服务内容及要求</w:t>
            </w:r>
          </w:p>
          <w:p w14:paraId="1C0F9A8A">
            <w:pPr>
              <w:spacing w:line="380" w:lineRule="exact"/>
              <w:jc w:val="left"/>
              <w:rPr>
                <w:rFonts w:hAnsi="宋体"/>
                <w:bCs/>
                <w:color w:val="auto"/>
                <w:szCs w:val="20"/>
                <w:highlight w:val="none"/>
              </w:rPr>
            </w:pPr>
            <w:r>
              <w:rPr>
                <w:rFonts w:hint="eastAsia" w:hAnsi="宋体"/>
                <w:bCs/>
                <w:color w:val="auto"/>
                <w:szCs w:val="20"/>
                <w:highlight w:val="none"/>
              </w:rPr>
              <w:t>依据《网络安全等级保护基本要求》（GB/T 22239-2019）对2个三级系统（广西机动车驾驶培训公共服务平台、广西道路运输管理信息系统），3个二级系统（广西道路运输动态监控行业服务系统、广西网络货运信息监测系统、内部控制信息系统等5个系统）开展网络安全等级保护测评工作，并出具网络安全等级保护测评报告。</w:t>
            </w:r>
          </w:p>
          <w:p w14:paraId="331B9BF7">
            <w:pPr>
              <w:spacing w:line="380" w:lineRule="exact"/>
              <w:jc w:val="left"/>
              <w:rPr>
                <w:rFonts w:hAnsi="宋体"/>
                <w:bCs/>
                <w:color w:val="auto"/>
                <w:szCs w:val="20"/>
                <w:highlight w:val="none"/>
              </w:rPr>
            </w:pPr>
            <w:r>
              <w:rPr>
                <w:rFonts w:hint="eastAsia" w:hAnsi="宋体"/>
                <w:bCs/>
                <w:color w:val="auto"/>
                <w:szCs w:val="20"/>
                <w:highlight w:val="none"/>
              </w:rPr>
              <w:t>按照等级保护定级备案流程，协助进行定级备案工作，遵照等级保护基本要求，通过对系统的技术与管理的角度进行检查，如若信息系统未达到等级保护要求，需出具差距分析报告并协助整改，使信息系统符合等级保护的要求。</w:t>
            </w:r>
          </w:p>
          <w:p w14:paraId="248B2CBF">
            <w:pPr>
              <w:spacing w:line="380" w:lineRule="exact"/>
              <w:jc w:val="left"/>
              <w:rPr>
                <w:rFonts w:hAnsi="宋体"/>
                <w:bCs/>
                <w:color w:val="auto"/>
                <w:szCs w:val="20"/>
                <w:highlight w:val="none"/>
              </w:rPr>
            </w:pPr>
            <w:r>
              <w:rPr>
                <w:rFonts w:hint="eastAsia" w:hAnsi="宋体"/>
                <w:bCs/>
                <w:color w:val="auto"/>
                <w:szCs w:val="20"/>
                <w:highlight w:val="none"/>
              </w:rPr>
              <w:t>1.测评内容</w:t>
            </w:r>
          </w:p>
          <w:p w14:paraId="6792762C">
            <w:pPr>
              <w:spacing w:line="380" w:lineRule="exact"/>
              <w:jc w:val="left"/>
              <w:rPr>
                <w:rFonts w:hAnsi="宋体"/>
                <w:bCs/>
                <w:color w:val="auto"/>
                <w:szCs w:val="20"/>
                <w:highlight w:val="none"/>
              </w:rPr>
            </w:pPr>
            <w:r>
              <w:rPr>
                <w:rFonts w:hint="eastAsia" w:hAnsi="宋体"/>
                <w:bCs/>
                <w:color w:val="auto"/>
                <w:szCs w:val="20"/>
                <w:highlight w:val="none"/>
              </w:rPr>
              <w:t>对本项目系统进行网络安全等级保护测评。具体测评内容如下：</w:t>
            </w:r>
          </w:p>
          <w:p w14:paraId="6305B5F8">
            <w:pPr>
              <w:spacing w:line="380" w:lineRule="exact"/>
              <w:jc w:val="left"/>
              <w:rPr>
                <w:rFonts w:hAnsi="宋体"/>
                <w:bCs/>
                <w:color w:val="auto"/>
                <w:szCs w:val="20"/>
                <w:highlight w:val="none"/>
              </w:rPr>
            </w:pPr>
            <w:r>
              <w:rPr>
                <w:rFonts w:hint="eastAsia" w:hAnsi="宋体"/>
                <w:bCs/>
                <w:color w:val="auto"/>
                <w:szCs w:val="20"/>
                <w:highlight w:val="none"/>
              </w:rPr>
              <w:t>（1）安全通用要求</w:t>
            </w:r>
          </w:p>
          <w:p w14:paraId="19BDE34B">
            <w:pPr>
              <w:spacing w:line="380" w:lineRule="exact"/>
              <w:jc w:val="left"/>
              <w:rPr>
                <w:rFonts w:hAnsi="宋体"/>
                <w:bCs/>
                <w:color w:val="auto"/>
                <w:szCs w:val="20"/>
                <w:highlight w:val="none"/>
              </w:rPr>
            </w:pPr>
            <w:r>
              <w:rPr>
                <w:rFonts w:hint="eastAsia" w:hAnsi="宋体"/>
                <w:bCs/>
                <w:color w:val="auto"/>
                <w:szCs w:val="20"/>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6233BE5B">
            <w:pPr>
              <w:spacing w:line="380" w:lineRule="exact"/>
              <w:jc w:val="left"/>
              <w:rPr>
                <w:rFonts w:hAnsi="宋体"/>
                <w:bCs/>
                <w:color w:val="auto"/>
                <w:szCs w:val="20"/>
                <w:highlight w:val="none"/>
              </w:rPr>
            </w:pPr>
            <w:r>
              <w:rPr>
                <w:rFonts w:hint="eastAsia" w:hAnsi="宋体"/>
                <w:bCs/>
                <w:color w:val="auto"/>
                <w:szCs w:val="20"/>
                <w:highlight w:val="none"/>
              </w:rPr>
              <w:t>（2）安全扩展要求</w:t>
            </w:r>
          </w:p>
          <w:p w14:paraId="7AC8694B">
            <w:pPr>
              <w:spacing w:line="380" w:lineRule="exact"/>
              <w:jc w:val="left"/>
              <w:rPr>
                <w:rFonts w:hAnsi="宋体"/>
                <w:bCs/>
                <w:color w:val="auto"/>
                <w:szCs w:val="20"/>
                <w:highlight w:val="none"/>
              </w:rPr>
            </w:pPr>
            <w:r>
              <w:rPr>
                <w:rFonts w:hint="eastAsia" w:hAnsi="宋体"/>
                <w:bCs/>
                <w:color w:val="auto"/>
                <w:szCs w:val="20"/>
                <w:highlight w:val="none"/>
              </w:rPr>
              <w:t>应用了不同新技术的安全保护对象处于不同的应用场景中，面临不同的安全威胁，因此会有不同的安全需求，如本项目执行时发现等级保护对象涉及测评标准安全扩展要求（云计算、移动互联网、物联网、大数据、工业控制）方面内容的，则根据实际情况选定适用的安全扩展要求测评内容开展本项目测评工作。</w:t>
            </w:r>
          </w:p>
          <w:p w14:paraId="5B78F633">
            <w:pPr>
              <w:spacing w:line="380" w:lineRule="exact"/>
              <w:jc w:val="left"/>
              <w:rPr>
                <w:rFonts w:hAnsi="宋体"/>
                <w:bCs/>
                <w:color w:val="auto"/>
                <w:szCs w:val="20"/>
                <w:highlight w:val="none"/>
              </w:rPr>
            </w:pPr>
            <w:r>
              <w:rPr>
                <w:rFonts w:hint="eastAsia" w:hAnsi="宋体"/>
                <w:bCs/>
                <w:color w:val="auto"/>
                <w:szCs w:val="20"/>
                <w:highlight w:val="none"/>
              </w:rPr>
              <w:t>2.测评方法</w:t>
            </w:r>
          </w:p>
          <w:p w14:paraId="07DDA4E4">
            <w:pPr>
              <w:spacing w:line="380" w:lineRule="exact"/>
              <w:jc w:val="left"/>
              <w:rPr>
                <w:rFonts w:hAnsi="宋体"/>
                <w:bCs/>
                <w:color w:val="auto"/>
                <w:szCs w:val="20"/>
                <w:highlight w:val="none"/>
              </w:rPr>
            </w:pPr>
            <w:r>
              <w:rPr>
                <w:rFonts w:hint="eastAsia" w:hAnsi="宋体"/>
                <w:bCs/>
                <w:color w:val="auto"/>
                <w:szCs w:val="20"/>
                <w:highlight w:val="none"/>
              </w:rPr>
              <w:t>在测评实施过程中，应采用访谈、检查和测试、渗透测试等测评方法进行，并与国家相关规范及标准的要求相符。</w:t>
            </w:r>
          </w:p>
          <w:p w14:paraId="77103FFB">
            <w:pPr>
              <w:spacing w:line="380" w:lineRule="exact"/>
              <w:jc w:val="left"/>
              <w:rPr>
                <w:rFonts w:hAnsi="宋体"/>
                <w:bCs/>
                <w:color w:val="auto"/>
                <w:szCs w:val="20"/>
                <w:highlight w:val="none"/>
              </w:rPr>
            </w:pPr>
            <w:r>
              <w:rPr>
                <w:rFonts w:hint="eastAsia" w:hAnsi="宋体"/>
                <w:bCs/>
                <w:color w:val="auto"/>
                <w:szCs w:val="20"/>
                <w:highlight w:val="none"/>
              </w:rPr>
              <w:t>访谈是指测评人员通过引导信息系统相关人员进行有目的的（有针对性的）交流以帮助测评人员理解、分析或取得证据的过程；</w:t>
            </w:r>
          </w:p>
          <w:p w14:paraId="2234F5FF">
            <w:pPr>
              <w:spacing w:line="380" w:lineRule="exact"/>
              <w:jc w:val="left"/>
              <w:rPr>
                <w:rFonts w:hAnsi="宋体"/>
                <w:bCs/>
                <w:color w:val="auto"/>
                <w:szCs w:val="20"/>
                <w:highlight w:val="none"/>
              </w:rPr>
            </w:pPr>
            <w:r>
              <w:rPr>
                <w:rFonts w:hint="eastAsia" w:hAnsi="宋体"/>
                <w:bCs/>
                <w:color w:val="auto"/>
                <w:szCs w:val="20"/>
                <w:highlight w:val="none"/>
              </w:rPr>
              <w:t>检查是指测评人员通过对测评对象（如管理制度、操作记录、安全配置等）进行观察、查验、分析以帮助测评人员理解、分析或取得证据的过程；</w:t>
            </w:r>
          </w:p>
          <w:p w14:paraId="2AA13AD8">
            <w:pPr>
              <w:spacing w:line="380" w:lineRule="exact"/>
              <w:jc w:val="left"/>
              <w:rPr>
                <w:rFonts w:hAnsi="宋体"/>
                <w:bCs/>
                <w:color w:val="auto"/>
                <w:szCs w:val="20"/>
                <w:highlight w:val="none"/>
              </w:rPr>
            </w:pPr>
            <w:r>
              <w:rPr>
                <w:rFonts w:hint="eastAsia" w:hAnsi="宋体"/>
                <w:bCs/>
                <w:color w:val="auto"/>
                <w:szCs w:val="20"/>
                <w:highlight w:val="none"/>
              </w:rPr>
              <w:t>测试是测评人员使用预定的方法/工具使测评对象产生特定的行为，通过查看和分析结果以帮助测评人员获取证据的过程；</w:t>
            </w:r>
          </w:p>
          <w:p w14:paraId="332855F6">
            <w:pPr>
              <w:spacing w:line="380" w:lineRule="exact"/>
              <w:jc w:val="left"/>
              <w:rPr>
                <w:rFonts w:hAnsi="宋体"/>
                <w:bCs/>
                <w:color w:val="auto"/>
                <w:szCs w:val="20"/>
                <w:highlight w:val="none"/>
              </w:rPr>
            </w:pPr>
            <w:r>
              <w:rPr>
                <w:rFonts w:hint="eastAsia" w:hAnsi="宋体"/>
                <w:bCs/>
                <w:color w:val="auto"/>
                <w:szCs w:val="20"/>
                <w:highlight w:val="none"/>
              </w:rPr>
              <w:t>测评结果判定要求采信配置核查结果，同时要求对安全策略进行测试验证，包括漏洞扫描、策略有效性验证、数据抓包分析、数据通信监听、数据备份恢复、应急响应和渗透测试等。渗透测试是模拟黑客的攻击方法，对受保护对象的应用系统、主机、网络进行攻击，从而验证测评对象的弱点、技术缺陷或漏洞的一种评估方法。</w:t>
            </w:r>
          </w:p>
          <w:p w14:paraId="44D1E8DA">
            <w:pPr>
              <w:spacing w:line="380" w:lineRule="exact"/>
              <w:jc w:val="left"/>
              <w:rPr>
                <w:rFonts w:hAnsi="宋体"/>
                <w:bCs/>
                <w:color w:val="auto"/>
                <w:szCs w:val="20"/>
                <w:highlight w:val="none"/>
              </w:rPr>
            </w:pPr>
            <w:r>
              <w:rPr>
                <w:rFonts w:hint="eastAsia" w:hAnsi="宋体"/>
                <w:bCs/>
                <w:color w:val="auto"/>
                <w:szCs w:val="20"/>
                <w:highlight w:val="none"/>
              </w:rPr>
              <w:t>（二）主要成果要求</w:t>
            </w:r>
          </w:p>
          <w:p w14:paraId="4F797EAB">
            <w:pPr>
              <w:spacing w:line="380" w:lineRule="exact"/>
              <w:jc w:val="left"/>
              <w:rPr>
                <w:rFonts w:hAnsi="宋体"/>
                <w:bCs/>
                <w:color w:val="auto"/>
                <w:szCs w:val="20"/>
                <w:highlight w:val="none"/>
              </w:rPr>
            </w:pPr>
            <w:r>
              <w:rPr>
                <w:rFonts w:hint="eastAsia" w:hAnsi="宋体"/>
                <w:bCs/>
                <w:color w:val="auto"/>
                <w:szCs w:val="20"/>
                <w:highlight w:val="none"/>
              </w:rPr>
              <w:t>采购人委托供应商作为本项目第三方等保测评及相关备案等事项的全权服务方。供应商负责委托具备相应资质的第三方测评机构，依据GB/T 22239-2019等多项等级保护标准，开展系统等保测评服务，并出具《网络安全等级保护测评报告》和等保备案证明。</w:t>
            </w:r>
          </w:p>
          <w:p w14:paraId="0FB53F3C">
            <w:pPr>
              <w:spacing w:line="380" w:lineRule="exact"/>
              <w:jc w:val="left"/>
              <w:rPr>
                <w:rFonts w:hAnsi="宋体"/>
                <w:bCs/>
                <w:color w:val="auto"/>
                <w:szCs w:val="20"/>
                <w:highlight w:val="none"/>
              </w:rPr>
            </w:pPr>
            <w:r>
              <w:rPr>
                <w:rFonts w:hint="eastAsia" w:hAnsi="宋体"/>
                <w:bCs/>
                <w:color w:val="auto"/>
                <w:szCs w:val="20"/>
                <w:highlight w:val="none"/>
              </w:rPr>
              <w:t>二、密码应用测评服务要求</w:t>
            </w:r>
          </w:p>
          <w:p w14:paraId="1573576B">
            <w:pPr>
              <w:spacing w:line="380" w:lineRule="exact"/>
              <w:jc w:val="left"/>
              <w:rPr>
                <w:rFonts w:hAnsi="宋体"/>
                <w:bCs/>
                <w:color w:val="auto"/>
                <w:szCs w:val="20"/>
                <w:highlight w:val="none"/>
              </w:rPr>
            </w:pPr>
            <w:r>
              <w:rPr>
                <w:rFonts w:hint="eastAsia" w:hAnsi="宋体"/>
                <w:bCs/>
                <w:color w:val="auto"/>
                <w:szCs w:val="20"/>
                <w:highlight w:val="none"/>
              </w:rPr>
              <w:t>（一）服务内容及要求</w:t>
            </w:r>
          </w:p>
          <w:p w14:paraId="5EBF53CF">
            <w:pPr>
              <w:spacing w:line="380" w:lineRule="exact"/>
              <w:jc w:val="left"/>
              <w:rPr>
                <w:rFonts w:hAnsi="宋体"/>
                <w:bCs/>
                <w:color w:val="auto"/>
                <w:szCs w:val="20"/>
                <w:highlight w:val="none"/>
              </w:rPr>
            </w:pPr>
            <w:r>
              <w:rPr>
                <w:rFonts w:hint="eastAsia" w:hAnsi="宋体"/>
                <w:bCs/>
                <w:color w:val="auto"/>
                <w:szCs w:val="20"/>
                <w:highlight w:val="none"/>
              </w:rPr>
              <w:t>依据《信息安全技术 信息系统密码应用基本要求GB/T 39786-2021》和《信息系统密码应用测评要求GB/T 43206-2023》的相关要求及通过评估的密码应用方案，对2个三级系统（广西机动车驾驶培训公共服务平台、广西道路运输管理信息系统），3个二级系统（广西道路运输动态监控行业服务系统、广西网络货运信息监测系统、内部控制信息系统）等5个系统进行商用密码应用方案评估和商用密码应用安全性评估服务，测评完成并报广西密码管理局报备。具体测评内容从物理和环境、网络和通信、设备和计算、应用和数据以及安全管理等层面开展商用密码应用安全性评估工作，最终出具被评估系统的《密码应用安全性评估报告》。</w:t>
            </w:r>
          </w:p>
          <w:p w14:paraId="758EBB43">
            <w:pPr>
              <w:spacing w:line="380" w:lineRule="exact"/>
              <w:jc w:val="left"/>
              <w:rPr>
                <w:rFonts w:hAnsi="宋体"/>
                <w:bCs/>
                <w:color w:val="auto"/>
                <w:szCs w:val="20"/>
                <w:highlight w:val="none"/>
              </w:rPr>
            </w:pPr>
            <w:r>
              <w:rPr>
                <w:rFonts w:hint="eastAsia" w:hAnsi="宋体"/>
                <w:bCs/>
                <w:color w:val="auto"/>
                <w:szCs w:val="20"/>
                <w:highlight w:val="none"/>
              </w:rPr>
              <w:t>1.测评内容</w:t>
            </w:r>
          </w:p>
          <w:p w14:paraId="7E124747">
            <w:pPr>
              <w:spacing w:line="380" w:lineRule="exact"/>
              <w:jc w:val="left"/>
              <w:rPr>
                <w:rFonts w:hAnsi="宋体"/>
                <w:bCs/>
                <w:color w:val="auto"/>
                <w:szCs w:val="20"/>
                <w:highlight w:val="none"/>
              </w:rPr>
            </w:pPr>
            <w:r>
              <w:rPr>
                <w:rFonts w:hint="eastAsia" w:hAnsi="宋体"/>
                <w:bCs/>
                <w:color w:val="auto"/>
                <w:szCs w:val="20"/>
                <w:highlight w:val="none"/>
              </w:rPr>
              <w:t>对本项目各系统商用密码应用方案进行评估服务，以及对本项目进行商用密码应用安全性评估服务。具体测评内容如下：</w:t>
            </w:r>
          </w:p>
          <w:p w14:paraId="14C6DE26">
            <w:pPr>
              <w:spacing w:line="380" w:lineRule="exact"/>
              <w:jc w:val="left"/>
              <w:rPr>
                <w:rFonts w:hAnsi="宋体"/>
                <w:bCs/>
                <w:color w:val="auto"/>
                <w:szCs w:val="20"/>
                <w:highlight w:val="none"/>
              </w:rPr>
            </w:pPr>
            <w:r>
              <w:rPr>
                <w:rFonts w:hint="eastAsia" w:hAnsi="宋体"/>
                <w:bCs/>
                <w:color w:val="auto"/>
                <w:szCs w:val="20"/>
                <w:highlight w:val="none"/>
              </w:rPr>
              <w:t>（1）密码应用调研</w:t>
            </w:r>
          </w:p>
          <w:p w14:paraId="25EBCB00">
            <w:pPr>
              <w:spacing w:line="380" w:lineRule="exact"/>
              <w:jc w:val="left"/>
              <w:rPr>
                <w:rFonts w:hAnsi="宋体"/>
                <w:bCs/>
                <w:color w:val="auto"/>
                <w:szCs w:val="20"/>
                <w:highlight w:val="none"/>
              </w:rPr>
            </w:pPr>
            <w:r>
              <w:rPr>
                <w:rFonts w:hint="eastAsia" w:hAnsi="宋体"/>
                <w:bCs/>
                <w:color w:val="auto"/>
                <w:szCs w:val="20"/>
                <w:highlight w:val="none"/>
              </w:rPr>
              <w:t>对信息系统中涉及的商用密码应用情况进行全面调研，包括密码算法、密码产品、密钥管理、密码应用场景等方面的信息收集，明确密码在信息系统中的具体应用方式。</w:t>
            </w:r>
          </w:p>
          <w:p w14:paraId="30B110AB">
            <w:pPr>
              <w:spacing w:line="380" w:lineRule="exact"/>
              <w:jc w:val="left"/>
              <w:rPr>
                <w:rFonts w:hAnsi="宋体"/>
                <w:bCs/>
                <w:color w:val="auto"/>
                <w:szCs w:val="20"/>
                <w:highlight w:val="none"/>
              </w:rPr>
            </w:pPr>
            <w:r>
              <w:rPr>
                <w:rFonts w:hint="eastAsia" w:hAnsi="宋体"/>
                <w:bCs/>
                <w:color w:val="auto"/>
                <w:szCs w:val="20"/>
                <w:highlight w:val="none"/>
              </w:rPr>
              <w:t>（2）评估实施</w:t>
            </w:r>
          </w:p>
          <w:p w14:paraId="1FEEFA7B">
            <w:pPr>
              <w:spacing w:line="380" w:lineRule="exact"/>
              <w:jc w:val="left"/>
              <w:rPr>
                <w:rFonts w:hAnsi="宋体"/>
                <w:bCs/>
                <w:color w:val="auto"/>
                <w:szCs w:val="20"/>
                <w:highlight w:val="none"/>
              </w:rPr>
            </w:pPr>
            <w:r>
              <w:rPr>
                <w:rFonts w:hint="eastAsia" w:hAnsi="宋体"/>
                <w:bCs/>
                <w:color w:val="auto"/>
                <w:szCs w:val="20"/>
                <w:highlight w:val="none"/>
              </w:rPr>
              <w:t>从物理和环境、网络和通信、设备和计算、应用和数据以及安全管理等层面开展商用密码应用安全性评估工作。测评工作主要包括如下内容：</w:t>
            </w:r>
          </w:p>
          <w:p w14:paraId="7B80F947">
            <w:pPr>
              <w:spacing w:line="380" w:lineRule="exact"/>
              <w:jc w:val="left"/>
              <w:rPr>
                <w:rFonts w:hAnsi="宋体"/>
                <w:bCs/>
                <w:color w:val="auto"/>
                <w:szCs w:val="20"/>
                <w:highlight w:val="none"/>
              </w:rPr>
            </w:pPr>
            <w:r>
              <w:rPr>
                <w:rFonts w:hint="eastAsia" w:hAnsi="宋体"/>
                <w:bCs/>
                <w:color w:val="auto"/>
                <w:szCs w:val="20"/>
                <w:highlight w:val="none"/>
              </w:rPr>
              <w:t>①通用测评</w:t>
            </w:r>
          </w:p>
          <w:p w14:paraId="551298B4">
            <w:pPr>
              <w:spacing w:line="380" w:lineRule="exact"/>
              <w:jc w:val="left"/>
              <w:rPr>
                <w:rFonts w:hAnsi="宋体"/>
                <w:bCs/>
                <w:color w:val="auto"/>
                <w:szCs w:val="20"/>
                <w:highlight w:val="none"/>
              </w:rPr>
            </w:pPr>
            <w:r>
              <w:rPr>
                <w:rFonts w:hint="eastAsia" w:hAnsi="宋体"/>
                <w:bCs/>
                <w:color w:val="auto"/>
                <w:szCs w:val="20"/>
                <w:highlight w:val="none"/>
              </w:rPr>
              <w:t>核查信息系统中使用的密码算法、密码技术、密码产品和密码服务是否满足国家密码管理的相关标准规范要求。</w:t>
            </w:r>
          </w:p>
          <w:p w14:paraId="41372F2B">
            <w:pPr>
              <w:spacing w:line="380" w:lineRule="exact"/>
              <w:jc w:val="left"/>
              <w:rPr>
                <w:rFonts w:hAnsi="宋体"/>
                <w:bCs/>
                <w:color w:val="auto"/>
                <w:szCs w:val="20"/>
                <w:highlight w:val="none"/>
              </w:rPr>
            </w:pPr>
            <w:r>
              <w:rPr>
                <w:rFonts w:hint="eastAsia" w:hAnsi="宋体"/>
                <w:bCs/>
                <w:color w:val="auto"/>
                <w:szCs w:val="20"/>
                <w:highlight w:val="none"/>
              </w:rPr>
              <w:t>②密码应用技术测评</w:t>
            </w:r>
          </w:p>
          <w:p w14:paraId="1A541793">
            <w:pPr>
              <w:spacing w:line="380" w:lineRule="exact"/>
              <w:jc w:val="left"/>
              <w:rPr>
                <w:rFonts w:hAnsi="宋体"/>
                <w:bCs/>
                <w:color w:val="auto"/>
                <w:szCs w:val="20"/>
                <w:highlight w:val="none"/>
              </w:rPr>
            </w:pPr>
            <w:r>
              <w:rPr>
                <w:rFonts w:hint="eastAsia" w:hAnsi="宋体"/>
                <w:bCs/>
                <w:color w:val="auto"/>
                <w:szCs w:val="20"/>
                <w:highlight w:val="none"/>
              </w:rPr>
              <w:t>包括物理和环境安全测评、网络和通信安全测评、设备和计算安全测评、应用和数据安全测评，验证信息系统的密码应用是否达到相应安全等级的安全保护能力、是否满足相应安全等级的保护要求。</w:t>
            </w:r>
          </w:p>
          <w:p w14:paraId="55B3FF84">
            <w:pPr>
              <w:spacing w:line="380" w:lineRule="exact"/>
              <w:jc w:val="left"/>
              <w:rPr>
                <w:rFonts w:hAnsi="宋体"/>
                <w:bCs/>
                <w:color w:val="auto"/>
                <w:szCs w:val="20"/>
                <w:highlight w:val="none"/>
              </w:rPr>
            </w:pPr>
            <w:r>
              <w:rPr>
                <w:rFonts w:hint="eastAsia" w:hAnsi="宋体"/>
                <w:bCs/>
                <w:color w:val="auto"/>
                <w:szCs w:val="20"/>
                <w:highlight w:val="none"/>
              </w:rPr>
              <w:t>③密钥管理测评</w:t>
            </w:r>
          </w:p>
          <w:p w14:paraId="7F510D8F">
            <w:pPr>
              <w:spacing w:line="380" w:lineRule="exact"/>
              <w:jc w:val="left"/>
              <w:rPr>
                <w:rFonts w:hAnsi="宋体"/>
                <w:bCs/>
                <w:color w:val="auto"/>
                <w:szCs w:val="20"/>
                <w:highlight w:val="none"/>
              </w:rPr>
            </w:pPr>
            <w:r>
              <w:rPr>
                <w:rFonts w:hint="eastAsia" w:hAnsi="宋体"/>
                <w:bCs/>
                <w:color w:val="auto"/>
                <w:szCs w:val="20"/>
                <w:highlight w:val="none"/>
              </w:rPr>
              <w:t>测评密钥管理各个环节，包括对密钥产生、分发、存储、使用、更新、归档、撤销、备份、恢复、销毁等环节进行管理和策略制定的全过程是否符合要求，完成单项及单元测评结果判定。</w:t>
            </w:r>
          </w:p>
          <w:p w14:paraId="165D46CC">
            <w:pPr>
              <w:spacing w:line="380" w:lineRule="exact"/>
              <w:jc w:val="left"/>
              <w:rPr>
                <w:rFonts w:hAnsi="宋体"/>
                <w:bCs/>
                <w:color w:val="auto"/>
                <w:szCs w:val="20"/>
                <w:highlight w:val="none"/>
              </w:rPr>
            </w:pPr>
            <w:r>
              <w:rPr>
                <w:rFonts w:hint="eastAsia" w:hAnsi="宋体"/>
                <w:bCs/>
                <w:color w:val="auto"/>
                <w:szCs w:val="20"/>
                <w:highlight w:val="none"/>
              </w:rPr>
              <w:t>④密码应用管理测评</w:t>
            </w:r>
          </w:p>
          <w:p w14:paraId="0514B971">
            <w:pPr>
              <w:spacing w:line="380" w:lineRule="exact"/>
              <w:jc w:val="left"/>
              <w:rPr>
                <w:rFonts w:hAnsi="宋体"/>
                <w:bCs/>
                <w:color w:val="auto"/>
                <w:szCs w:val="20"/>
                <w:highlight w:val="none"/>
              </w:rPr>
            </w:pPr>
            <w:r>
              <w:rPr>
                <w:rFonts w:hint="eastAsia" w:hAnsi="宋体"/>
                <w:bCs/>
                <w:color w:val="auto"/>
                <w:szCs w:val="20"/>
                <w:highlight w:val="none"/>
              </w:rPr>
              <w:t>从管理制度、人员管理、建设运行和应急处置四个层面进行安全管理测评，验证信息系统安全管理机制是否完善，是否能够确保密码技术被合规、正确、有效地实施。</w:t>
            </w:r>
          </w:p>
          <w:p w14:paraId="4E28168A">
            <w:pPr>
              <w:spacing w:line="380" w:lineRule="exact"/>
              <w:jc w:val="left"/>
              <w:rPr>
                <w:rFonts w:hAnsi="宋体"/>
                <w:bCs/>
                <w:color w:val="auto"/>
                <w:szCs w:val="20"/>
                <w:highlight w:val="none"/>
              </w:rPr>
            </w:pPr>
            <w:r>
              <w:rPr>
                <w:rFonts w:hint="eastAsia" w:hAnsi="宋体"/>
                <w:bCs/>
                <w:color w:val="auto"/>
                <w:szCs w:val="20"/>
                <w:highlight w:val="none"/>
              </w:rPr>
              <w:t>（3）整改协助</w:t>
            </w:r>
          </w:p>
          <w:p w14:paraId="5AA2ED63">
            <w:pPr>
              <w:spacing w:line="380" w:lineRule="exact"/>
              <w:jc w:val="left"/>
              <w:rPr>
                <w:rFonts w:hAnsi="宋体"/>
                <w:bCs/>
                <w:color w:val="auto"/>
                <w:szCs w:val="20"/>
                <w:highlight w:val="none"/>
              </w:rPr>
            </w:pPr>
            <w:r>
              <w:rPr>
                <w:rFonts w:hint="eastAsia" w:hAnsi="宋体"/>
                <w:bCs/>
                <w:color w:val="auto"/>
                <w:szCs w:val="20"/>
                <w:highlight w:val="none"/>
              </w:rPr>
              <w:t>根据安全性评估结果，制定商用密码应用整改建议，协助对存在问题的密码应用进行优化调整，在整改完成后进行复查，验证整改效果。</w:t>
            </w:r>
          </w:p>
          <w:p w14:paraId="70DA3FB6">
            <w:pPr>
              <w:spacing w:line="380" w:lineRule="exact"/>
              <w:jc w:val="left"/>
              <w:rPr>
                <w:rFonts w:hAnsi="宋体"/>
                <w:bCs/>
                <w:color w:val="auto"/>
                <w:szCs w:val="20"/>
                <w:highlight w:val="none"/>
              </w:rPr>
            </w:pPr>
            <w:r>
              <w:rPr>
                <w:rFonts w:hint="eastAsia" w:hAnsi="宋体"/>
                <w:bCs/>
                <w:color w:val="auto"/>
                <w:szCs w:val="20"/>
                <w:highlight w:val="none"/>
              </w:rPr>
              <w:t>（二）主要成果要求</w:t>
            </w:r>
          </w:p>
          <w:p w14:paraId="24E816C8">
            <w:pPr>
              <w:spacing w:line="380" w:lineRule="exact"/>
              <w:jc w:val="left"/>
              <w:rPr>
                <w:rFonts w:hAnsi="宋体"/>
                <w:bCs/>
                <w:color w:val="auto"/>
                <w:szCs w:val="20"/>
                <w:highlight w:val="none"/>
              </w:rPr>
            </w:pPr>
            <w:r>
              <w:rPr>
                <w:rFonts w:hint="eastAsia" w:hAnsi="宋体"/>
                <w:bCs/>
                <w:color w:val="auto"/>
                <w:szCs w:val="20"/>
                <w:highlight w:val="none"/>
              </w:rPr>
              <w:t>采购人委托供应商作为本项目第三方密码应用测评及相关备案等事项的全权服务方。供应商负责委托具备相应资质的第三方商用密码应用安全性评估机构，根据国家密码管理部门要求及相关政策标准要求，对系统进行评估，并出具《商用密码安全性评估报告》和商密评估报告备案证明。</w:t>
            </w:r>
          </w:p>
          <w:p w14:paraId="48D29052">
            <w:pPr>
              <w:spacing w:line="380" w:lineRule="exact"/>
              <w:jc w:val="left"/>
              <w:rPr>
                <w:rFonts w:hAnsi="宋体"/>
                <w:bCs/>
                <w:color w:val="auto"/>
                <w:szCs w:val="20"/>
                <w:highlight w:val="none"/>
              </w:rPr>
            </w:pPr>
            <w:r>
              <w:rPr>
                <w:rFonts w:hint="eastAsia" w:hAnsi="宋体"/>
                <w:bCs/>
                <w:color w:val="auto"/>
                <w:szCs w:val="20"/>
                <w:highlight w:val="none"/>
              </w:rPr>
              <w:t>三、验收咨询服务要求</w:t>
            </w:r>
          </w:p>
          <w:p w14:paraId="2C01FA61">
            <w:pPr>
              <w:spacing w:line="380" w:lineRule="exact"/>
              <w:jc w:val="left"/>
              <w:rPr>
                <w:rFonts w:hAnsi="宋体"/>
                <w:bCs/>
                <w:color w:val="auto"/>
                <w:szCs w:val="20"/>
                <w:highlight w:val="none"/>
              </w:rPr>
            </w:pPr>
            <w:r>
              <w:rPr>
                <w:rFonts w:hint="eastAsia" w:hAnsi="宋体"/>
                <w:bCs/>
                <w:color w:val="auto"/>
                <w:szCs w:val="20"/>
                <w:highlight w:val="none"/>
              </w:rPr>
              <w:t>（一）</w:t>
            </w:r>
            <w:r>
              <w:rPr>
                <w:rFonts w:hAnsi="宋体"/>
                <w:bCs/>
                <w:color w:val="auto"/>
                <w:szCs w:val="20"/>
                <w:highlight w:val="none"/>
              </w:rPr>
              <w:t>服务内容</w:t>
            </w:r>
            <w:r>
              <w:rPr>
                <w:rFonts w:hint="eastAsia" w:hAnsi="宋体"/>
                <w:bCs/>
                <w:color w:val="auto"/>
                <w:szCs w:val="20"/>
                <w:highlight w:val="none"/>
              </w:rPr>
              <w:t>范围</w:t>
            </w:r>
          </w:p>
          <w:p w14:paraId="134866B6">
            <w:pPr>
              <w:spacing w:line="380" w:lineRule="exact"/>
              <w:jc w:val="left"/>
              <w:rPr>
                <w:rFonts w:hAnsi="宋体"/>
                <w:bCs/>
                <w:color w:val="auto"/>
                <w:szCs w:val="20"/>
                <w:highlight w:val="none"/>
              </w:rPr>
            </w:pPr>
            <w:r>
              <w:rPr>
                <w:rFonts w:hint="eastAsia" w:hAnsi="宋体"/>
                <w:bCs/>
                <w:color w:val="auto"/>
                <w:szCs w:val="20"/>
                <w:highlight w:val="none"/>
              </w:rPr>
              <w:t>供应商需为以下2个项目进行验收咨询服务：</w:t>
            </w:r>
          </w:p>
          <w:p w14:paraId="54E821DA">
            <w:pPr>
              <w:spacing w:line="380" w:lineRule="exact"/>
              <w:jc w:val="left"/>
              <w:rPr>
                <w:rFonts w:hAnsi="宋体"/>
                <w:bCs/>
                <w:color w:val="auto"/>
                <w:szCs w:val="20"/>
                <w:highlight w:val="none"/>
              </w:rPr>
            </w:pPr>
            <w:r>
              <w:rPr>
                <w:rFonts w:ascii="Calibri" w:hAnsi="Calibri" w:cs="Calibri"/>
                <w:bCs/>
                <w:color w:val="auto"/>
                <w:szCs w:val="20"/>
                <w:highlight w:val="none"/>
              </w:rPr>
              <w:t>①</w:t>
            </w:r>
            <w:r>
              <w:rPr>
                <w:rFonts w:hint="eastAsia" w:hAnsi="宋体"/>
                <w:bCs/>
                <w:color w:val="auto"/>
                <w:szCs w:val="20"/>
                <w:highlight w:val="none"/>
              </w:rPr>
              <w:t>广西道路运输信息服务平台运营及维护项目（包括1、广西道路运输大数据预警研判技术服务，2、广西道路运输驾驶员继续教育与从业资格考试技术服务，3、广西机动车驾驶培训公共服务，4、广西道路运输车辆智能防控系统技术服务，5、内部控制信息系统运行维护经费项目，6、广西道路运输行业党建服务系统“桂运先锋”平台，7、广西道路运输发展中心业务系统第三方技术服务）</w:t>
            </w:r>
          </w:p>
          <w:p w14:paraId="6991AEB8">
            <w:pPr>
              <w:spacing w:line="380" w:lineRule="exact"/>
              <w:jc w:val="left"/>
              <w:rPr>
                <w:rFonts w:hAnsi="宋体"/>
                <w:bCs/>
                <w:color w:val="auto"/>
                <w:szCs w:val="20"/>
                <w:highlight w:val="none"/>
              </w:rPr>
            </w:pPr>
            <w:r>
              <w:rPr>
                <w:rFonts w:ascii="Calibri" w:hAnsi="Calibri" w:cs="Calibri"/>
                <w:bCs/>
                <w:color w:val="auto"/>
                <w:szCs w:val="20"/>
                <w:highlight w:val="none"/>
              </w:rPr>
              <w:t>②</w:t>
            </w:r>
            <w:r>
              <w:rPr>
                <w:rFonts w:hint="eastAsia" w:hAnsi="宋体"/>
                <w:bCs/>
                <w:color w:val="auto"/>
                <w:szCs w:val="20"/>
                <w:highlight w:val="none"/>
              </w:rPr>
              <w:t>广西道路运输综合监管平台运营及维护项目（包括1、广西道路运输运政及动态监控技术服务，2、广西道路运输第三方安全监测技术服务，3、广西网络货运信息监测系统技术服务，4、广西道路运输数智监管平台技术服务，5、广西重型载货汽车北斗视频监管系统技术服务，6、广西道路运输车辆检验检测联网技术服务，7、广西驾驶培训监管技术服务，8、广西网约车监管信息交互技术服务。）</w:t>
            </w:r>
          </w:p>
          <w:p w14:paraId="6846784F">
            <w:pPr>
              <w:spacing w:line="380" w:lineRule="exact"/>
              <w:jc w:val="left"/>
              <w:rPr>
                <w:rFonts w:hAnsi="宋体"/>
                <w:bCs/>
                <w:color w:val="auto"/>
                <w:szCs w:val="20"/>
                <w:highlight w:val="none"/>
              </w:rPr>
            </w:pPr>
          </w:p>
          <w:p w14:paraId="10D77D61">
            <w:pPr>
              <w:spacing w:line="380" w:lineRule="exact"/>
              <w:jc w:val="left"/>
              <w:rPr>
                <w:rFonts w:hAnsi="宋体"/>
                <w:bCs/>
                <w:color w:val="auto"/>
                <w:szCs w:val="20"/>
                <w:highlight w:val="none"/>
              </w:rPr>
            </w:pPr>
            <w:r>
              <w:rPr>
                <w:rFonts w:hint="eastAsia" w:hAnsi="宋体"/>
                <w:bCs/>
                <w:color w:val="auto"/>
                <w:szCs w:val="20"/>
                <w:highlight w:val="none"/>
              </w:rPr>
              <w:t>（二）具体验收咨询服务内容</w:t>
            </w:r>
          </w:p>
          <w:p w14:paraId="4BCD5C94">
            <w:pPr>
              <w:spacing w:line="380" w:lineRule="exact"/>
              <w:jc w:val="left"/>
              <w:rPr>
                <w:rFonts w:hAnsi="宋体"/>
                <w:bCs/>
                <w:color w:val="auto"/>
                <w:szCs w:val="20"/>
                <w:highlight w:val="none"/>
              </w:rPr>
            </w:pPr>
            <w:r>
              <w:rPr>
                <w:rFonts w:hint="eastAsia" w:hAnsi="宋体"/>
                <w:bCs/>
                <w:color w:val="auto"/>
                <w:szCs w:val="20"/>
                <w:highlight w:val="none"/>
              </w:rPr>
              <w:t>1.</w:t>
            </w:r>
            <w:r>
              <w:rPr>
                <w:rFonts w:hAnsi="宋体"/>
                <w:bCs/>
                <w:color w:val="auto"/>
                <w:szCs w:val="20"/>
                <w:highlight w:val="none"/>
              </w:rPr>
              <w:t>技术资料完整性与规范性审核</w:t>
            </w:r>
          </w:p>
          <w:p w14:paraId="56BF11A1">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1）按照自治区数据局验收政策要求，梳理业主、承建等参建单位提供的文档材料是否齐全，梳理验收材料清单供参建各方补充材料。</w:t>
            </w:r>
          </w:p>
          <w:p w14:paraId="68615DA0">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2）技术资料审核：</w:t>
            </w:r>
            <w:r>
              <w:rPr>
                <w:rFonts w:hint="eastAsia" w:hAnsi="宋体"/>
                <w:bCs/>
                <w:color w:val="auto"/>
                <w:szCs w:val="20"/>
                <w:highlight w:val="none"/>
              </w:rPr>
              <w:t>审核项目合同</w:t>
            </w:r>
            <w:r>
              <w:rPr>
                <w:rFonts w:hAnsi="宋体"/>
                <w:bCs/>
                <w:color w:val="auto"/>
                <w:szCs w:val="20"/>
                <w:highlight w:val="none"/>
              </w:rPr>
              <w:t>、</w:t>
            </w:r>
            <w:r>
              <w:rPr>
                <w:rFonts w:hint="eastAsia" w:hAnsi="宋体"/>
                <w:bCs/>
                <w:color w:val="auto"/>
                <w:szCs w:val="20"/>
                <w:highlight w:val="none"/>
              </w:rPr>
              <w:t>交付服务提供内容是否的</w:t>
            </w:r>
            <w:r>
              <w:rPr>
                <w:rFonts w:hAnsi="宋体"/>
                <w:bCs/>
                <w:color w:val="auto"/>
                <w:szCs w:val="20"/>
                <w:highlight w:val="none"/>
              </w:rPr>
              <w:t>与项目实际建设情况一致，满足可追溯、可复用要求；</w:t>
            </w:r>
          </w:p>
          <w:p w14:paraId="6C0AEF11">
            <w:pPr>
              <w:spacing w:line="380" w:lineRule="exact"/>
              <w:jc w:val="left"/>
              <w:rPr>
                <w:rFonts w:hAnsi="宋体"/>
                <w:bCs/>
                <w:color w:val="auto"/>
                <w:szCs w:val="20"/>
                <w:highlight w:val="none"/>
              </w:rPr>
            </w:pPr>
            <w:r>
              <w:rPr>
                <w:rFonts w:hint="eastAsia" w:hAnsi="宋体"/>
                <w:bCs/>
                <w:color w:val="auto"/>
                <w:szCs w:val="20"/>
                <w:highlight w:val="none"/>
              </w:rPr>
              <w:t>2.</w:t>
            </w:r>
            <w:r>
              <w:rPr>
                <w:rFonts w:hAnsi="宋体"/>
                <w:bCs/>
                <w:color w:val="auto"/>
                <w:szCs w:val="20"/>
                <w:highlight w:val="none"/>
              </w:rPr>
              <w:t>协助组织项目竣工验收</w:t>
            </w:r>
          </w:p>
          <w:p w14:paraId="7DBA29F3">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1）会前准备会议签到表、会议议程文件，</w:t>
            </w:r>
            <w:r>
              <w:rPr>
                <w:rFonts w:hint="eastAsia" w:hAnsi="宋体"/>
                <w:bCs/>
                <w:color w:val="auto"/>
                <w:szCs w:val="20"/>
                <w:highlight w:val="none"/>
              </w:rPr>
              <w:t>协助组织</w:t>
            </w:r>
            <w:r>
              <w:rPr>
                <w:rFonts w:hAnsi="宋体"/>
                <w:bCs/>
                <w:color w:val="auto"/>
                <w:szCs w:val="20"/>
                <w:highlight w:val="none"/>
              </w:rPr>
              <w:t>竣工验收会</w:t>
            </w:r>
            <w:r>
              <w:rPr>
                <w:rFonts w:hint="eastAsia" w:hAnsi="宋体"/>
                <w:bCs/>
                <w:color w:val="auto"/>
                <w:szCs w:val="20"/>
                <w:highlight w:val="none"/>
              </w:rPr>
              <w:t>议</w:t>
            </w:r>
            <w:r>
              <w:rPr>
                <w:rFonts w:hAnsi="宋体"/>
                <w:bCs/>
                <w:color w:val="auto"/>
                <w:szCs w:val="20"/>
                <w:highlight w:val="none"/>
              </w:rPr>
              <w:t>。</w:t>
            </w:r>
          </w:p>
          <w:p w14:paraId="4960CA49">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2）会中对项目竣工验收问题进行记录形成会议纪要。</w:t>
            </w:r>
          </w:p>
          <w:p w14:paraId="27760282">
            <w:pPr>
              <w:spacing w:line="380" w:lineRule="exact"/>
              <w:jc w:val="left"/>
              <w:rPr>
                <w:rFonts w:hAnsi="宋体"/>
                <w:bCs/>
                <w:color w:val="auto"/>
                <w:szCs w:val="20"/>
                <w:highlight w:val="none"/>
              </w:rPr>
            </w:pPr>
            <w:r>
              <w:rPr>
                <w:rFonts w:hint="eastAsia" w:hAnsi="宋体"/>
                <w:bCs/>
                <w:color w:val="auto"/>
                <w:szCs w:val="20"/>
                <w:highlight w:val="none"/>
              </w:rPr>
              <w:t>3.服务交付成果</w:t>
            </w:r>
          </w:p>
          <w:p w14:paraId="5B4F8995">
            <w:pPr>
              <w:spacing w:line="380" w:lineRule="exact"/>
              <w:jc w:val="left"/>
              <w:rPr>
                <w:rFonts w:hAnsi="宋体"/>
                <w:bCs/>
                <w:color w:val="auto"/>
                <w:szCs w:val="20"/>
                <w:highlight w:val="none"/>
              </w:rPr>
            </w:pPr>
            <w:r>
              <w:rPr>
                <w:rFonts w:hint="eastAsia" w:hAnsi="宋体"/>
                <w:bCs/>
                <w:color w:val="auto"/>
                <w:szCs w:val="20"/>
                <w:highlight w:val="none"/>
              </w:rPr>
              <w:t>（1）广西道路运输信息服务平台运营及维护项目验收咨询报告</w:t>
            </w:r>
          </w:p>
          <w:p w14:paraId="06E15CE5">
            <w:pPr>
              <w:spacing w:line="380" w:lineRule="exact"/>
              <w:jc w:val="left"/>
              <w:rPr>
                <w:color w:val="auto"/>
                <w:szCs w:val="21"/>
                <w:highlight w:val="none"/>
              </w:rPr>
            </w:pPr>
            <w:r>
              <w:rPr>
                <w:rFonts w:hint="eastAsia" w:hAnsi="宋体"/>
                <w:bCs/>
                <w:color w:val="auto"/>
                <w:szCs w:val="20"/>
                <w:highlight w:val="none"/>
              </w:rPr>
              <w:t>（2）广西道路运输综合监管平台运营及维护项目验收咨询报告</w:t>
            </w:r>
          </w:p>
        </w:tc>
      </w:tr>
      <w:tr w14:paraId="63E9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36AF1FF5">
            <w:pPr>
              <w:spacing w:line="340" w:lineRule="exact"/>
              <w:rPr>
                <w:b/>
                <w:color w:val="auto"/>
                <w:szCs w:val="21"/>
                <w:highlight w:val="none"/>
              </w:rPr>
            </w:pPr>
            <w:r>
              <w:rPr>
                <w:rFonts w:hint="eastAsia" w:ascii="宋体" w:hAnsi="宋体"/>
                <w:b/>
                <w:color w:val="auto"/>
                <w:szCs w:val="21"/>
                <w:highlight w:val="none"/>
              </w:rPr>
              <w:t>商务要求表</w:t>
            </w:r>
          </w:p>
        </w:tc>
      </w:tr>
      <w:tr w14:paraId="3C73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5EBD297">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269E95F4">
            <w:pPr>
              <w:spacing w:line="340" w:lineRule="exact"/>
              <w:rPr>
                <w:color w:val="auto"/>
                <w:szCs w:val="21"/>
                <w:highlight w:val="none"/>
              </w:rPr>
            </w:pPr>
            <w:r>
              <w:rPr>
                <w:rFonts w:hint="eastAsia" w:ascii="宋体" w:hAnsi="宋体"/>
                <w:color w:val="auto"/>
                <w:szCs w:val="21"/>
                <w:highlight w:val="none"/>
              </w:rPr>
              <w:t>自合同签订之日起至以上所列工程完成验收之日止。</w:t>
            </w:r>
          </w:p>
        </w:tc>
      </w:tr>
      <w:tr w14:paraId="3F2A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964EC79">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50663036">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454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0EC0EA37">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5EB8BBB4">
            <w:pPr>
              <w:spacing w:line="380" w:lineRule="exact"/>
              <w:rPr>
                <w:color w:val="auto"/>
                <w:szCs w:val="21"/>
                <w:highlight w:val="none"/>
              </w:rPr>
            </w:pPr>
            <w:r>
              <w:rPr>
                <w:rFonts w:hint="eastAsia" w:ascii="宋体" w:hAnsi="宋体"/>
                <w:color w:val="auto"/>
                <w:szCs w:val="21"/>
                <w:highlight w:val="none"/>
              </w:rPr>
              <w:t>广西区内（采购人指定地点）</w:t>
            </w:r>
          </w:p>
        </w:tc>
      </w:tr>
      <w:tr w14:paraId="7680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324252AC">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2C3C3E7E">
            <w:pPr>
              <w:spacing w:line="360" w:lineRule="auto"/>
              <w:rPr>
                <w:color w:val="auto"/>
                <w:szCs w:val="21"/>
                <w:highlight w:val="none"/>
              </w:rPr>
            </w:pPr>
            <w:r>
              <w:rPr>
                <w:rFonts w:hint="eastAsia" w:ascii="宋体" w:hAnsi="宋体"/>
                <w:color w:val="auto"/>
                <w:szCs w:val="21"/>
                <w:highlight w:val="none"/>
              </w:rPr>
              <w:t>本项目分批次付款，签订合同后十个工作日内，采购人向中标供应商支付全部合同金额的50%；在中标供应商签订合同</w:t>
            </w:r>
            <w:r>
              <w:rPr>
                <w:rFonts w:ascii="宋体" w:hAnsi="宋体"/>
                <w:color w:val="auto"/>
                <w:szCs w:val="21"/>
                <w:highlight w:val="none"/>
              </w:rPr>
              <w:t>2</w:t>
            </w:r>
            <w:r>
              <w:rPr>
                <w:rFonts w:hint="eastAsia" w:ascii="宋体" w:hAnsi="宋体"/>
                <w:color w:val="auto"/>
                <w:szCs w:val="21"/>
                <w:highlight w:val="none"/>
              </w:rPr>
              <w:t>个月后，由采购人内向中标供应商支付30%合同款;在中标供应商完成服务能力验收后，采购人于10个工作日内向中标供应商支付20%合同款。采购人付款前，中标供应商应向采购人开具等额有效的增值税发票，采购人未收到发票的，有权不予支付相应款项直至中标供应商提供合格发票，并不承担延迟付款责任。</w:t>
            </w:r>
          </w:p>
        </w:tc>
      </w:tr>
      <w:tr w14:paraId="1BD9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4A0AC6E1">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5051C55C">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highlight w:val="none"/>
              </w:rPr>
              <w:t>报价包含本项目所有服务内容、</w:t>
            </w:r>
            <w:r>
              <w:rPr>
                <w:rFonts w:hint="eastAsia" w:ascii="宋体" w:hAnsi="宋体" w:cs="宋体"/>
                <w:color w:val="auto"/>
                <w:szCs w:val="21"/>
                <w:highlight w:val="none"/>
              </w:rPr>
              <w:t>服务中包含货物</w:t>
            </w:r>
            <w:r>
              <w:rPr>
                <w:rFonts w:hint="eastAsia"/>
                <w:color w:val="auto"/>
                <w:highlight w:val="none"/>
              </w:rPr>
              <w:t>所涉及的标准附件、专用工具、人员薪酬、交通费、检测检验、必要的保费、各项税费、招标代理服务费及其它所有成本费用的总和。</w:t>
            </w:r>
            <w:r>
              <w:rPr>
                <w:rFonts w:hint="eastAsia" w:ascii="宋体" w:hAnsi="宋体" w:cs="宋体"/>
                <w:color w:val="auto"/>
                <w:highlight w:val="none"/>
              </w:rPr>
              <w:t>由供应商根据采购文件所提供的资料自行测算投标报价；一经中标，投标报价总价作为中标供应商与采购人签订的合同金额，合同期限内不</w:t>
            </w:r>
            <w:r>
              <w:rPr>
                <w:rFonts w:hint="eastAsia" w:ascii="宋体" w:hAnsi="宋体" w:cs="宋体"/>
                <w:color w:val="auto"/>
                <w:szCs w:val="21"/>
                <w:highlight w:val="none"/>
              </w:rPr>
              <w:t>做调整。</w:t>
            </w:r>
          </w:p>
        </w:tc>
      </w:tr>
      <w:tr w14:paraId="29C2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CB60B14">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35C6E3B8">
            <w:pPr>
              <w:spacing w:line="400" w:lineRule="exact"/>
              <w:rPr>
                <w:color w:val="auto"/>
                <w:highlight w:val="none"/>
              </w:rPr>
            </w:pPr>
            <w:r>
              <w:rPr>
                <w:rFonts w:hint="eastAsia"/>
                <w:color w:val="auto"/>
                <w:highlight w:val="none"/>
              </w:rPr>
              <w:t>1.售后服务要求：</w:t>
            </w:r>
          </w:p>
          <w:p w14:paraId="3E1A4A51">
            <w:pPr>
              <w:spacing w:line="400" w:lineRule="exact"/>
              <w:rPr>
                <w:color w:val="auto"/>
                <w:highlight w:val="none"/>
              </w:rPr>
            </w:pPr>
            <w:r>
              <w:rPr>
                <w:rFonts w:hint="eastAsia"/>
                <w:color w:val="auto"/>
                <w:highlight w:val="none"/>
              </w:rPr>
              <w:t>（1）质量保证期1年（自提交服务成果并验收合格之日起计）。</w:t>
            </w:r>
          </w:p>
          <w:p w14:paraId="1050457C">
            <w:pPr>
              <w:spacing w:line="400" w:lineRule="exact"/>
              <w:rPr>
                <w:color w:val="auto"/>
                <w:highlight w:val="none"/>
              </w:rPr>
            </w:pPr>
            <w:r>
              <w:rPr>
                <w:rFonts w:hint="eastAsia"/>
                <w:color w:val="auto"/>
                <w:highlight w:val="none"/>
              </w:rPr>
              <w:t>（2）处理问题响应时间：接到采购人处理问题通知后2小时内到达采购人指定现场。</w:t>
            </w:r>
          </w:p>
          <w:p w14:paraId="03A0C204">
            <w:pPr>
              <w:spacing w:line="400" w:lineRule="exact"/>
              <w:rPr>
                <w:color w:val="auto"/>
                <w:highlight w:val="none"/>
              </w:rPr>
            </w:pPr>
            <w:r>
              <w:rPr>
                <w:rFonts w:hint="eastAsia"/>
                <w:color w:val="auto"/>
                <w:highlight w:val="none"/>
              </w:rPr>
              <w:t>2.其他要求：</w:t>
            </w:r>
          </w:p>
          <w:p w14:paraId="7C7DC5C2">
            <w:pPr>
              <w:spacing w:line="400" w:lineRule="exact"/>
              <w:rPr>
                <w:color w:val="auto"/>
                <w:highlight w:val="none"/>
              </w:rPr>
            </w:pPr>
            <w:r>
              <w:rPr>
                <w:rFonts w:hint="eastAsia"/>
                <w:color w:val="auto"/>
                <w:highlight w:val="none"/>
              </w:rPr>
              <w:t>（1）中标供应商不得承担本项目工程建设的系统集成及相关实施工作。</w:t>
            </w:r>
          </w:p>
          <w:p w14:paraId="252CAD62">
            <w:pPr>
              <w:spacing w:line="400" w:lineRule="exact"/>
              <w:rPr>
                <w:color w:val="auto"/>
                <w:highlight w:val="none"/>
              </w:rPr>
            </w:pPr>
            <w:r>
              <w:rPr>
                <w:rFonts w:hint="eastAsia"/>
                <w:color w:val="auto"/>
                <w:highlight w:val="none"/>
              </w:rPr>
              <w:t>（2）本项目成果及其相关知识产权权利归采购人所有。</w:t>
            </w:r>
          </w:p>
          <w:p w14:paraId="110DCDC8">
            <w:pPr>
              <w:spacing w:line="400" w:lineRule="exact"/>
              <w:rPr>
                <w:color w:val="auto"/>
                <w:highlight w:val="none"/>
              </w:rPr>
            </w:pPr>
            <w:r>
              <w:rPr>
                <w:rFonts w:hint="eastAsia"/>
                <w:color w:val="auto"/>
                <w:highlight w:val="none"/>
              </w:rPr>
              <w:t>（3）</w:t>
            </w:r>
            <w:r>
              <w:rPr>
                <w:rFonts w:hint="eastAsia" w:ascii="宋体" w:hAnsi="宋体" w:cs="宋体"/>
                <w:color w:val="auto"/>
                <w:szCs w:val="21"/>
                <w:highlight w:val="none"/>
              </w:rPr>
              <w:t>中标人必须与采购人签订保密协议。</w:t>
            </w:r>
          </w:p>
        </w:tc>
      </w:tr>
    </w:tbl>
    <w:p w14:paraId="0253EDC7">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p>
    <w:p w14:paraId="426A791D">
      <w:pPr>
        <w:spacing w:line="428" w:lineRule="exact"/>
        <w:rPr>
          <w:rFonts w:ascii="Arial Unicode MS" w:hAnsi="Arial Unicode MS" w:eastAsia="等线" w:cs="Arial Unicode MS"/>
          <w:color w:val="auto"/>
          <w:kern w:val="0"/>
          <w:szCs w:val="21"/>
          <w:highlight w:val="none"/>
        </w:rPr>
      </w:pPr>
      <w:r>
        <w:rPr>
          <w:rFonts w:hint="eastAsia" w:ascii="黑体" w:hAnsi="黑体" w:eastAsia="黑体" w:cs="黑体"/>
          <w:color w:val="auto"/>
          <w:szCs w:val="21"/>
          <w:highlight w:val="none"/>
        </w:rPr>
        <w:t>附件：</w:t>
      </w:r>
    </w:p>
    <w:p w14:paraId="64E0830D">
      <w:pPr>
        <w:spacing w:line="528" w:lineRule="exact"/>
        <w:jc w:val="center"/>
        <w:rPr>
          <w:rFonts w:ascii="Arial Unicode MS" w:hAnsi="Arial Unicode MS" w:eastAsia="Arial Unicode MS" w:cs="Arial Unicode MS"/>
          <w:color w:val="auto"/>
          <w:szCs w:val="21"/>
          <w:highlight w:val="none"/>
        </w:rPr>
      </w:pPr>
      <w:r>
        <w:rPr>
          <w:rFonts w:hint="eastAsia" w:ascii="微软雅黑" w:hAnsi="微软雅黑" w:eastAsia="微软雅黑" w:cs="微软雅黑"/>
          <w:color w:val="auto"/>
          <w:szCs w:val="21"/>
          <w:highlight w:val="none"/>
        </w:rPr>
        <w:t>中小微企业划型标准</w:t>
      </w:r>
    </w:p>
    <w:tbl>
      <w:tblPr>
        <w:tblStyle w:val="47"/>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5B5B271B">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14:paraId="5D40AA26">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831" w:type="pct"/>
            <w:tcBorders>
              <w:top w:val="single" w:color="auto" w:sz="4" w:space="0"/>
              <w:left w:val="nil"/>
              <w:bottom w:val="single" w:color="auto" w:sz="4" w:space="0"/>
              <w:right w:val="single" w:color="auto" w:sz="4" w:space="0"/>
            </w:tcBorders>
            <w:vAlign w:val="center"/>
          </w:tcPr>
          <w:p w14:paraId="46346F1B">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748" w:type="pct"/>
            <w:tcBorders>
              <w:top w:val="single" w:color="auto" w:sz="4" w:space="0"/>
              <w:left w:val="nil"/>
              <w:bottom w:val="single" w:color="auto" w:sz="4" w:space="0"/>
              <w:right w:val="single" w:color="auto" w:sz="4" w:space="0"/>
            </w:tcBorders>
            <w:vAlign w:val="center"/>
          </w:tcPr>
          <w:p w14:paraId="3A98DAF9">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962" w:type="pct"/>
            <w:tcBorders>
              <w:top w:val="single" w:color="auto" w:sz="4" w:space="0"/>
              <w:left w:val="nil"/>
              <w:bottom w:val="single" w:color="auto" w:sz="4" w:space="0"/>
              <w:right w:val="single" w:color="auto" w:sz="4" w:space="0"/>
            </w:tcBorders>
            <w:vAlign w:val="center"/>
          </w:tcPr>
          <w:p w14:paraId="2C9F6D91">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902" w:type="pct"/>
            <w:tcBorders>
              <w:top w:val="single" w:color="auto" w:sz="4" w:space="0"/>
              <w:left w:val="nil"/>
              <w:bottom w:val="single" w:color="auto" w:sz="4" w:space="0"/>
              <w:right w:val="single" w:color="auto" w:sz="4" w:space="0"/>
            </w:tcBorders>
            <w:vAlign w:val="center"/>
          </w:tcPr>
          <w:p w14:paraId="5FD63ED6">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579" w:type="pct"/>
            <w:tcBorders>
              <w:top w:val="single" w:color="auto" w:sz="4" w:space="0"/>
              <w:left w:val="nil"/>
              <w:bottom w:val="single" w:color="auto" w:sz="4" w:space="0"/>
              <w:right w:val="single" w:color="auto" w:sz="4" w:space="0"/>
            </w:tcBorders>
            <w:vAlign w:val="center"/>
          </w:tcPr>
          <w:p w14:paraId="12728BA2">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4DE5788">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2DEB84D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831" w:type="pct"/>
            <w:tcBorders>
              <w:top w:val="nil"/>
              <w:left w:val="nil"/>
              <w:bottom w:val="single" w:color="auto" w:sz="4" w:space="0"/>
              <w:right w:val="single" w:color="auto" w:sz="4" w:space="0"/>
            </w:tcBorders>
            <w:vAlign w:val="center"/>
          </w:tcPr>
          <w:p w14:paraId="431FC73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11FF52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67717E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02" w:type="pct"/>
            <w:tcBorders>
              <w:top w:val="nil"/>
              <w:left w:val="nil"/>
              <w:bottom w:val="single" w:color="auto" w:sz="4" w:space="0"/>
              <w:right w:val="single" w:color="auto" w:sz="4" w:space="0"/>
            </w:tcBorders>
            <w:vAlign w:val="center"/>
          </w:tcPr>
          <w:p w14:paraId="6627E22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579" w:type="pct"/>
            <w:tcBorders>
              <w:top w:val="nil"/>
              <w:left w:val="nil"/>
              <w:bottom w:val="single" w:color="auto" w:sz="4" w:space="0"/>
              <w:right w:val="single" w:color="auto" w:sz="4" w:space="0"/>
            </w:tcBorders>
            <w:vAlign w:val="center"/>
          </w:tcPr>
          <w:p w14:paraId="710130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F5D976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1544C4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831" w:type="pct"/>
            <w:tcBorders>
              <w:top w:val="nil"/>
              <w:left w:val="nil"/>
              <w:bottom w:val="single" w:color="auto" w:sz="4" w:space="0"/>
              <w:right w:val="single" w:color="auto" w:sz="4" w:space="0"/>
            </w:tcBorders>
            <w:vAlign w:val="center"/>
          </w:tcPr>
          <w:p w14:paraId="520FC3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007FB3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CDFA28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340003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579" w:type="pct"/>
            <w:tcBorders>
              <w:top w:val="nil"/>
              <w:left w:val="nil"/>
              <w:bottom w:val="single" w:color="auto" w:sz="4" w:space="0"/>
              <w:right w:val="single" w:color="auto" w:sz="4" w:space="0"/>
            </w:tcBorders>
            <w:vAlign w:val="center"/>
          </w:tcPr>
          <w:p w14:paraId="0B381A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CF93D9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D188A2A">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7D00BB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2E07AD0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2F1498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902" w:type="pct"/>
            <w:tcBorders>
              <w:top w:val="nil"/>
              <w:left w:val="nil"/>
              <w:bottom w:val="single" w:color="auto" w:sz="4" w:space="0"/>
              <w:right w:val="single" w:color="auto" w:sz="4" w:space="0"/>
            </w:tcBorders>
            <w:vAlign w:val="center"/>
          </w:tcPr>
          <w:p w14:paraId="3A457F4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579" w:type="pct"/>
            <w:tcBorders>
              <w:top w:val="nil"/>
              <w:left w:val="nil"/>
              <w:bottom w:val="single" w:color="auto" w:sz="4" w:space="0"/>
              <w:right w:val="single" w:color="auto" w:sz="4" w:space="0"/>
            </w:tcBorders>
            <w:vAlign w:val="center"/>
          </w:tcPr>
          <w:p w14:paraId="60C686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68E3E5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6E88C8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831" w:type="pct"/>
            <w:tcBorders>
              <w:top w:val="nil"/>
              <w:left w:val="nil"/>
              <w:bottom w:val="single" w:color="auto" w:sz="4" w:space="0"/>
              <w:right w:val="single" w:color="auto" w:sz="4" w:space="0"/>
            </w:tcBorders>
            <w:vAlign w:val="center"/>
          </w:tcPr>
          <w:p w14:paraId="5173FC4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746532E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59D665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902" w:type="pct"/>
            <w:tcBorders>
              <w:top w:val="nil"/>
              <w:left w:val="nil"/>
              <w:bottom w:val="single" w:color="auto" w:sz="4" w:space="0"/>
              <w:right w:val="single" w:color="auto" w:sz="4" w:space="0"/>
            </w:tcBorders>
            <w:vAlign w:val="center"/>
          </w:tcPr>
          <w:p w14:paraId="5E3802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579" w:type="pct"/>
            <w:tcBorders>
              <w:top w:val="nil"/>
              <w:left w:val="nil"/>
              <w:bottom w:val="single" w:color="auto" w:sz="4" w:space="0"/>
              <w:right w:val="single" w:color="auto" w:sz="4" w:space="0"/>
            </w:tcBorders>
            <w:vAlign w:val="center"/>
          </w:tcPr>
          <w:p w14:paraId="3AFF3DB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24B3298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AA4DDC7">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6CF564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8" w:type="pct"/>
            <w:tcBorders>
              <w:top w:val="nil"/>
              <w:left w:val="nil"/>
              <w:bottom w:val="single" w:color="auto" w:sz="4" w:space="0"/>
              <w:right w:val="single" w:color="auto" w:sz="4" w:space="0"/>
            </w:tcBorders>
            <w:vAlign w:val="center"/>
          </w:tcPr>
          <w:p w14:paraId="177C80A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17BF486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902" w:type="pct"/>
            <w:tcBorders>
              <w:top w:val="nil"/>
              <w:left w:val="nil"/>
              <w:bottom w:val="single" w:color="auto" w:sz="4" w:space="0"/>
              <w:right w:val="single" w:color="auto" w:sz="4" w:space="0"/>
            </w:tcBorders>
            <w:vAlign w:val="center"/>
          </w:tcPr>
          <w:p w14:paraId="25419C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579" w:type="pct"/>
            <w:tcBorders>
              <w:top w:val="nil"/>
              <w:left w:val="nil"/>
              <w:bottom w:val="single" w:color="auto" w:sz="4" w:space="0"/>
              <w:right w:val="single" w:color="auto" w:sz="4" w:space="0"/>
            </w:tcBorders>
            <w:vAlign w:val="center"/>
          </w:tcPr>
          <w:p w14:paraId="1A49E8C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072673D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480879D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831" w:type="pct"/>
            <w:tcBorders>
              <w:top w:val="nil"/>
              <w:left w:val="nil"/>
              <w:bottom w:val="single" w:color="auto" w:sz="4" w:space="0"/>
              <w:right w:val="single" w:color="auto" w:sz="4" w:space="0"/>
            </w:tcBorders>
            <w:vAlign w:val="center"/>
          </w:tcPr>
          <w:p w14:paraId="0D27D7F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021EB5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62334B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902" w:type="pct"/>
            <w:tcBorders>
              <w:top w:val="nil"/>
              <w:left w:val="nil"/>
              <w:bottom w:val="single" w:color="auto" w:sz="4" w:space="0"/>
              <w:right w:val="single" w:color="auto" w:sz="4" w:space="0"/>
            </w:tcBorders>
            <w:vAlign w:val="center"/>
          </w:tcPr>
          <w:p w14:paraId="43C096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579" w:type="pct"/>
            <w:tcBorders>
              <w:top w:val="nil"/>
              <w:left w:val="nil"/>
              <w:bottom w:val="single" w:color="auto" w:sz="4" w:space="0"/>
              <w:right w:val="single" w:color="auto" w:sz="4" w:space="0"/>
            </w:tcBorders>
            <w:vAlign w:val="center"/>
          </w:tcPr>
          <w:p w14:paraId="7CACE5D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597D03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FE49E69">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0E279B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91432F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258813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902" w:type="pct"/>
            <w:tcBorders>
              <w:top w:val="nil"/>
              <w:left w:val="nil"/>
              <w:bottom w:val="single" w:color="auto" w:sz="4" w:space="0"/>
              <w:right w:val="single" w:color="auto" w:sz="4" w:space="0"/>
            </w:tcBorders>
            <w:vAlign w:val="center"/>
          </w:tcPr>
          <w:p w14:paraId="5A9A97C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579" w:type="pct"/>
            <w:tcBorders>
              <w:top w:val="nil"/>
              <w:left w:val="nil"/>
              <w:bottom w:val="single" w:color="auto" w:sz="4" w:space="0"/>
              <w:right w:val="single" w:color="auto" w:sz="4" w:space="0"/>
            </w:tcBorders>
            <w:vAlign w:val="center"/>
          </w:tcPr>
          <w:p w14:paraId="51CCD1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98A0C8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442426A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831" w:type="pct"/>
            <w:tcBorders>
              <w:top w:val="nil"/>
              <w:left w:val="nil"/>
              <w:bottom w:val="single" w:color="auto" w:sz="4" w:space="0"/>
              <w:right w:val="single" w:color="auto" w:sz="4" w:space="0"/>
            </w:tcBorders>
            <w:vAlign w:val="center"/>
          </w:tcPr>
          <w:p w14:paraId="64387AA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400BC2E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3E671F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902" w:type="pct"/>
            <w:tcBorders>
              <w:top w:val="nil"/>
              <w:left w:val="nil"/>
              <w:bottom w:val="single" w:color="auto" w:sz="4" w:space="0"/>
              <w:right w:val="single" w:color="auto" w:sz="4" w:space="0"/>
            </w:tcBorders>
            <w:vAlign w:val="center"/>
          </w:tcPr>
          <w:p w14:paraId="323BFF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579" w:type="pct"/>
            <w:tcBorders>
              <w:top w:val="nil"/>
              <w:left w:val="nil"/>
              <w:bottom w:val="single" w:color="auto" w:sz="4" w:space="0"/>
              <w:right w:val="single" w:color="auto" w:sz="4" w:space="0"/>
            </w:tcBorders>
            <w:vAlign w:val="center"/>
          </w:tcPr>
          <w:p w14:paraId="3412C9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E8BF09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9FF2A14">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0721EB6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58F704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408A06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02" w:type="pct"/>
            <w:tcBorders>
              <w:top w:val="nil"/>
              <w:left w:val="nil"/>
              <w:bottom w:val="single" w:color="auto" w:sz="4" w:space="0"/>
              <w:right w:val="single" w:color="auto" w:sz="4" w:space="0"/>
            </w:tcBorders>
            <w:vAlign w:val="center"/>
          </w:tcPr>
          <w:p w14:paraId="07B3219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579" w:type="pct"/>
            <w:tcBorders>
              <w:top w:val="nil"/>
              <w:left w:val="nil"/>
              <w:bottom w:val="single" w:color="auto" w:sz="4" w:space="0"/>
              <w:right w:val="single" w:color="auto" w:sz="4" w:space="0"/>
            </w:tcBorders>
            <w:vAlign w:val="center"/>
          </w:tcPr>
          <w:p w14:paraId="4FDEEC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24BFE0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45D3707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831" w:type="pct"/>
            <w:tcBorders>
              <w:top w:val="nil"/>
              <w:left w:val="nil"/>
              <w:bottom w:val="single" w:color="auto" w:sz="4" w:space="0"/>
              <w:right w:val="single" w:color="auto" w:sz="4" w:space="0"/>
            </w:tcBorders>
            <w:vAlign w:val="center"/>
          </w:tcPr>
          <w:p w14:paraId="057AA3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5D96130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D1C1DA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7388F4C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579" w:type="pct"/>
            <w:tcBorders>
              <w:top w:val="nil"/>
              <w:left w:val="nil"/>
              <w:bottom w:val="single" w:color="auto" w:sz="4" w:space="0"/>
              <w:right w:val="single" w:color="auto" w:sz="4" w:space="0"/>
            </w:tcBorders>
            <w:vAlign w:val="center"/>
          </w:tcPr>
          <w:p w14:paraId="573A6B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B3B546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565DFCB">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05882C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55D20D6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6E001E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902" w:type="pct"/>
            <w:tcBorders>
              <w:top w:val="nil"/>
              <w:left w:val="nil"/>
              <w:bottom w:val="single" w:color="auto" w:sz="4" w:space="0"/>
              <w:right w:val="single" w:color="auto" w:sz="4" w:space="0"/>
            </w:tcBorders>
            <w:vAlign w:val="center"/>
          </w:tcPr>
          <w:p w14:paraId="692A51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579" w:type="pct"/>
            <w:tcBorders>
              <w:top w:val="nil"/>
              <w:left w:val="nil"/>
              <w:bottom w:val="single" w:color="auto" w:sz="4" w:space="0"/>
              <w:right w:val="single" w:color="auto" w:sz="4" w:space="0"/>
            </w:tcBorders>
            <w:vAlign w:val="center"/>
          </w:tcPr>
          <w:p w14:paraId="3C67C0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6E2A182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6ACB6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831" w:type="pct"/>
            <w:tcBorders>
              <w:top w:val="nil"/>
              <w:left w:val="nil"/>
              <w:bottom w:val="single" w:color="auto" w:sz="4" w:space="0"/>
              <w:right w:val="single" w:color="auto" w:sz="4" w:space="0"/>
            </w:tcBorders>
            <w:vAlign w:val="center"/>
          </w:tcPr>
          <w:p w14:paraId="2DDC83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11AC097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3B447F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902" w:type="pct"/>
            <w:tcBorders>
              <w:top w:val="nil"/>
              <w:left w:val="nil"/>
              <w:bottom w:val="single" w:color="auto" w:sz="4" w:space="0"/>
              <w:right w:val="single" w:color="auto" w:sz="4" w:space="0"/>
            </w:tcBorders>
            <w:vAlign w:val="center"/>
          </w:tcPr>
          <w:p w14:paraId="76930C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579" w:type="pct"/>
            <w:tcBorders>
              <w:top w:val="nil"/>
              <w:left w:val="nil"/>
              <w:bottom w:val="single" w:color="auto" w:sz="4" w:space="0"/>
              <w:right w:val="single" w:color="auto" w:sz="4" w:space="0"/>
            </w:tcBorders>
            <w:vAlign w:val="center"/>
          </w:tcPr>
          <w:p w14:paraId="7B862F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34D215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BC8FDDF">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266EB5A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21980D5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72B585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902" w:type="pct"/>
            <w:tcBorders>
              <w:top w:val="nil"/>
              <w:left w:val="nil"/>
              <w:bottom w:val="single" w:color="auto" w:sz="4" w:space="0"/>
              <w:right w:val="single" w:color="auto" w:sz="4" w:space="0"/>
            </w:tcBorders>
            <w:vAlign w:val="center"/>
          </w:tcPr>
          <w:p w14:paraId="7C10E9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579" w:type="pct"/>
            <w:tcBorders>
              <w:top w:val="nil"/>
              <w:left w:val="nil"/>
              <w:bottom w:val="single" w:color="auto" w:sz="4" w:space="0"/>
              <w:right w:val="single" w:color="auto" w:sz="4" w:space="0"/>
            </w:tcBorders>
            <w:vAlign w:val="center"/>
          </w:tcPr>
          <w:p w14:paraId="45B5AAC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1FF1D7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C30ACE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831" w:type="pct"/>
            <w:tcBorders>
              <w:top w:val="nil"/>
              <w:left w:val="nil"/>
              <w:bottom w:val="single" w:color="auto" w:sz="4" w:space="0"/>
              <w:right w:val="single" w:color="auto" w:sz="4" w:space="0"/>
            </w:tcBorders>
            <w:vAlign w:val="center"/>
          </w:tcPr>
          <w:p w14:paraId="7CA002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379A77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4C678DE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19874E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579" w:type="pct"/>
            <w:tcBorders>
              <w:top w:val="nil"/>
              <w:left w:val="nil"/>
              <w:bottom w:val="single" w:color="auto" w:sz="4" w:space="0"/>
              <w:right w:val="single" w:color="auto" w:sz="4" w:space="0"/>
            </w:tcBorders>
            <w:vAlign w:val="center"/>
          </w:tcPr>
          <w:p w14:paraId="2442303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7D6B17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0093498">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2A864FB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272B46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543AD5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902" w:type="pct"/>
            <w:tcBorders>
              <w:top w:val="nil"/>
              <w:left w:val="nil"/>
              <w:bottom w:val="single" w:color="auto" w:sz="4" w:space="0"/>
              <w:right w:val="single" w:color="auto" w:sz="4" w:space="0"/>
            </w:tcBorders>
            <w:vAlign w:val="center"/>
          </w:tcPr>
          <w:p w14:paraId="098DB1E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579" w:type="pct"/>
            <w:tcBorders>
              <w:top w:val="nil"/>
              <w:left w:val="nil"/>
              <w:bottom w:val="single" w:color="auto" w:sz="4" w:space="0"/>
              <w:right w:val="single" w:color="auto" w:sz="4" w:space="0"/>
            </w:tcBorders>
            <w:vAlign w:val="center"/>
          </w:tcPr>
          <w:p w14:paraId="5A77944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CE65237">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75ADF5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831" w:type="pct"/>
            <w:tcBorders>
              <w:top w:val="nil"/>
              <w:left w:val="nil"/>
              <w:bottom w:val="single" w:color="auto" w:sz="4" w:space="0"/>
              <w:right w:val="single" w:color="auto" w:sz="4" w:space="0"/>
            </w:tcBorders>
            <w:vAlign w:val="center"/>
          </w:tcPr>
          <w:p w14:paraId="3E076C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6670A2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C119BF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453858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75F54D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A43656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2628E5E">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5BDB09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0D90A7B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366C9AA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02" w:type="pct"/>
            <w:tcBorders>
              <w:top w:val="nil"/>
              <w:left w:val="nil"/>
              <w:bottom w:val="single" w:color="auto" w:sz="4" w:space="0"/>
              <w:right w:val="single" w:color="auto" w:sz="4" w:space="0"/>
            </w:tcBorders>
            <w:vAlign w:val="center"/>
          </w:tcPr>
          <w:p w14:paraId="3142D6C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579" w:type="pct"/>
            <w:tcBorders>
              <w:top w:val="nil"/>
              <w:left w:val="nil"/>
              <w:bottom w:val="single" w:color="auto" w:sz="4" w:space="0"/>
              <w:right w:val="single" w:color="auto" w:sz="4" w:space="0"/>
            </w:tcBorders>
            <w:vAlign w:val="center"/>
          </w:tcPr>
          <w:p w14:paraId="2CC4C20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C85C17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6DFE87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831" w:type="pct"/>
            <w:tcBorders>
              <w:top w:val="nil"/>
              <w:left w:val="nil"/>
              <w:bottom w:val="single" w:color="auto" w:sz="4" w:space="0"/>
              <w:right w:val="single" w:color="auto" w:sz="4" w:space="0"/>
            </w:tcBorders>
            <w:vAlign w:val="center"/>
          </w:tcPr>
          <w:p w14:paraId="702D4DD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1293B0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30605C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45E6B23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1C4BB18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5062A6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EF5C15B">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6586B5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098B33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44D61A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02" w:type="pct"/>
            <w:tcBorders>
              <w:top w:val="nil"/>
              <w:left w:val="nil"/>
              <w:bottom w:val="single" w:color="auto" w:sz="4" w:space="0"/>
              <w:right w:val="single" w:color="auto" w:sz="4" w:space="0"/>
            </w:tcBorders>
            <w:vAlign w:val="center"/>
          </w:tcPr>
          <w:p w14:paraId="628CB4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579" w:type="pct"/>
            <w:tcBorders>
              <w:top w:val="nil"/>
              <w:left w:val="nil"/>
              <w:bottom w:val="single" w:color="auto" w:sz="4" w:space="0"/>
              <w:right w:val="single" w:color="auto" w:sz="4" w:space="0"/>
            </w:tcBorders>
            <w:vAlign w:val="center"/>
          </w:tcPr>
          <w:p w14:paraId="13BC0B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09C82A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0120B1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831" w:type="pct"/>
            <w:tcBorders>
              <w:top w:val="nil"/>
              <w:left w:val="nil"/>
              <w:bottom w:val="single" w:color="auto" w:sz="4" w:space="0"/>
              <w:right w:val="single" w:color="auto" w:sz="4" w:space="0"/>
            </w:tcBorders>
            <w:vAlign w:val="center"/>
          </w:tcPr>
          <w:p w14:paraId="6B2955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5A5D4F3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C1E2DD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902" w:type="pct"/>
            <w:tcBorders>
              <w:top w:val="nil"/>
              <w:left w:val="nil"/>
              <w:bottom w:val="single" w:color="auto" w:sz="4" w:space="0"/>
              <w:right w:val="single" w:color="auto" w:sz="4" w:space="0"/>
            </w:tcBorders>
            <w:vAlign w:val="center"/>
          </w:tcPr>
          <w:p w14:paraId="520DDEF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486DA79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43C71B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ECEAF19">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76A7A1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6C8A4B4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E38DF6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902" w:type="pct"/>
            <w:tcBorders>
              <w:top w:val="nil"/>
              <w:left w:val="nil"/>
              <w:bottom w:val="single" w:color="auto" w:sz="4" w:space="0"/>
              <w:right w:val="single" w:color="auto" w:sz="4" w:space="0"/>
            </w:tcBorders>
            <w:vAlign w:val="center"/>
          </w:tcPr>
          <w:p w14:paraId="6306574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579" w:type="pct"/>
            <w:tcBorders>
              <w:top w:val="nil"/>
              <w:left w:val="nil"/>
              <w:bottom w:val="single" w:color="auto" w:sz="4" w:space="0"/>
              <w:right w:val="single" w:color="auto" w:sz="4" w:space="0"/>
            </w:tcBorders>
            <w:vAlign w:val="center"/>
          </w:tcPr>
          <w:p w14:paraId="0BA5288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C374C9A">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4F1730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831" w:type="pct"/>
            <w:tcBorders>
              <w:top w:val="nil"/>
              <w:left w:val="nil"/>
              <w:bottom w:val="single" w:color="auto" w:sz="4" w:space="0"/>
              <w:right w:val="single" w:color="auto" w:sz="4" w:space="0"/>
            </w:tcBorders>
            <w:vAlign w:val="center"/>
          </w:tcPr>
          <w:p w14:paraId="1E7F0FF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45FFE4D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8D890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6B4D83C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02D842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4B083B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04D0036">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7ABFFA4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CDE82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532077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902" w:type="pct"/>
            <w:tcBorders>
              <w:top w:val="nil"/>
              <w:left w:val="nil"/>
              <w:bottom w:val="single" w:color="auto" w:sz="4" w:space="0"/>
              <w:right w:val="single" w:color="auto" w:sz="4" w:space="0"/>
            </w:tcBorders>
            <w:vAlign w:val="center"/>
          </w:tcPr>
          <w:p w14:paraId="693C4A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579" w:type="pct"/>
            <w:tcBorders>
              <w:top w:val="nil"/>
              <w:left w:val="nil"/>
              <w:bottom w:val="single" w:color="auto" w:sz="4" w:space="0"/>
              <w:right w:val="single" w:color="auto" w:sz="4" w:space="0"/>
            </w:tcBorders>
            <w:vAlign w:val="center"/>
          </w:tcPr>
          <w:p w14:paraId="3B929E0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D25E50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05FFD6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831" w:type="pct"/>
            <w:tcBorders>
              <w:top w:val="nil"/>
              <w:left w:val="nil"/>
              <w:bottom w:val="single" w:color="auto" w:sz="4" w:space="0"/>
              <w:right w:val="single" w:color="auto" w:sz="4" w:space="0"/>
            </w:tcBorders>
            <w:vAlign w:val="center"/>
          </w:tcPr>
          <w:p w14:paraId="740E06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4E817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66CF4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902" w:type="pct"/>
            <w:tcBorders>
              <w:top w:val="nil"/>
              <w:left w:val="nil"/>
              <w:bottom w:val="single" w:color="auto" w:sz="4" w:space="0"/>
              <w:right w:val="single" w:color="auto" w:sz="4" w:space="0"/>
            </w:tcBorders>
            <w:vAlign w:val="center"/>
          </w:tcPr>
          <w:p w14:paraId="7E6365D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579" w:type="pct"/>
            <w:tcBorders>
              <w:top w:val="nil"/>
              <w:left w:val="nil"/>
              <w:bottom w:val="single" w:color="auto" w:sz="4" w:space="0"/>
              <w:right w:val="single" w:color="auto" w:sz="4" w:space="0"/>
            </w:tcBorders>
            <w:vAlign w:val="center"/>
          </w:tcPr>
          <w:p w14:paraId="421C60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2BA2AE9C">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CBAEF6D">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6FFE3E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8" w:type="pct"/>
            <w:tcBorders>
              <w:top w:val="nil"/>
              <w:left w:val="nil"/>
              <w:bottom w:val="single" w:color="auto" w:sz="4" w:space="0"/>
              <w:right w:val="single" w:color="auto" w:sz="4" w:space="0"/>
            </w:tcBorders>
            <w:vAlign w:val="center"/>
          </w:tcPr>
          <w:p w14:paraId="7D55EEF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5F7227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902" w:type="pct"/>
            <w:tcBorders>
              <w:top w:val="nil"/>
              <w:left w:val="nil"/>
              <w:bottom w:val="single" w:color="auto" w:sz="4" w:space="0"/>
              <w:right w:val="single" w:color="auto" w:sz="4" w:space="0"/>
            </w:tcBorders>
            <w:vAlign w:val="center"/>
          </w:tcPr>
          <w:p w14:paraId="4382C41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579" w:type="pct"/>
            <w:tcBorders>
              <w:top w:val="nil"/>
              <w:left w:val="nil"/>
              <w:bottom w:val="single" w:color="auto" w:sz="4" w:space="0"/>
              <w:right w:val="single" w:color="auto" w:sz="4" w:space="0"/>
            </w:tcBorders>
            <w:vAlign w:val="center"/>
          </w:tcPr>
          <w:p w14:paraId="65C6A4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4C46C82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97AFAA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831" w:type="pct"/>
            <w:tcBorders>
              <w:top w:val="nil"/>
              <w:left w:val="nil"/>
              <w:bottom w:val="single" w:color="auto" w:sz="4" w:space="0"/>
              <w:right w:val="single" w:color="auto" w:sz="4" w:space="0"/>
            </w:tcBorders>
            <w:vAlign w:val="center"/>
          </w:tcPr>
          <w:p w14:paraId="464C2F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620FAF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476061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23F498D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579" w:type="pct"/>
            <w:tcBorders>
              <w:top w:val="nil"/>
              <w:left w:val="nil"/>
              <w:bottom w:val="single" w:color="auto" w:sz="4" w:space="0"/>
              <w:right w:val="single" w:color="auto" w:sz="4" w:space="0"/>
            </w:tcBorders>
            <w:vAlign w:val="center"/>
          </w:tcPr>
          <w:p w14:paraId="7E0934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D6B0D9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830A224">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3B87ED1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02FBBA9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7FD003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02" w:type="pct"/>
            <w:tcBorders>
              <w:top w:val="nil"/>
              <w:left w:val="nil"/>
              <w:bottom w:val="single" w:color="auto" w:sz="4" w:space="0"/>
              <w:right w:val="single" w:color="auto" w:sz="4" w:space="0"/>
            </w:tcBorders>
            <w:vAlign w:val="center"/>
          </w:tcPr>
          <w:p w14:paraId="0E4310E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579" w:type="pct"/>
            <w:tcBorders>
              <w:top w:val="nil"/>
              <w:left w:val="nil"/>
              <w:bottom w:val="single" w:color="auto" w:sz="4" w:space="0"/>
              <w:right w:val="single" w:color="auto" w:sz="4" w:space="0"/>
            </w:tcBorders>
            <w:vAlign w:val="center"/>
          </w:tcPr>
          <w:p w14:paraId="47A5507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6F7A792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48490D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831" w:type="pct"/>
            <w:tcBorders>
              <w:top w:val="nil"/>
              <w:left w:val="nil"/>
              <w:bottom w:val="single" w:color="auto" w:sz="4" w:space="0"/>
              <w:right w:val="single" w:color="auto" w:sz="4" w:space="0"/>
            </w:tcBorders>
            <w:vAlign w:val="center"/>
          </w:tcPr>
          <w:p w14:paraId="503E05B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5CBE7F8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69C3923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1E3F7C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1A5E6D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85F9FD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DFDD4B9">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544213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8" w:type="pct"/>
            <w:tcBorders>
              <w:top w:val="nil"/>
              <w:left w:val="nil"/>
              <w:bottom w:val="single" w:color="auto" w:sz="4" w:space="0"/>
              <w:right w:val="single" w:color="auto" w:sz="4" w:space="0"/>
            </w:tcBorders>
            <w:vAlign w:val="center"/>
          </w:tcPr>
          <w:p w14:paraId="643AAC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36C30A0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902" w:type="pct"/>
            <w:tcBorders>
              <w:top w:val="nil"/>
              <w:left w:val="nil"/>
              <w:bottom w:val="single" w:color="auto" w:sz="4" w:space="0"/>
              <w:right w:val="single" w:color="auto" w:sz="4" w:space="0"/>
            </w:tcBorders>
            <w:vAlign w:val="center"/>
          </w:tcPr>
          <w:p w14:paraId="39A648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579" w:type="pct"/>
            <w:tcBorders>
              <w:top w:val="nil"/>
              <w:left w:val="nil"/>
              <w:bottom w:val="single" w:color="auto" w:sz="4" w:space="0"/>
              <w:right w:val="single" w:color="auto" w:sz="4" w:space="0"/>
            </w:tcBorders>
            <w:vAlign w:val="center"/>
          </w:tcPr>
          <w:p w14:paraId="3EC761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648C4F9">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6CF1A2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831" w:type="pct"/>
            <w:tcBorders>
              <w:top w:val="nil"/>
              <w:left w:val="nil"/>
              <w:bottom w:val="single" w:color="auto" w:sz="4" w:space="0"/>
              <w:right w:val="single" w:color="auto" w:sz="4" w:space="0"/>
            </w:tcBorders>
            <w:vAlign w:val="center"/>
          </w:tcPr>
          <w:p w14:paraId="7CCDBE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0A219A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4BA547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31BE46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1E1590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6AC7028B">
      <w:pPr>
        <w:rPr>
          <w:color w:val="auto"/>
          <w:szCs w:val="21"/>
          <w:highlight w:val="none"/>
        </w:rPr>
      </w:pPr>
      <w:r>
        <w:rPr>
          <w:rFonts w:hint="eastAsia" w:ascii="宋体" w:hAnsi="宋体"/>
          <w:color w:val="auto"/>
          <w:spacing w:val="1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Start w:id="54" w:name="_Toc25688"/>
    </w:p>
    <w:p w14:paraId="12FB930A">
      <w:pPr>
        <w:rPr>
          <w:rFonts w:ascii="宋体" w:hAnsi="宋体" w:cs="宋体"/>
          <w:color w:val="auto"/>
          <w:szCs w:val="21"/>
          <w:highlight w:val="none"/>
        </w:rPr>
      </w:pPr>
    </w:p>
    <w:p w14:paraId="6D4FD2E7">
      <w:pPr>
        <w:spacing w:before="3"/>
        <w:rPr>
          <w:rFonts w:ascii="宋体" w:hAnsi="宋体" w:cs="宋体"/>
          <w:color w:val="auto"/>
          <w:szCs w:val="21"/>
          <w:highlight w:val="none"/>
        </w:rPr>
      </w:pPr>
    </w:p>
    <w:p w14:paraId="675C6662">
      <w:pPr>
        <w:widowControl/>
        <w:rPr>
          <w:rFonts w:ascii="宋体" w:hAnsi="宋体" w:cs="宋体"/>
          <w:color w:val="auto"/>
          <w:szCs w:val="21"/>
          <w:highlight w:val="none"/>
        </w:rPr>
        <w:sectPr>
          <w:headerReference r:id="rId3" w:type="first"/>
          <w:footerReference r:id="rId5" w:type="first"/>
          <w:footerReference r:id="rId4" w:type="default"/>
          <w:pgSz w:w="11910" w:h="16840"/>
          <w:pgMar w:top="1520" w:right="1500" w:bottom="280" w:left="1680" w:header="720" w:footer="720" w:gutter="0"/>
          <w:pgNumType w:start="27"/>
          <w:cols w:space="720" w:num="1"/>
          <w:titlePg/>
          <w:docGrid w:linePitch="286" w:charSpace="0"/>
        </w:sectPr>
      </w:pPr>
    </w:p>
    <w:p w14:paraId="666909B1">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color w:val="auto"/>
          <w:highlight w:val="none"/>
        </w:rPr>
        <w:t>第三章  投标人须知</w:t>
      </w:r>
      <w:bookmarkEnd w:id="54"/>
    </w:p>
    <w:p w14:paraId="27C33D1A">
      <w:pPr>
        <w:jc w:val="center"/>
        <w:rPr>
          <w:color w:val="auto"/>
          <w:sz w:val="36"/>
          <w:szCs w:val="36"/>
          <w:highlight w:val="none"/>
        </w:rPr>
      </w:pPr>
      <w:bookmarkStart w:id="55" w:name="_Toc254970667"/>
      <w:bookmarkStart w:id="56" w:name="_Toc254970526"/>
      <w:r>
        <w:rPr>
          <w:rFonts w:hint="eastAsia"/>
          <w:color w:val="auto"/>
          <w:sz w:val="36"/>
          <w:szCs w:val="36"/>
          <w:highlight w:val="none"/>
        </w:rPr>
        <w:t>投标人须知前附表</w:t>
      </w:r>
      <w:bookmarkEnd w:id="55"/>
      <w:bookmarkEnd w:id="56"/>
    </w:p>
    <w:tbl>
      <w:tblPr>
        <w:tblStyle w:val="47"/>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5DB89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AC0614E">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7074B85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6B410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5D5537B">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648AB0F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80725C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7D43CB3C">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w:t>
            </w:r>
          </w:p>
          <w:p w14:paraId="4E2EA3AB">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2334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3B1F794">
            <w:pPr>
              <w:spacing w:line="360" w:lineRule="auto"/>
              <w:jc w:val="center"/>
              <w:rPr>
                <w:rFonts w:ascii="宋体" w:hAnsi="宋体"/>
                <w:color w:val="auto"/>
                <w:szCs w:val="21"/>
                <w:highlight w:val="none"/>
              </w:rPr>
            </w:pPr>
            <w:bookmarkStart w:id="57" w:name="_9.2"/>
            <w:bookmarkEnd w:id="57"/>
            <w:bookmarkStart w:id="58" w:name="_8.1"/>
            <w:bookmarkEnd w:id="58"/>
            <w:bookmarkStart w:id="59" w:name="_5"/>
            <w:bookmarkEnd w:id="59"/>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3852980E">
            <w:pPr>
              <w:pStyle w:val="15"/>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436D1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50FD9EE">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517FFD3C">
            <w:pPr>
              <w:pStyle w:val="15"/>
              <w:spacing w:line="360" w:lineRule="auto"/>
              <w:rPr>
                <w:rFonts w:ascii="宋体" w:hAnsi="宋体"/>
                <w:color w:val="auto"/>
                <w:szCs w:val="21"/>
                <w:highlight w:val="none"/>
              </w:rPr>
            </w:pPr>
            <w:bookmarkStart w:id="60" w:name="_Hlk54105293"/>
            <w:r>
              <w:rPr>
                <w:rFonts w:hint="eastAsia" w:ascii="宋体" w:hAnsi="宋体"/>
                <w:color w:val="auto"/>
                <w:szCs w:val="21"/>
                <w:highlight w:val="none"/>
              </w:rPr>
              <w:t>如接受联合体投标，</w:t>
            </w:r>
            <w:bookmarkEnd w:id="60"/>
            <w:r>
              <w:rPr>
                <w:rFonts w:hint="eastAsia" w:ascii="宋体" w:hAnsi="宋体"/>
                <w:color w:val="auto"/>
                <w:szCs w:val="21"/>
                <w:highlight w:val="none"/>
              </w:rPr>
              <w:t>联合体投标要求如下：无</w:t>
            </w:r>
          </w:p>
        </w:tc>
      </w:tr>
      <w:tr w14:paraId="7E4A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76D8A5D">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1FFDBE59">
            <w:pPr>
              <w:pStyle w:val="15"/>
              <w:spacing w:line="360" w:lineRule="auto"/>
              <w:rPr>
                <w:rFonts w:ascii="宋体" w:hAnsi="宋体"/>
                <w:color w:val="auto"/>
                <w:szCs w:val="21"/>
                <w:highlight w:val="none"/>
              </w:rPr>
            </w:pPr>
            <w:r>
              <w:rPr>
                <w:rFonts w:hint="eastAsia" w:ascii="宋体" w:hAnsi="宋体"/>
                <w:color w:val="auto"/>
                <w:szCs w:val="21"/>
                <w:highlight w:val="none"/>
              </w:rPr>
              <w:t>1-7分标不允许分包</w:t>
            </w:r>
          </w:p>
          <w:p w14:paraId="55DAB8E2">
            <w:pPr>
              <w:pStyle w:val="15"/>
              <w:spacing w:line="360" w:lineRule="auto"/>
              <w:rPr>
                <w:rFonts w:ascii="宋体" w:hAnsi="宋体"/>
                <w:color w:val="auto"/>
                <w:szCs w:val="21"/>
                <w:highlight w:val="none"/>
              </w:rPr>
            </w:pPr>
            <w:r>
              <w:rPr>
                <w:rFonts w:hint="eastAsia" w:ascii="宋体" w:hAnsi="宋体"/>
                <w:color w:val="auto"/>
                <w:szCs w:val="21"/>
                <w:highlight w:val="none"/>
              </w:rPr>
              <w:t>8分标允许分包：</w:t>
            </w:r>
          </w:p>
          <w:p w14:paraId="2CE0F54A">
            <w:pPr>
              <w:pStyle w:val="15"/>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允许对系统等保测评服务、商用密码安全性评估进行分包，供应商应委托具备相应资质的第三方机构按项目要求开展工作。</w:t>
            </w:r>
          </w:p>
          <w:p w14:paraId="3C25E98E">
            <w:pPr>
              <w:pStyle w:val="15"/>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按实际发生金额，由供应商进行支付。</w:t>
            </w:r>
          </w:p>
        </w:tc>
      </w:tr>
      <w:tr w14:paraId="7065E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3015140C">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1729F082">
            <w:pPr>
              <w:snapToGrid w:val="0"/>
              <w:spacing w:line="360" w:lineRule="auto"/>
              <w:rPr>
                <w:rFonts w:ascii="宋体" w:hAnsi="宋体"/>
                <w:color w:val="auto"/>
                <w:szCs w:val="21"/>
                <w:highlight w:val="none"/>
              </w:rPr>
            </w:pPr>
            <w:r>
              <w:rPr>
                <w:rFonts w:hint="eastAsia" w:ascii="宋体" w:hAnsi="宋体"/>
                <w:color w:val="auto"/>
                <w:szCs w:val="21"/>
                <w:highlight w:val="none"/>
              </w:rPr>
              <w:t>☑不组织现场考察</w:t>
            </w:r>
          </w:p>
          <w:p w14:paraId="2B5A736B">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3147B5DB">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0607179">
            <w:pPr>
              <w:snapToGrid w:val="0"/>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30BFF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00D19244">
            <w:pP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7C5302E6">
            <w:pPr>
              <w:snapToGrid w:val="0"/>
              <w:spacing w:line="360" w:lineRule="auto"/>
              <w:rPr>
                <w:rFonts w:ascii="宋体" w:hAnsi="宋体"/>
                <w:color w:val="auto"/>
                <w:szCs w:val="21"/>
                <w:highlight w:val="none"/>
              </w:rPr>
            </w:pPr>
            <w:r>
              <w:rPr>
                <w:rFonts w:hint="eastAsia" w:ascii="宋体" w:hAnsi="宋体"/>
                <w:color w:val="auto"/>
                <w:szCs w:val="21"/>
                <w:highlight w:val="none"/>
              </w:rPr>
              <w:t>☑不组织召开开标前答疑会</w:t>
            </w:r>
          </w:p>
          <w:p w14:paraId="2334CC89">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4EC0E6AA">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80A1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03F4DC0A">
            <w:pPr>
              <w:spacing w:line="360" w:lineRule="auto"/>
              <w:rPr>
                <w:rFonts w:ascii="宋体" w:hAnsi="宋体"/>
                <w:color w:val="auto"/>
                <w:szCs w:val="21"/>
                <w:highlight w:val="none"/>
              </w:rPr>
            </w:pPr>
            <w:bookmarkStart w:id="61" w:name="_13.1"/>
            <w:bookmarkEnd w:id="61"/>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139BC1FB">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71D511E5">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101AFEF2">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945BCD4">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r>
              <w:rPr>
                <w:rFonts w:hint="eastAsia" w:ascii="宋体" w:hAnsi="宋体"/>
                <w:iCs/>
                <w:color w:val="auto"/>
                <w:szCs w:val="21"/>
                <w:highlight w:val="none"/>
              </w:rPr>
              <w:t>（如有则提供）</w:t>
            </w:r>
          </w:p>
          <w:p w14:paraId="0CA4E44F">
            <w:pPr>
              <w:tabs>
                <w:tab w:val="left" w:pos="459"/>
              </w:tabs>
              <w:snapToGrid w:val="0"/>
              <w:spacing w:line="360" w:lineRule="auto"/>
              <w:ind w:left="420"/>
              <w:jc w:val="left"/>
              <w:rPr>
                <w:rFonts w:ascii="宋体" w:hAnsi="宋体"/>
                <w:color w:val="auto"/>
                <w:szCs w:val="21"/>
                <w:highlight w:val="none"/>
              </w:rPr>
            </w:pPr>
            <w:r>
              <w:rPr>
                <w:rFonts w:hint="eastAsia" w:ascii="宋体" w:hAnsi="宋体" w:cs="宋体"/>
                <w:b/>
                <w:color w:val="auto"/>
                <w:szCs w:val="21"/>
                <w:highlight w:val="none"/>
              </w:rPr>
              <w:t>注：以上标明“必须提供”的材料，格式中有要求法定代表人或者委托代理人签字的，必须按要求签字并加盖投标人电子签章，否则按无效投标处理。</w:t>
            </w:r>
          </w:p>
        </w:tc>
      </w:tr>
      <w:tr w14:paraId="386BB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C719F60">
            <w:pPr>
              <w:spacing w:line="360" w:lineRule="auto"/>
              <w:rPr>
                <w:rFonts w:ascii="宋体" w:hAnsi="宋体"/>
                <w:color w:val="auto"/>
                <w:szCs w:val="21"/>
                <w:highlight w:val="none"/>
              </w:rPr>
            </w:pPr>
            <w:bookmarkStart w:id="62" w:name="_13.2"/>
            <w:bookmarkEnd w:id="62"/>
          </w:p>
        </w:tc>
        <w:tc>
          <w:tcPr>
            <w:tcW w:w="8175" w:type="dxa"/>
            <w:tcBorders>
              <w:top w:val="single" w:color="auto" w:sz="4" w:space="0"/>
              <w:left w:val="single" w:color="auto" w:sz="4" w:space="0"/>
              <w:bottom w:val="single" w:color="auto" w:sz="4" w:space="0"/>
              <w:right w:val="single" w:color="auto" w:sz="4" w:space="0"/>
            </w:tcBorders>
            <w:vAlign w:val="center"/>
          </w:tcPr>
          <w:p w14:paraId="25C4531F">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2944B7B6">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复印件，需加盖公章</w:t>
            </w:r>
            <w:r>
              <w:rPr>
                <w:rFonts w:hint="eastAsia" w:ascii="宋体" w:hAnsi="宋体" w:cs="宋体"/>
                <w:color w:val="auto"/>
                <w:szCs w:val="21"/>
                <w:highlight w:val="none"/>
              </w:rPr>
              <w:t>）</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A199773">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3AF61BC">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2950276">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color w:val="auto"/>
                <w:szCs w:val="21"/>
                <w:highlight w:val="none"/>
                <w:u w:val="single"/>
              </w:rPr>
              <w:t xml:space="preserve"> </w:t>
            </w:r>
            <w:r>
              <w:rPr>
                <w:rFonts w:hint="eastAsia"/>
                <w:color w:val="auto"/>
                <w:szCs w:val="21"/>
                <w:highlight w:val="none"/>
                <w:u w:val="single"/>
              </w:rPr>
              <w:t>年度</w:t>
            </w:r>
            <w:r>
              <w:rPr>
                <w:rFonts w:hint="eastAsia"/>
                <w:color w:val="auto"/>
                <w:szCs w:val="21"/>
                <w:highlight w:val="none"/>
              </w:rPr>
              <w:t>或</w:t>
            </w:r>
            <w:r>
              <w:rPr>
                <w:rFonts w:hint="eastAsia"/>
                <w:color w:val="auto"/>
                <w:szCs w:val="21"/>
                <w:highlight w:val="none"/>
                <w:u w:val="single"/>
              </w:rPr>
              <w:t>2025年度</w:t>
            </w:r>
            <w:r>
              <w:rPr>
                <w:rFonts w:hint="eastAsia"/>
                <w:color w:val="auto"/>
                <w:szCs w:val="21"/>
                <w:highlight w:val="none"/>
              </w:rPr>
              <w:t>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0AE8C93">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DCD204B">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8A24F35">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882DD01">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olor w:val="auto"/>
                <w:szCs w:val="21"/>
                <w:highlight w:val="none"/>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EC165BF">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r>
              <w:rPr>
                <w:rFonts w:hint="eastAsia" w:ascii="宋体" w:hAnsi="宋体"/>
                <w:iCs/>
                <w:color w:val="auto"/>
                <w:szCs w:val="21"/>
                <w:highlight w:val="none"/>
              </w:rPr>
              <w:t>（如有则提供）</w:t>
            </w:r>
          </w:p>
          <w:p w14:paraId="70D665DE">
            <w:pPr>
              <w:snapToGrid w:val="0"/>
              <w:spacing w:line="360" w:lineRule="auto"/>
              <w:ind w:firstLine="398" w:firstLineChars="200"/>
              <w:jc w:val="left"/>
              <w:rPr>
                <w:rFonts w:ascii="宋体" w:hAnsi="宋体"/>
                <w:b/>
                <w:bCs/>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51010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6B13AC4">
            <w:pPr>
              <w:spacing w:line="360" w:lineRule="auto"/>
              <w:rPr>
                <w:rFonts w:ascii="宋体" w:hAnsi="宋体"/>
                <w:color w:val="auto"/>
                <w:szCs w:val="21"/>
                <w:highlight w:val="none"/>
              </w:rPr>
            </w:pPr>
            <w:bookmarkStart w:id="63" w:name="_13.3"/>
            <w:bookmarkEnd w:id="63"/>
          </w:p>
        </w:tc>
        <w:tc>
          <w:tcPr>
            <w:tcW w:w="8175" w:type="dxa"/>
            <w:tcBorders>
              <w:top w:val="single" w:color="auto" w:sz="4" w:space="0"/>
              <w:left w:val="single" w:color="auto" w:sz="4" w:space="0"/>
              <w:bottom w:val="single" w:color="auto" w:sz="4" w:space="0"/>
              <w:right w:val="single" w:color="auto" w:sz="4" w:space="0"/>
            </w:tcBorders>
            <w:vAlign w:val="center"/>
          </w:tcPr>
          <w:p w14:paraId="7440BC24">
            <w:pPr>
              <w:snapToGrid w:val="0"/>
              <w:spacing w:line="360" w:lineRule="auto"/>
              <w:jc w:val="left"/>
              <w:rPr>
                <w:rFonts w:ascii="宋体" w:hAnsi="宋体" w:cs="Courier New"/>
                <w:b/>
                <w:color w:val="auto"/>
                <w:szCs w:val="21"/>
                <w:highlight w:val="none"/>
              </w:rPr>
            </w:pPr>
            <w:r>
              <w:rPr>
                <w:rFonts w:hint="eastAsia"/>
                <w:b/>
                <w:color w:val="auto"/>
                <w:kern w:val="0"/>
                <w:highlight w:val="none"/>
              </w:rPr>
              <w:t>商务及技术文件</w:t>
            </w:r>
            <w:r>
              <w:rPr>
                <w:rFonts w:hint="eastAsia" w:ascii="宋体" w:hAnsi="宋体" w:cs="Courier New"/>
                <w:b/>
                <w:color w:val="auto"/>
                <w:szCs w:val="21"/>
                <w:highlight w:val="none"/>
              </w:rPr>
              <w:t>：</w:t>
            </w:r>
          </w:p>
          <w:p w14:paraId="36161B2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DDB54E">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65D95BEB">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016F3E7">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E19DA2F">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9F65030">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6.技术要求偏离表（格式后附）；（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C8430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7.项目实施人员一览表（格式后附）；</w:t>
            </w:r>
            <w:r>
              <w:rPr>
                <w:rFonts w:hint="eastAsia" w:ascii="宋体" w:hAnsi="宋体"/>
                <w:iCs/>
                <w:color w:val="auto"/>
                <w:szCs w:val="21"/>
                <w:highlight w:val="none"/>
              </w:rPr>
              <w:t>（</w:t>
            </w:r>
            <w:r>
              <w:rPr>
                <w:rFonts w:hint="eastAsia" w:ascii="宋体" w:hAnsi="宋体"/>
                <w:b/>
                <w:iCs/>
                <w:color w:val="auto"/>
                <w:szCs w:val="21"/>
                <w:highlight w:val="none"/>
              </w:rPr>
              <w:t>必须提供，否则按无效投标处理</w:t>
            </w:r>
            <w:r>
              <w:rPr>
                <w:rFonts w:hint="eastAsia" w:ascii="宋体" w:hAnsi="宋体"/>
                <w:iCs/>
                <w:color w:val="auto"/>
                <w:szCs w:val="21"/>
                <w:highlight w:val="none"/>
              </w:rPr>
              <w:t>）</w:t>
            </w:r>
          </w:p>
          <w:p w14:paraId="02A51AB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8.代理服务费承诺书（格式后附）；</w:t>
            </w:r>
          </w:p>
          <w:p w14:paraId="45D90A0E">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9.投标人业绩证明材料（格式后附）</w:t>
            </w:r>
          </w:p>
          <w:p w14:paraId="45591F92">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10.技术方案（1-7分标：包括项目需求理解、</w:t>
            </w:r>
            <w:r>
              <w:rPr>
                <w:rFonts w:hint="eastAsia" w:hAnsi="宋体" w:cs="宋体"/>
                <w:color w:val="auto"/>
                <w:szCs w:val="21"/>
                <w:highlight w:val="none"/>
              </w:rPr>
              <w:t>技术服务方案、运维售后服务方案；8分标：包括管理阶段方案、验收阶段服务方案、后续服务方案</w:t>
            </w:r>
            <w:r>
              <w:rPr>
                <w:rFonts w:hint="eastAsia" w:ascii="宋体" w:hAnsi="宋体"/>
                <w:color w:val="auto"/>
                <w:szCs w:val="21"/>
                <w:highlight w:val="none"/>
              </w:rPr>
              <w:t>）（格式自拟）；</w:t>
            </w:r>
          </w:p>
          <w:p w14:paraId="01EC66E6">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11.分包工作情况表（8分标适用，格式后附，如有请提供）</w:t>
            </w:r>
          </w:p>
          <w:p w14:paraId="51DE83AF">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12.除招标文件规定必须提供以外，投标人认为需要提供的其他证明材料（格式自拟）。（投标人根据“第二章 采购需求”及“第四章 评标方法及评标标准”提供有关证明材料）。</w:t>
            </w:r>
            <w:r>
              <w:rPr>
                <w:rFonts w:hint="eastAsia" w:ascii="宋体" w:hAnsi="宋体"/>
                <w:iCs/>
                <w:color w:val="auto"/>
                <w:szCs w:val="21"/>
                <w:highlight w:val="none"/>
              </w:rPr>
              <w:t>（如有则提供）</w:t>
            </w:r>
          </w:p>
          <w:p w14:paraId="595AA88E">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1CB52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8ECA4B1">
            <w:pPr>
              <w:spacing w:line="360" w:lineRule="auto"/>
              <w:rPr>
                <w:rFonts w:ascii="宋体" w:hAnsi="宋体"/>
                <w:color w:val="auto"/>
                <w:szCs w:val="21"/>
                <w:highlight w:val="none"/>
              </w:rPr>
            </w:pPr>
            <w:bookmarkStart w:id="64" w:name="_13.5"/>
            <w:bookmarkEnd w:id="64"/>
            <w:bookmarkStart w:id="65" w:name="_13.4"/>
            <w:bookmarkEnd w:id="65"/>
            <w:bookmarkStart w:id="66" w:name="_16.2"/>
            <w:bookmarkEnd w:id="66"/>
            <w:r>
              <w:rPr>
                <w:rFonts w:hint="eastAsia" w:ascii="宋体" w:hAnsi="宋体"/>
                <w:color w:val="auto"/>
                <w:szCs w:val="21"/>
                <w:highlight w:val="none"/>
              </w:rPr>
              <w:t>16</w:t>
            </w:r>
            <w:bookmarkStart w:id="67" w:name="_Hlt19693759"/>
            <w:bookmarkStart w:id="68" w:name="_Hlt19194067"/>
            <w:bookmarkStart w:id="69" w:name="_Hlt19693758"/>
            <w:bookmarkStart w:id="70" w:name="_Hlt19194066"/>
            <w:r>
              <w:rPr>
                <w:rFonts w:hint="eastAsia" w:ascii="宋体" w:hAnsi="宋体"/>
                <w:color w:val="auto"/>
                <w:szCs w:val="21"/>
                <w:highlight w:val="none"/>
              </w:rPr>
              <w:t>.</w:t>
            </w:r>
            <w:bookmarkEnd w:id="67"/>
            <w:bookmarkEnd w:id="68"/>
            <w:bookmarkEnd w:id="69"/>
            <w:bookmarkEnd w:id="70"/>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6BC7B0BB">
            <w:pPr>
              <w:snapToGrid w:val="0"/>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以及伴随的货物和工程（如有）的价格；包括投标服务、货物、工程的成本、运输（含保险）、安装（如有）、调试、检验、技术服务、设备设施使用、培训、差旅、文印、税费等所有费用。</w:t>
            </w:r>
            <w:r>
              <w:rPr>
                <w:rFonts w:hint="eastAsia" w:ascii="宋体" w:hAnsi="宋体"/>
                <w:b/>
                <w:color w:val="auto"/>
                <w:szCs w:val="21"/>
                <w:highlight w:val="none"/>
              </w:rPr>
              <w:t>（采购需求另有约定的，从其约定）</w:t>
            </w:r>
          </w:p>
        </w:tc>
      </w:tr>
      <w:tr w14:paraId="06C0D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F93083A">
            <w:pPr>
              <w:spacing w:line="360" w:lineRule="auto"/>
              <w:rPr>
                <w:rFonts w:ascii="宋体" w:hAnsi="宋体"/>
                <w:color w:val="auto"/>
                <w:szCs w:val="21"/>
                <w:highlight w:val="none"/>
              </w:rPr>
            </w:pPr>
            <w:bookmarkStart w:id="71" w:name="_17.1"/>
            <w:bookmarkEnd w:id="71"/>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0888F7FF">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61151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2D3B61F">
            <w:pPr>
              <w:spacing w:line="360" w:lineRule="auto"/>
              <w:rPr>
                <w:rFonts w:ascii="宋体" w:hAnsi="宋体"/>
                <w:color w:val="auto"/>
                <w:szCs w:val="21"/>
                <w:highlight w:val="none"/>
              </w:rPr>
            </w:pPr>
            <w:bookmarkStart w:id="72" w:name="_18"/>
            <w:bookmarkEnd w:id="72"/>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48CF359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3D64DE2A">
            <w:pPr>
              <w:snapToGrid w:val="0"/>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09935DF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投标保证金金额：1分标：4500元；2分标：3500元；3分标：5500元；4分标：2000元；5分标：1000元；6分标：800元；7分标：7500元；8分标：6000元。</w:t>
            </w:r>
          </w:p>
          <w:p w14:paraId="433039CF">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投标保证金的交纳方式：银行转账、支票、汇票、本票或者银行、保险机构出具的保函（包含电子保函），禁止采用现钞方式。采用银行转账方式的，在投标截止时间前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b/>
                <w:bCs/>
                <w:color w:val="auto"/>
                <w:kern w:val="0"/>
                <w:szCs w:val="21"/>
                <w:highlight w:val="none"/>
              </w:rPr>
              <w:t>开户名称：广西交投宏冠工程咨询有限公司、账号：2102174619300005231、开户行：工行南宁滨湖中支行</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）；采用支票、汇票、本票或者保函等方式的，在投标截止时间前，投标人必须递交单独密封的支票、汇票、本票或者保函原件（电子保函复印件加盖公章）。否则视为无效投标保证金。</w:t>
            </w:r>
          </w:p>
          <w:p w14:paraId="72324C57">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63D63AFE">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1.投标保证金采用银行转账交纳方式的，在投标截止时间前交至指定账户并且到账，投标人应将银行转账底单的复印件作为投标保证金提交凭证，放置于商务及技术文件中，否则投标无效。</w:t>
            </w:r>
          </w:p>
          <w:p w14:paraId="002A0DFF">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2.投标保证金采用支票、汇票、本票或者银行、保险机构出具的保函（包含电子保函）交纳方式的，投标人应将支票、</w:t>
            </w:r>
            <w:r>
              <w:rPr>
                <w:rFonts w:hint="eastAsia" w:ascii="宋体" w:hAnsi="宋体"/>
                <w:color w:val="auto"/>
                <w:szCs w:val="21"/>
                <w:highlight w:val="none"/>
              </w:rPr>
              <w:t>汇票、本票或者银行、保险机构出具的保函（包含电子保函）的复印件作为投标保证金提交凭证，放置于商务及技术文件中，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b/>
                <w:bCs/>
                <w:color w:val="auto"/>
                <w:highlight w:val="none"/>
                <w:u w:val="single"/>
              </w:rPr>
              <w:t>广西壮族自治区公共资源交易中心</w:t>
            </w:r>
            <w:r>
              <w:rPr>
                <w:rFonts w:hint="eastAsia"/>
                <w:color w:val="auto"/>
                <w:highlight w:val="none"/>
              </w:rPr>
              <w:t>；邮寄地址：</w:t>
            </w:r>
            <w:r>
              <w:rPr>
                <w:rFonts w:hint="eastAsia" w:ascii="宋体" w:hAnsi="宋体"/>
                <w:b/>
                <w:color w:val="auto"/>
                <w:szCs w:val="21"/>
                <w:highlight w:val="none"/>
                <w:u w:val="single"/>
              </w:rPr>
              <w:t>广西南宁市青秀区合作路6号五洲国际D栋商铺3楼D312室</w:t>
            </w:r>
            <w:r>
              <w:rPr>
                <w:rFonts w:hint="eastAsia"/>
                <w:color w:val="auto"/>
                <w:highlight w:val="none"/>
              </w:rPr>
              <w:t>，收件人：</w:t>
            </w:r>
            <w:r>
              <w:rPr>
                <w:rFonts w:hint="eastAsia" w:ascii="宋体" w:hAnsi="宋体"/>
                <w:bCs/>
                <w:color w:val="auto"/>
                <w:szCs w:val="21"/>
                <w:highlight w:val="none"/>
                <w:u w:val="single"/>
              </w:rPr>
              <w:t>江泰彦、冼凌晨</w:t>
            </w:r>
            <w:r>
              <w:rPr>
                <w:rFonts w:hint="eastAsia"/>
                <w:color w:val="auto"/>
                <w:highlight w:val="none"/>
              </w:rPr>
              <w:t>，联系方式：</w:t>
            </w:r>
            <w:r>
              <w:rPr>
                <w:rFonts w:hint="eastAsia"/>
                <w:color w:val="auto"/>
                <w:highlight w:val="none"/>
                <w:u w:val="single"/>
              </w:rPr>
              <w:t>0771-4793126</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支票、汇票、本票或者银行、保险机构出具的保函原件（电子保函复印件加盖公章）提交给采购人或者采购代理机构，未按时提交的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2F1CCFAF">
            <w:pPr>
              <w:snapToGrid w:val="0"/>
              <w:spacing w:line="360" w:lineRule="auto"/>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343BE316">
            <w:pPr>
              <w:snapToGrid w:val="0"/>
              <w:spacing w:line="360" w:lineRule="auto"/>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11C28E31">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198B4FFA">
            <w:pPr>
              <w:snapToGrid w:val="0"/>
              <w:spacing w:line="360" w:lineRule="auto"/>
              <w:rPr>
                <w:rFonts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23364070">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5CF3938D">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065939B">
            <w:pPr>
              <w:snapToGrid w:val="0"/>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747E1030">
            <w:pPr>
              <w:snapToGrid w:val="0"/>
              <w:spacing w:line="360" w:lineRule="auto"/>
              <w:rPr>
                <w:rFonts w:ascii="宋体" w:hAnsi="宋体"/>
                <w:b/>
                <w:color w:val="auto"/>
                <w:szCs w:val="21"/>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2FBF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7EEA8DA9">
            <w:pPr>
              <w:spacing w:line="360" w:lineRule="auto"/>
              <w:jc w:val="center"/>
              <w:rPr>
                <w:rFonts w:ascii="宋体" w:hAnsi="宋体"/>
                <w:color w:val="auto"/>
                <w:szCs w:val="21"/>
                <w:highlight w:val="none"/>
              </w:rPr>
            </w:pPr>
            <w:bookmarkStart w:id="73" w:name="_21.1"/>
            <w:bookmarkEnd w:id="73"/>
            <w:bookmarkStart w:id="74" w:name="_19.2"/>
            <w:bookmarkEnd w:id="74"/>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17195E77">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590F8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342B75E7">
            <w:pPr>
              <w:spacing w:line="360" w:lineRule="auto"/>
              <w:jc w:val="center"/>
              <w:rPr>
                <w:rFonts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52DF2327">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3967A02C">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19AF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92983E7">
            <w:pPr>
              <w:spacing w:line="360" w:lineRule="auto"/>
              <w:jc w:val="center"/>
              <w:rPr>
                <w:rFonts w:ascii="宋体" w:hAnsi="宋体"/>
                <w:color w:val="auto"/>
                <w:szCs w:val="21"/>
                <w:highlight w:val="none"/>
              </w:rPr>
            </w:pPr>
            <w:bookmarkStart w:id="75" w:name="_23"/>
            <w:bookmarkEnd w:id="75"/>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79D48CA9">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57834901">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41CF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CE25E48">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0D9E64E6">
            <w:pPr>
              <w:snapToGrid w:val="0"/>
              <w:spacing w:line="360" w:lineRule="auto"/>
              <w:rPr>
                <w:rFonts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30  </w:t>
            </w:r>
            <w:r>
              <w:rPr>
                <w:rFonts w:hint="eastAsia" w:hAnsi="宋体"/>
                <w:color w:val="auto"/>
                <w:highlight w:val="none"/>
              </w:rPr>
              <w:t>分钟</w:t>
            </w:r>
          </w:p>
        </w:tc>
      </w:tr>
      <w:tr w14:paraId="50874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F32F719">
            <w:pPr>
              <w:spacing w:line="360" w:lineRule="auto"/>
              <w:jc w:val="center"/>
              <w:rPr>
                <w:rFonts w:ascii="宋体" w:hAnsi="宋体"/>
                <w:color w:val="auto"/>
                <w:szCs w:val="21"/>
                <w:highlight w:val="none"/>
              </w:rPr>
            </w:pPr>
            <w:bookmarkStart w:id="76" w:name="_25.3"/>
            <w:bookmarkEnd w:id="76"/>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16F4FAB7">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DDA102C">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查询渠道：“信用中国”网站（www.creditchina.gov.cn）或“中国执行信息公开网”网站（https://zxgk.court.gov.cn/） 、中国政府采购网（www.ccgp.gov.cn）。</w:t>
            </w:r>
          </w:p>
          <w:p w14:paraId="75CBCD52">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1EB14B1B">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查询记录和证据留存方式：在查询网站中直接截图查询记录，截图作为在广西政府采购云平台作为附件上传保存。</w:t>
            </w:r>
          </w:p>
          <w:p w14:paraId="65E4514A">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或“中国执行信息公开网”网站（https://zxgk.court.gov.cn/）、中国政府采购网（www.ccgp.gov.cn）被列入失信被执行人、重大税收违法失信主体、政府采购严重违法失信行为记录名单及其他不符合《中华人民共和国政府采购法》第二十二条规定条件的供应商，采购人或者采购代理机构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9C2B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38DB213">
            <w:pPr>
              <w:spacing w:line="360" w:lineRule="auto"/>
              <w:jc w:val="center"/>
              <w:rPr>
                <w:rFonts w:ascii="宋体" w:hAnsi="宋体"/>
                <w:color w:val="auto"/>
                <w:szCs w:val="21"/>
                <w:highlight w:val="none"/>
              </w:rPr>
            </w:pPr>
            <w:bookmarkStart w:id="77" w:name="_26"/>
            <w:bookmarkEnd w:id="77"/>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44E007A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1EF32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ECFA0F7">
            <w:pPr>
              <w:spacing w:line="360" w:lineRule="auto"/>
              <w:jc w:val="center"/>
              <w:rPr>
                <w:rFonts w:ascii="宋体" w:hAnsi="宋体"/>
                <w:color w:val="auto"/>
                <w:szCs w:val="21"/>
                <w:highlight w:val="none"/>
              </w:rPr>
            </w:pPr>
            <w:bookmarkStart w:id="78" w:name="_28.3"/>
            <w:bookmarkEnd w:id="78"/>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33C402E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5638E02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☑综合评分法</w:t>
            </w:r>
          </w:p>
          <w:p w14:paraId="4A03A58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□最低评标报法</w:t>
            </w:r>
          </w:p>
        </w:tc>
      </w:tr>
      <w:tr w14:paraId="192C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26E94CB8">
            <w:pPr>
              <w:spacing w:line="360" w:lineRule="auto"/>
              <w:jc w:val="center"/>
              <w:rPr>
                <w:rFonts w:ascii="宋体" w:hAnsi="宋体"/>
                <w:color w:val="auto"/>
                <w:szCs w:val="21"/>
                <w:highlight w:val="none"/>
              </w:rPr>
            </w:pPr>
            <w:bookmarkStart w:id="79" w:name="_29.2.2（2）"/>
            <w:bookmarkEnd w:id="79"/>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vAlign w:val="center"/>
          </w:tcPr>
          <w:p w14:paraId="7DC8CA51">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4E622160">
            <w:pPr>
              <w:snapToGrid w:val="0"/>
              <w:spacing w:line="360" w:lineRule="auto"/>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1DA9A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6B2699D4">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123B4959">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05CA6955">
            <w:pPr>
              <w:snapToGrid w:val="0"/>
              <w:spacing w:line="360" w:lineRule="auto"/>
              <w:rPr>
                <w:rFonts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Ansi="宋体"/>
                <w:color w:val="auto"/>
                <w:highlight w:val="none"/>
              </w:rPr>
              <w:t>名</w:t>
            </w:r>
          </w:p>
          <w:p w14:paraId="107139AA">
            <w:pPr>
              <w:snapToGrid w:val="0"/>
              <w:spacing w:line="360" w:lineRule="auto"/>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highlight w:val="none"/>
              </w:rPr>
              <w:t>根据总得分由高到低排列次序推荐3名中标候选人</w:t>
            </w:r>
          </w:p>
        </w:tc>
      </w:tr>
      <w:tr w14:paraId="26B4A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A6B438F">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3F062E9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1F934EE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☑依次按</w:t>
            </w:r>
            <w:r>
              <w:rPr>
                <w:rFonts w:hint="eastAsia" w:hAnsi="宋体"/>
                <w:color w:val="auto"/>
                <w:highlight w:val="none"/>
              </w:rPr>
              <w:t>（1）评分相等时，以投标报价低的优先；（2）投标报价也相等时，以技术评分较高的投标人优先。（3）技术评分也相等的，以技术负责人职称较高的优先；（4）技术负责人职称也相等的，以政采云平台系统显示的递交投标文件时间较前的投标人优先</w:t>
            </w:r>
            <w:r>
              <w:rPr>
                <w:rFonts w:hint="eastAsia" w:ascii="宋体" w:hAnsi="宋体"/>
                <w:color w:val="auto"/>
                <w:szCs w:val="21"/>
                <w:highlight w:val="none"/>
              </w:rPr>
              <w:t>；</w:t>
            </w:r>
          </w:p>
          <w:p w14:paraId="0519B677">
            <w:pPr>
              <w:autoSpaceDE w:val="0"/>
              <w:autoSpaceDN w:val="0"/>
              <w:snapToGrid w:val="0"/>
              <w:spacing w:line="360" w:lineRule="auto"/>
              <w:textAlignment w:val="bottom"/>
              <w:rPr>
                <w:rFonts w:ascii="宋体" w:hAnsi="宋体"/>
                <w:b/>
                <w:color w:val="auto"/>
                <w:szCs w:val="21"/>
                <w:highlight w:val="none"/>
              </w:rPr>
            </w:pPr>
            <w:r>
              <w:rPr>
                <w:rFonts w:hint="eastAsia" w:ascii="宋体" w:hAnsi="宋体"/>
                <w:color w:val="auto"/>
                <w:szCs w:val="21"/>
                <w:highlight w:val="none"/>
              </w:rPr>
              <w:t>□随机抽取；</w:t>
            </w:r>
          </w:p>
        </w:tc>
      </w:tr>
      <w:tr w14:paraId="40587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66EC6E23">
            <w:pPr>
              <w:spacing w:line="360" w:lineRule="auto"/>
              <w:jc w:val="center"/>
              <w:rPr>
                <w:rFonts w:ascii="宋体" w:hAnsi="宋体"/>
                <w:color w:val="auto"/>
                <w:szCs w:val="21"/>
                <w:highlight w:val="none"/>
              </w:rPr>
            </w:pPr>
            <w:bookmarkStart w:id="80" w:name="_39.1"/>
            <w:bookmarkEnd w:id="80"/>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51FAA7B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5031EA8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2244292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履约保证金金额：按合同金额的2%收取。</w:t>
            </w:r>
          </w:p>
          <w:p w14:paraId="0318A14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w:t>
            </w:r>
          </w:p>
          <w:p w14:paraId="3322E504">
            <w:pPr>
              <w:autoSpaceDE w:val="0"/>
              <w:autoSpaceDN w:val="0"/>
              <w:snapToGrid w:val="0"/>
              <w:spacing w:line="360" w:lineRule="auto"/>
              <w:textAlignment w:val="bottom"/>
              <w:rPr>
                <w:rFonts w:ascii="宋体" w:hAnsi="宋体"/>
                <w:iCs/>
                <w:color w:val="auto"/>
                <w:szCs w:val="21"/>
                <w:highlight w:val="none"/>
                <w:u w:val="single"/>
              </w:rPr>
            </w:pPr>
            <w:r>
              <w:rPr>
                <w:rFonts w:hint="eastAsia" w:ascii="宋体" w:hAnsi="宋体"/>
                <w:color w:val="auto"/>
                <w:szCs w:val="21"/>
                <w:highlight w:val="none"/>
              </w:rPr>
              <w:t>履约保证金缴纳期限:</w:t>
            </w:r>
            <w:r>
              <w:rPr>
                <w:color w:val="auto"/>
                <w:highlight w:val="none"/>
              </w:rPr>
              <w:t xml:space="preserve"> </w:t>
            </w:r>
            <w:r>
              <w:rPr>
                <w:rFonts w:hint="eastAsia" w:ascii="宋体" w:hAnsi="宋体"/>
                <w:iCs/>
                <w:color w:val="auto"/>
                <w:szCs w:val="21"/>
                <w:highlight w:val="none"/>
                <w:u w:val="single"/>
              </w:rPr>
              <w:t>签订合同前缴纳。</w:t>
            </w:r>
          </w:p>
          <w:p w14:paraId="3A822278">
            <w:pPr>
              <w:autoSpaceDE w:val="0"/>
              <w:autoSpaceDN w:val="0"/>
              <w:snapToGrid w:val="0"/>
              <w:spacing w:line="360" w:lineRule="auto"/>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 xml:space="preserve"> 由中标供应商向履约保证金收取单位提供《广西壮族自治区政府采购项目合同验收书》（详见桂财采〔2015〕22号），保证金收取单位在收到合格材料后5个工作日内办理退还手续（不计利息） 。</w:t>
            </w:r>
          </w:p>
          <w:p w14:paraId="2809788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5276874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开户名称：广西壮族自治区道路运输发展中心</w:t>
            </w:r>
          </w:p>
          <w:p w14:paraId="3BA3284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银行账户：2102101109221017081</w:t>
            </w:r>
          </w:p>
          <w:p w14:paraId="68E7328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开户银行：工行南宁市公园支行</w:t>
            </w:r>
          </w:p>
          <w:p w14:paraId="65A5EBA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行号：102611010117</w:t>
            </w:r>
          </w:p>
          <w:p w14:paraId="0BC89F5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备注：</w:t>
            </w:r>
          </w:p>
          <w:p w14:paraId="60A4C28A">
            <w:pPr>
              <w:autoSpaceDE w:val="0"/>
              <w:autoSpaceDN w:val="0"/>
              <w:snapToGrid w:val="0"/>
              <w:spacing w:line="360" w:lineRule="auto"/>
              <w:textAlignment w:val="bottom"/>
              <w:rPr>
                <w:rFonts w:ascii="宋体" w:hAnsi="宋体"/>
                <w:color w:val="auto"/>
                <w:szCs w:val="21"/>
                <w:highlight w:val="none"/>
              </w:rPr>
            </w:pPr>
            <w:bookmarkStart w:id="81" w:name="_Hlk54170335"/>
            <w:r>
              <w:rPr>
                <w:rFonts w:hint="eastAsia" w:ascii="宋体" w:hAnsi="宋体"/>
                <w:color w:val="auto"/>
                <w:szCs w:val="21"/>
                <w:highlight w:val="none"/>
              </w:rPr>
              <w:t>1.根据</w:t>
            </w:r>
            <w:bookmarkEnd w:id="81"/>
            <w:r>
              <w:rPr>
                <w:rFonts w:hint="eastAsia" w:ascii="宋体" w:hAnsi="宋体"/>
                <w:color w:val="auto"/>
                <w:szCs w:val="21"/>
                <w:highlight w:val="none"/>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4437618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olor w:val="auto"/>
                <w:szCs w:val="21"/>
                <w:highlight w:val="none"/>
              </w:rPr>
              <w:br w:type="textWrapping"/>
            </w:r>
            <w:r>
              <w:rPr>
                <w:rFonts w:hint="eastAsia" w:ascii="宋体" w:hAnsi="宋体"/>
                <w:color w:val="auto"/>
                <w:szCs w:val="21"/>
                <w:highlight w:val="none"/>
              </w:rPr>
              <w:t>3.采用银行、保险机构出具的保函的，必须为无条件保函，否则不予签订合同。</w:t>
            </w:r>
          </w:p>
          <w:p w14:paraId="7009FF47">
            <w:pPr>
              <w:autoSpaceDE w:val="0"/>
              <w:autoSpaceDN w:val="0"/>
              <w:snapToGrid w:val="0"/>
              <w:spacing w:line="360" w:lineRule="auto"/>
              <w:textAlignment w:val="bottom"/>
              <w:rPr>
                <w:rFonts w:ascii="宋体" w:hAnsi="宋体" w:cs="宋体"/>
                <w:color w:val="auto"/>
                <w:kern w:val="0"/>
                <w:szCs w:val="21"/>
                <w:highlight w:val="none"/>
              </w:rPr>
            </w:pPr>
            <w:r>
              <w:rPr>
                <w:rFonts w:hint="eastAsia" w:ascii="宋体" w:hAnsi="宋体"/>
                <w:color w:val="auto"/>
                <w:szCs w:val="21"/>
                <w:highlight w:val="none"/>
              </w:rPr>
              <w:t>4.投标人为联合体的，由联合体其中一方按规定提交的履约保证金，视为有效履约保证金。</w:t>
            </w:r>
          </w:p>
        </w:tc>
      </w:tr>
      <w:tr w14:paraId="25A56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9BC5A73">
            <w:pPr>
              <w:spacing w:line="360" w:lineRule="auto"/>
              <w:jc w:val="center"/>
              <w:rPr>
                <w:rFonts w:ascii="宋体" w:hAnsi="宋体"/>
                <w:color w:val="auto"/>
                <w:szCs w:val="21"/>
                <w:highlight w:val="none"/>
              </w:rPr>
            </w:pPr>
            <w:bookmarkStart w:id="82" w:name="_40.1"/>
            <w:bookmarkEnd w:id="82"/>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29C449C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926966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B26186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B0E6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5AEDFD6">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7F85CBEF">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47AD9B3E">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广西交投宏冠工程咨询有限公司，联系电话：0771-</w:t>
            </w:r>
            <w:r>
              <w:rPr>
                <w:rFonts w:hint="eastAsia" w:ascii="宋体" w:hAnsi="宋体"/>
                <w:color w:val="auto"/>
                <w:szCs w:val="21"/>
                <w:highlight w:val="none"/>
                <w:u w:val="single"/>
                <w:lang w:val="en-US" w:eastAsia="zh-CN"/>
              </w:rPr>
              <w:t>2115840</w:t>
            </w:r>
            <w:r>
              <w:rPr>
                <w:rFonts w:hint="eastAsia" w:ascii="宋体" w:hAnsi="宋体"/>
                <w:color w:val="auto"/>
                <w:szCs w:val="21"/>
                <w:highlight w:val="none"/>
                <w:u w:val="single"/>
              </w:rPr>
              <w:t>，通讯地址：（广西南宁市青秀区合作路6号五洲国际D栋商铺3楼D312室）</w:t>
            </w:r>
          </w:p>
          <w:p w14:paraId="79596800">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104BC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AB9DBB2">
            <w:pPr>
              <w:spacing w:line="360" w:lineRule="auto"/>
              <w:jc w:val="center"/>
              <w:rPr>
                <w:rFonts w:ascii="宋体" w:hAnsi="宋体"/>
                <w:color w:val="auto"/>
                <w:szCs w:val="21"/>
                <w:highlight w:val="none"/>
              </w:rPr>
            </w:pPr>
            <w:bookmarkStart w:id="83" w:name="_42"/>
            <w:bookmarkEnd w:id="83"/>
            <w:bookmarkStart w:id="84" w:name="_41"/>
            <w:bookmarkEnd w:id="84"/>
            <w:bookmarkStart w:id="85" w:name="_Hlt17709148"/>
            <w:r>
              <w:rPr>
                <w:rFonts w:hint="eastAsia" w:ascii="宋体" w:hAnsi="宋体"/>
                <w:color w:val="auto"/>
                <w:szCs w:val="21"/>
                <w:highlight w:val="none"/>
              </w:rPr>
              <w:t>3</w:t>
            </w:r>
            <w:bookmarkEnd w:id="85"/>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17778419">
            <w:pPr>
              <w:pStyle w:val="23"/>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29A28C1E">
            <w:pPr>
              <w:pStyle w:val="23"/>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一次性向采购代理机构支付。</w:t>
            </w:r>
          </w:p>
          <w:p w14:paraId="71AF0764">
            <w:pPr>
              <w:pStyle w:val="23"/>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ABFA924">
            <w:pPr>
              <w:pStyle w:val="23"/>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34FB828A">
            <w:pPr>
              <w:snapToGrid w:val="0"/>
              <w:spacing w:line="360" w:lineRule="auto"/>
              <w:rPr>
                <w:rFonts w:ascii="宋体" w:hAnsi="宋体" w:cs="宋体"/>
                <w:color w:val="auto"/>
                <w:kern w:val="0"/>
                <w:szCs w:val="21"/>
                <w:highlight w:val="none"/>
              </w:rPr>
            </w:pPr>
            <w:r>
              <w:rPr>
                <w:rFonts w:hint="eastAsia" w:ascii="MS Mincho" w:hAnsi="MS Mincho" w:cs="MS Mincho"/>
                <w:color w:val="auto"/>
                <w:kern w:val="0"/>
                <w:sz w:val="20"/>
                <w:szCs w:val="21"/>
                <w:highlight w:val="none"/>
              </w:rPr>
              <w:t>☑</w:t>
            </w:r>
            <w:r>
              <w:rPr>
                <w:rFonts w:hint="eastAsia" w:ascii="宋体" w:hAnsi="宋体" w:cs="宋体"/>
                <w:color w:val="auto"/>
                <w:kern w:val="0"/>
                <w:szCs w:val="21"/>
                <w:highlight w:val="none"/>
              </w:rPr>
              <w:t>以分标（</w:t>
            </w:r>
            <w:r>
              <w:rPr>
                <w:rFonts w:hint="eastAsia" w:ascii="MS Mincho" w:hAnsi="MS Mincho" w:eastAsia="MS Mincho" w:cs="MS Mincho"/>
                <w:color w:val="auto"/>
                <w:kern w:val="0"/>
                <w:sz w:val="20"/>
                <w:szCs w:val="21"/>
                <w:highlight w:val="none"/>
              </w:rPr>
              <w:t>☑</w:t>
            </w:r>
            <w:r>
              <w:rPr>
                <w:rFonts w:hint="eastAsia" w:ascii="宋体" w:hAnsi="宋体" w:cs="宋体"/>
                <w:color w:val="auto"/>
                <w:kern w:val="0"/>
                <w:szCs w:val="21"/>
                <w:highlight w:val="none"/>
              </w:rPr>
              <w:t>中标金额/</w:t>
            </w:r>
            <w:r>
              <w:rPr>
                <w:rFonts w:hint="eastAsia" w:ascii="宋体" w:hAnsi="宋体"/>
                <w:color w:val="auto"/>
                <w:kern w:val="0"/>
                <w:sz w:val="20"/>
                <w:szCs w:val="21"/>
                <w:highlight w:val="none"/>
              </w:rPr>
              <w:t>□</w:t>
            </w:r>
            <w:r>
              <w:rPr>
                <w:rFonts w:hint="eastAsia" w:ascii="宋体" w:hAnsi="宋体" w:cs="宋体"/>
                <w:color w:val="auto"/>
                <w:kern w:val="0"/>
                <w:szCs w:val="21"/>
                <w:highlight w:val="none"/>
              </w:rPr>
              <w:t>采购预算/□暂定成交金额/□其他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）为计费额，按本须知正文第32.1条规定的（□货物类/</w:t>
            </w:r>
            <w:r>
              <w:rPr>
                <w:rFonts w:hint="eastAsia" w:ascii="MS Mincho" w:hAnsi="MS Mincho" w:eastAsia="MS Mincho" w:cs="MS Mincho"/>
                <w:color w:val="auto"/>
                <w:kern w:val="0"/>
                <w:sz w:val="20"/>
                <w:szCs w:val="21"/>
                <w:highlight w:val="none"/>
              </w:rPr>
              <w:t>☑</w:t>
            </w:r>
            <w:r>
              <w:rPr>
                <w:rFonts w:hint="eastAsia" w:ascii="宋体" w:hAnsi="宋体" w:cs="宋体"/>
                <w:color w:val="auto"/>
                <w:kern w:val="0"/>
                <w:szCs w:val="21"/>
                <w:highlight w:val="none"/>
              </w:rPr>
              <w:t>服务类/□工程类）标准采用差额定率累进法计算出收费基准价格，采购代理收费以（</w:t>
            </w:r>
            <w:r>
              <w:rPr>
                <w:rFonts w:hint="eastAsia" w:ascii="MS Mincho" w:hAnsi="MS Mincho" w:eastAsia="MS Mincho" w:cs="MS Mincho"/>
                <w:color w:val="auto"/>
                <w:kern w:val="0"/>
                <w:szCs w:val="21"/>
                <w:highlight w:val="none"/>
              </w:rPr>
              <w:t>□</w:t>
            </w:r>
            <w:r>
              <w:rPr>
                <w:rFonts w:hint="eastAsia" w:ascii="宋体" w:hAnsi="宋体" w:cs="宋体"/>
                <w:color w:val="auto"/>
                <w:kern w:val="0"/>
                <w:szCs w:val="21"/>
                <w:highlight w:val="none"/>
              </w:rPr>
              <w:t>收费基准价格/☑收费基准价格下浮</w:t>
            </w:r>
            <w:r>
              <w:rPr>
                <w:rFonts w:hint="eastAsia" w:ascii="宋体" w:hAnsi="宋体" w:cs="宋体"/>
                <w:color w:val="auto"/>
                <w:kern w:val="0"/>
                <w:szCs w:val="21"/>
                <w:highlight w:val="none"/>
                <w:u w:val="single"/>
              </w:rPr>
              <w:t>20%</w:t>
            </w:r>
            <w:r>
              <w:rPr>
                <w:rFonts w:hint="eastAsia" w:ascii="宋体" w:hAnsi="宋体" w:cs="宋体"/>
                <w:color w:val="auto"/>
                <w:kern w:val="0"/>
                <w:szCs w:val="21"/>
                <w:highlight w:val="none"/>
              </w:rPr>
              <w:t>/□收费基准价格上浮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）收取。</w:t>
            </w:r>
          </w:p>
          <w:p w14:paraId="55F3A71E">
            <w:pPr>
              <w:pStyle w:val="23"/>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574FD7D">
            <w:pPr>
              <w:pStyle w:val="23"/>
              <w:snapToGrid w:val="0"/>
              <w:spacing w:line="360" w:lineRule="auto"/>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w:t>
            </w:r>
            <w:r>
              <w:rPr>
                <w:rFonts w:hint="eastAsia" w:hAnsi="宋体" w:cs="宋体"/>
                <w:color w:val="auto"/>
                <w:sz w:val="21"/>
                <w:highlight w:val="none"/>
              </w:rPr>
              <w:t>.账户名称：广西交投宏冠工程咨询有限公司</w:t>
            </w:r>
          </w:p>
          <w:p w14:paraId="6C433189">
            <w:pPr>
              <w:pStyle w:val="23"/>
              <w:snapToGrid w:val="0"/>
              <w:spacing w:line="360" w:lineRule="auto"/>
              <w:rPr>
                <w:rFonts w:hAnsi="宋体" w:cs="宋体"/>
                <w:color w:val="auto"/>
                <w:sz w:val="21"/>
                <w:highlight w:val="none"/>
              </w:rPr>
            </w:pPr>
            <w:r>
              <w:rPr>
                <w:rFonts w:hint="eastAsia" w:hAnsi="宋体" w:cs="宋体"/>
                <w:color w:val="auto"/>
                <w:sz w:val="21"/>
                <w:highlight w:val="none"/>
              </w:rPr>
              <w:t>开户银行：建行南宁朝阳支行营业部</w:t>
            </w:r>
          </w:p>
          <w:p w14:paraId="785AC674">
            <w:pPr>
              <w:pStyle w:val="23"/>
              <w:snapToGrid w:val="0"/>
              <w:spacing w:line="360" w:lineRule="auto"/>
              <w:rPr>
                <w:rFonts w:hAnsi="宋体" w:cs="宋体"/>
                <w:color w:val="auto"/>
                <w:sz w:val="21"/>
                <w:highlight w:val="none"/>
              </w:rPr>
            </w:pPr>
            <w:r>
              <w:rPr>
                <w:rFonts w:hint="eastAsia" w:hAnsi="宋体" w:cs="宋体"/>
                <w:color w:val="auto"/>
                <w:sz w:val="21"/>
                <w:highlight w:val="none"/>
              </w:rPr>
              <w:t>银行账号：4500 1604 4730 5070 8266</w:t>
            </w:r>
          </w:p>
        </w:tc>
      </w:tr>
      <w:tr w14:paraId="2643F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D1B2EE2">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01654F94">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1644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8AB172C">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0D3CE9E0">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B48B13E">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501BD1DB">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74FD754">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66DA41B5">
            <w:pPr>
              <w:pStyle w:val="23"/>
              <w:snapToGrid w:val="0"/>
              <w:spacing w:line="360" w:lineRule="auto"/>
              <w:rPr>
                <w:rFonts w:hAnsi="宋体"/>
                <w:color w:val="auto"/>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12615821">
      <w:pPr>
        <w:pStyle w:val="4"/>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27D27347">
      <w:pPr>
        <w:pStyle w:val="4"/>
        <w:keepNext w:val="0"/>
        <w:keepLines w:val="0"/>
        <w:spacing w:line="300" w:lineRule="auto"/>
        <w:jc w:val="center"/>
        <w:rPr>
          <w:color w:val="auto"/>
          <w:highlight w:val="none"/>
        </w:rPr>
      </w:pPr>
      <w:r>
        <w:rPr>
          <w:rFonts w:hint="eastAsia"/>
          <w:color w:val="auto"/>
          <w:highlight w:val="none"/>
        </w:rPr>
        <w:t>一、总  则</w:t>
      </w:r>
    </w:p>
    <w:p w14:paraId="0E09BB5F">
      <w:pPr>
        <w:pStyle w:val="6"/>
        <w:keepNext w:val="0"/>
        <w:keepLines w:val="0"/>
        <w:spacing w:before="0" w:after="0" w:line="420" w:lineRule="exact"/>
        <w:rPr>
          <w:rFonts w:ascii="黑体" w:hAnsi="黑体" w:eastAsia="黑体"/>
          <w:color w:val="auto"/>
          <w:sz w:val="24"/>
          <w:highlight w:val="none"/>
        </w:rPr>
      </w:pPr>
      <w:bookmarkStart w:id="86" w:name="_Toc254970527"/>
      <w:bookmarkStart w:id="87" w:name="_Toc254970668"/>
      <w:r>
        <w:rPr>
          <w:rFonts w:hint="eastAsia" w:ascii="黑体" w:hAnsi="黑体" w:eastAsia="黑体"/>
          <w:color w:val="auto"/>
          <w:sz w:val="24"/>
          <w:highlight w:val="none"/>
        </w:rPr>
        <w:t>1.适用范围</w:t>
      </w:r>
      <w:bookmarkEnd w:id="86"/>
      <w:bookmarkEnd w:id="87"/>
    </w:p>
    <w:p w14:paraId="03012643">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50926C9">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131606D">
      <w:pPr>
        <w:pStyle w:val="6"/>
        <w:keepNext w:val="0"/>
        <w:keepLines w:val="0"/>
        <w:spacing w:before="0" w:after="0" w:line="420" w:lineRule="exact"/>
        <w:rPr>
          <w:rFonts w:ascii="黑体" w:hAnsi="黑体" w:eastAsia="黑体"/>
          <w:color w:val="auto"/>
          <w:sz w:val="24"/>
          <w:highlight w:val="none"/>
        </w:rPr>
      </w:pPr>
      <w:bookmarkStart w:id="88" w:name="_Toc254970669"/>
      <w:bookmarkStart w:id="89" w:name="_Toc254970528"/>
      <w:r>
        <w:rPr>
          <w:rFonts w:hint="eastAsia" w:ascii="黑体" w:hAnsi="黑体" w:eastAsia="黑体"/>
          <w:color w:val="auto"/>
          <w:sz w:val="24"/>
          <w:highlight w:val="none"/>
        </w:rPr>
        <w:t>2.定义</w:t>
      </w:r>
      <w:bookmarkEnd w:id="88"/>
      <w:bookmarkEnd w:id="89"/>
    </w:p>
    <w:p w14:paraId="08C1FAE6">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2.1“采购人”是指依法进行政府采购的国家机关、事业单位、团体组织。</w:t>
      </w:r>
    </w:p>
    <w:p w14:paraId="581FFB4D">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2.2“采购代理机构”是指政府采购集中采购机构和集中采购机构以外的采购代理机构。</w:t>
      </w:r>
    </w:p>
    <w:p w14:paraId="6C82F090">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2.3“供应商”是指向采购人提供货物、工程或者服务的法人、其他组织或者自然人。</w:t>
      </w:r>
    </w:p>
    <w:p w14:paraId="00D82192">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E82A86A">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7B45CDA7">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 xml:space="preserve">    2.6“书面形式”是指合同书、信件和数据电文（包括电报、电传、传真、电子数据交换和电子邮件）等可以有形地表现所载内容的形式。</w:t>
      </w:r>
    </w:p>
    <w:p w14:paraId="596B1E03">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2.7“实质性要求”是指招标文件中已经指明不满足则投标无效的条款，或者不能负偏离的条款，或者采购需求中带“▲”的条款。</w:t>
      </w:r>
    </w:p>
    <w:p w14:paraId="2351222E">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2.8“正偏离”，是指投标文件对招标文件“采购需求”中有关条款作出的响应优于条款要求并有利于采购人的情形。</w:t>
      </w:r>
    </w:p>
    <w:p w14:paraId="38099BDB">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2.9“负偏离”，是指投标文件对招标文件“采购需求”中有关条款作出的响应不满足条款要求，导致采购人要求不能得到满足的情形。</w:t>
      </w:r>
    </w:p>
    <w:p w14:paraId="1CA6D399">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2.10“允许负偏离的条款”是指采购需求中的不属于“实质性要求”的条款。</w:t>
      </w:r>
      <w:bookmarkStart w:id="90" w:name="_Toc254970529"/>
      <w:bookmarkStart w:id="91" w:name="_Toc254970670"/>
    </w:p>
    <w:p w14:paraId="7160DBD5">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w:t>
      </w:r>
      <w:bookmarkEnd w:id="90"/>
      <w:bookmarkEnd w:id="91"/>
      <w:r>
        <w:rPr>
          <w:rFonts w:hint="eastAsia" w:ascii="黑体" w:hAnsi="黑体" w:eastAsia="黑体"/>
          <w:color w:val="auto"/>
          <w:sz w:val="24"/>
          <w:highlight w:val="none"/>
        </w:rPr>
        <w:t>投标人的资格要求</w:t>
      </w:r>
    </w:p>
    <w:p w14:paraId="6722B970">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7F0C289F">
      <w:pPr>
        <w:pStyle w:val="6"/>
        <w:keepNext w:val="0"/>
        <w:keepLines w:val="0"/>
        <w:spacing w:before="0" w:after="0" w:line="420" w:lineRule="exact"/>
        <w:rPr>
          <w:rFonts w:ascii="黑体" w:hAnsi="黑体" w:eastAsia="黑体"/>
          <w:color w:val="auto"/>
          <w:sz w:val="24"/>
          <w:highlight w:val="none"/>
        </w:rPr>
      </w:pPr>
      <w:bookmarkStart w:id="92" w:name="_Toc254970671"/>
      <w:bookmarkStart w:id="93" w:name="_Toc254970530"/>
      <w:r>
        <w:rPr>
          <w:rFonts w:hint="eastAsia" w:ascii="黑体" w:hAnsi="黑体" w:eastAsia="黑体"/>
          <w:color w:val="auto"/>
          <w:sz w:val="24"/>
          <w:highlight w:val="none"/>
        </w:rPr>
        <w:t>4.投标委托</w:t>
      </w:r>
      <w:bookmarkEnd w:id="92"/>
      <w:bookmarkEnd w:id="93"/>
    </w:p>
    <w:p w14:paraId="5A0E3B17">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4D277F98">
      <w:pPr>
        <w:pStyle w:val="6"/>
        <w:keepNext w:val="0"/>
        <w:keepLines w:val="0"/>
        <w:spacing w:before="0" w:after="0" w:line="420" w:lineRule="exact"/>
        <w:rPr>
          <w:rFonts w:ascii="黑体" w:hAnsi="黑体" w:eastAsia="黑体"/>
          <w:color w:val="auto"/>
          <w:sz w:val="24"/>
          <w:highlight w:val="none"/>
        </w:rPr>
      </w:pPr>
      <w:bookmarkStart w:id="94" w:name="_5.投标费用"/>
      <w:bookmarkEnd w:id="94"/>
      <w:bookmarkStart w:id="95" w:name="_Toc254970672"/>
      <w:bookmarkStart w:id="96" w:name="_Toc254970531"/>
      <w:r>
        <w:rPr>
          <w:rFonts w:hint="eastAsia" w:ascii="黑体" w:hAnsi="黑体" w:eastAsia="黑体"/>
          <w:color w:val="auto"/>
          <w:sz w:val="24"/>
          <w:highlight w:val="none"/>
        </w:rPr>
        <w:t>5.投标费用</w:t>
      </w:r>
      <w:bookmarkEnd w:id="95"/>
      <w:bookmarkEnd w:id="96"/>
    </w:p>
    <w:p w14:paraId="3ABC3668">
      <w:pPr>
        <w:snapToGrid w:val="0"/>
        <w:spacing w:line="420" w:lineRule="exact"/>
        <w:ind w:firstLine="398"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9DE3F92">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6.联合体投标</w:t>
      </w:r>
    </w:p>
    <w:p w14:paraId="40F2B4F1">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2C42BF5">
      <w:pPr>
        <w:snapToGrid w:val="0"/>
        <w:spacing w:line="420" w:lineRule="exact"/>
        <w:ind w:firstLine="398"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4A3043BC">
      <w:pPr>
        <w:snapToGrid w:val="0"/>
        <w:spacing w:line="420" w:lineRule="exact"/>
        <w:ind w:firstLine="398" w:firstLineChars="200"/>
        <w:jc w:val="left"/>
        <w:rPr>
          <w:rFonts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1A75006A">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7.转包与分包</w:t>
      </w:r>
    </w:p>
    <w:p w14:paraId="6B141205">
      <w:pPr>
        <w:snapToGrid w:val="0"/>
        <w:spacing w:line="420" w:lineRule="exact"/>
        <w:ind w:firstLine="398" w:firstLineChars="200"/>
        <w:jc w:val="left"/>
        <w:rPr>
          <w:rFonts w:ascii="宋体" w:hAnsi="宋体"/>
          <w:color w:val="auto"/>
          <w:szCs w:val="21"/>
          <w:highlight w:val="none"/>
        </w:rPr>
      </w:pPr>
      <w:bookmarkStart w:id="97" w:name="_Toc254970532"/>
      <w:bookmarkStart w:id="98" w:name="_Toc254970673"/>
      <w:r>
        <w:rPr>
          <w:rFonts w:hint="eastAsia" w:ascii="宋体" w:hAnsi="宋体"/>
          <w:color w:val="auto"/>
          <w:szCs w:val="21"/>
          <w:highlight w:val="none"/>
        </w:rPr>
        <w:t>7.1本项目不允许转包。</w:t>
      </w:r>
    </w:p>
    <w:p w14:paraId="4A328621">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9B81A2">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629E7EC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8.特别说明</w:t>
      </w:r>
      <w:bookmarkEnd w:id="97"/>
      <w:bookmarkEnd w:id="98"/>
    </w:p>
    <w:p w14:paraId="3EFE21C3">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8.1如果本招标文件要求提供投标人或制造商的资格、信誉、荣誉、业绩与企业认证等材料的，资格、信誉、荣誉、业绩与企业认证等必须为投标人或者制造商所拥有或自身获得。</w:t>
      </w:r>
    </w:p>
    <w:p w14:paraId="48DAA978">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8.2投标人应仔细阅读招标文件的所有内容，按照招标文件的要求提交投标文件，并对所提供的全部资料的真实性承担法律责任。</w:t>
      </w:r>
    </w:p>
    <w:p w14:paraId="5063913F">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71FCD17">
      <w:pPr>
        <w:pStyle w:val="6"/>
        <w:keepNext w:val="0"/>
        <w:keepLines w:val="0"/>
        <w:spacing w:before="0" w:after="0" w:line="420" w:lineRule="exact"/>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0EB7A7E">
      <w:pPr>
        <w:pStyle w:val="6"/>
        <w:keepNext w:val="0"/>
        <w:keepLines w:val="0"/>
        <w:spacing w:before="0" w:after="0" w:line="420" w:lineRule="exact"/>
        <w:ind w:firstLine="348"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47A14079">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7BE29332">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5B1AC87F">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5978A97C">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16C482FA">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B8D3B11">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00A41032">
      <w:pPr>
        <w:pStyle w:val="6"/>
        <w:keepNext w:val="0"/>
        <w:keepLines w:val="0"/>
        <w:spacing w:before="0" w:after="0" w:line="420" w:lineRule="exact"/>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5CB3697">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2987C1B1">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EA21958">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33497DF">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C22375E">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1E1F53E7">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C587C6E">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（7）不同投标人提交电子投标文件IP地址相同且无法合理说明的。</w:t>
      </w:r>
    </w:p>
    <w:p w14:paraId="3ABC62E5">
      <w:pPr>
        <w:rPr>
          <w:color w:val="auto"/>
          <w:highlight w:val="none"/>
        </w:rPr>
      </w:pPr>
    </w:p>
    <w:p w14:paraId="4A671C4B">
      <w:pPr>
        <w:pStyle w:val="6"/>
        <w:keepNext w:val="0"/>
        <w:keepLines w:val="0"/>
        <w:spacing w:before="0" w:after="0" w:line="420" w:lineRule="exact"/>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54BD178D">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2142836B">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59DFFF36">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EB9D37A">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2C069AB8">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8161582">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2FFFD23">
      <w:pPr>
        <w:pStyle w:val="23"/>
        <w:snapToGrid w:val="0"/>
        <w:spacing w:line="420" w:lineRule="exact"/>
        <w:ind w:firstLine="398" w:firstLineChars="200"/>
        <w:rPr>
          <w:rFonts w:hAnsi="宋体"/>
          <w:b/>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3F876C0B">
      <w:pPr>
        <w:pStyle w:val="4"/>
        <w:keepNext w:val="0"/>
        <w:keepLines w:val="0"/>
        <w:spacing w:before="0" w:after="0" w:line="420" w:lineRule="exact"/>
        <w:jc w:val="center"/>
        <w:rPr>
          <w:color w:val="auto"/>
          <w:highlight w:val="none"/>
        </w:rPr>
      </w:pPr>
      <w:bookmarkStart w:id="99" w:name="_Toc254970675"/>
      <w:bookmarkStart w:id="100" w:name="_Toc254970534"/>
      <w:r>
        <w:rPr>
          <w:rFonts w:hint="eastAsia"/>
          <w:color w:val="auto"/>
          <w:highlight w:val="none"/>
        </w:rPr>
        <w:t>二、招标文件</w:t>
      </w:r>
      <w:bookmarkEnd w:id="99"/>
      <w:bookmarkEnd w:id="100"/>
    </w:p>
    <w:p w14:paraId="28E70563">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0639B771">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（1）招标公告；</w:t>
      </w:r>
    </w:p>
    <w:p w14:paraId="0BE6064D">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70BF136">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47E6C94B">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3BE5DE5C">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44E19FC5">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58AEB278">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25E5805B">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FF044A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BB5D946">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1"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1"/>
    <w:p w14:paraId="6E9AD61E">
      <w:pPr>
        <w:pStyle w:val="4"/>
        <w:keepNext w:val="0"/>
        <w:keepLines w:val="0"/>
        <w:spacing w:before="0" w:after="0" w:line="420" w:lineRule="exact"/>
        <w:jc w:val="center"/>
        <w:rPr>
          <w:color w:val="auto"/>
          <w:highlight w:val="none"/>
        </w:rPr>
      </w:pPr>
      <w:bookmarkStart w:id="102" w:name="_Toc254970676"/>
      <w:bookmarkStart w:id="103" w:name="_Toc254970535"/>
      <w:r>
        <w:rPr>
          <w:rFonts w:hint="eastAsia"/>
          <w:color w:val="auto"/>
          <w:highlight w:val="none"/>
        </w:rPr>
        <w:t>三、投标文件的编制</w:t>
      </w:r>
      <w:bookmarkEnd w:id="102"/>
      <w:bookmarkEnd w:id="103"/>
    </w:p>
    <w:p w14:paraId="7D794B52">
      <w:pPr>
        <w:pStyle w:val="6"/>
        <w:keepNext w:val="0"/>
        <w:keepLines w:val="0"/>
        <w:spacing w:before="0" w:after="0" w:line="420" w:lineRule="exact"/>
        <w:rPr>
          <w:rFonts w:ascii="黑体" w:hAnsi="黑体" w:eastAsia="黑体"/>
          <w:color w:val="auto"/>
          <w:sz w:val="24"/>
          <w:highlight w:val="none"/>
        </w:rPr>
      </w:pPr>
      <w:bookmarkStart w:id="104" w:name="_Toc254970677"/>
      <w:bookmarkStart w:id="105" w:name="_Toc254970536"/>
      <w:r>
        <w:rPr>
          <w:rFonts w:hint="eastAsia" w:ascii="黑体" w:hAnsi="黑体" w:eastAsia="黑体"/>
          <w:color w:val="auto"/>
          <w:sz w:val="24"/>
          <w:highlight w:val="none"/>
        </w:rPr>
        <w:t>12.投标文件的编制原则</w:t>
      </w:r>
    </w:p>
    <w:p w14:paraId="17553535">
      <w:pPr>
        <w:snapToGrid w:val="0"/>
        <w:spacing w:line="420" w:lineRule="exact"/>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FDE876C">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04"/>
      <w:bookmarkEnd w:id="105"/>
    </w:p>
    <w:p w14:paraId="612C1A6E">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16987220">
      <w:pPr>
        <w:snapToGrid w:val="0"/>
        <w:spacing w:line="420" w:lineRule="exact"/>
        <w:ind w:firstLine="420"/>
        <w:jc w:val="left"/>
        <w:rPr>
          <w:rFonts w:ascii="宋体" w:hAnsi="宋体"/>
          <w:color w:val="auto"/>
          <w:szCs w:val="21"/>
          <w:highlight w:val="none"/>
        </w:rPr>
      </w:pPr>
      <w:bookmarkStart w:id="106" w:name="_13.1报价文件:_具体材料见“投标人须知前附表”。"/>
      <w:bookmarkEnd w:id="106"/>
      <w:r>
        <w:rPr>
          <w:rFonts w:hint="eastAsia" w:ascii="宋体" w:hAnsi="宋体"/>
          <w:color w:val="auto"/>
          <w:szCs w:val="21"/>
          <w:highlight w:val="none"/>
        </w:rPr>
        <w:t>（1）报价文件：</w:t>
      </w:r>
      <w:r>
        <w:rPr>
          <w:rFonts w:ascii="宋体" w:hAnsi="宋体"/>
          <w:color w:val="auto"/>
          <w:szCs w:val="21"/>
          <w:highlight w:val="none"/>
        </w:rPr>
        <w:t xml:space="preserve"> 具体材料见“投标人须知前附表”</w:t>
      </w:r>
      <w:r>
        <w:rPr>
          <w:rFonts w:hint="eastAsia" w:ascii="宋体" w:hAnsi="宋体"/>
          <w:color w:val="auto"/>
          <w:szCs w:val="21"/>
          <w:highlight w:val="none"/>
        </w:rPr>
        <w:t>。</w:t>
      </w:r>
    </w:p>
    <w:p w14:paraId="17C3394B">
      <w:pPr>
        <w:snapToGrid w:val="0"/>
        <w:spacing w:line="420" w:lineRule="exact"/>
        <w:ind w:firstLine="420"/>
        <w:jc w:val="left"/>
        <w:rPr>
          <w:rFonts w:ascii="宋体" w:hAnsi="宋体"/>
          <w:color w:val="auto"/>
          <w:szCs w:val="21"/>
          <w:highlight w:val="none"/>
        </w:rPr>
      </w:pPr>
      <w:bookmarkStart w:id="107" w:name="_13.2资格证明文件：具体材料见“投标人须知前附表”。"/>
      <w:bookmarkEnd w:id="107"/>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）资格证明文件：</w:t>
      </w:r>
      <w:r>
        <w:rPr>
          <w:rFonts w:ascii="宋体" w:hAnsi="宋体"/>
          <w:color w:val="auto"/>
          <w:szCs w:val="21"/>
          <w:highlight w:val="none"/>
        </w:rPr>
        <w:t>具体材料见“投标人须知前附表”</w:t>
      </w:r>
      <w:r>
        <w:rPr>
          <w:rFonts w:hint="eastAsia" w:ascii="宋体" w:hAnsi="宋体"/>
          <w:color w:val="auto"/>
          <w:szCs w:val="21"/>
          <w:highlight w:val="none"/>
        </w:rPr>
        <w:t>。</w:t>
      </w:r>
    </w:p>
    <w:p w14:paraId="34B3774B">
      <w:pPr>
        <w:snapToGrid w:val="0"/>
        <w:spacing w:line="420" w:lineRule="exact"/>
        <w:ind w:firstLine="420"/>
        <w:jc w:val="left"/>
        <w:rPr>
          <w:rFonts w:ascii="宋体" w:hAnsi="宋体"/>
          <w:color w:val="auto"/>
          <w:szCs w:val="21"/>
          <w:highlight w:val="none"/>
        </w:rPr>
      </w:pPr>
      <w:bookmarkStart w:id="108" w:name="_13.3商务文件:_具体材料见“投标人须知前附表”。"/>
      <w:bookmarkEnd w:id="108"/>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）商务及技术文件：</w:t>
      </w:r>
      <w:r>
        <w:rPr>
          <w:rFonts w:ascii="宋体" w:hAnsi="宋体"/>
          <w:color w:val="auto"/>
          <w:szCs w:val="21"/>
          <w:highlight w:val="none"/>
        </w:rPr>
        <w:t>具体材料见“投标人须知前附表”</w:t>
      </w:r>
      <w:r>
        <w:rPr>
          <w:rFonts w:hint="eastAsia" w:ascii="宋体" w:hAnsi="宋体"/>
          <w:color w:val="auto"/>
          <w:szCs w:val="21"/>
          <w:highlight w:val="none"/>
        </w:rPr>
        <w:t>。</w:t>
      </w:r>
    </w:p>
    <w:p w14:paraId="29450BB0">
      <w:pPr>
        <w:pStyle w:val="6"/>
        <w:keepNext w:val="0"/>
        <w:keepLines w:val="0"/>
        <w:spacing w:before="0" w:after="0" w:line="420" w:lineRule="exact"/>
        <w:rPr>
          <w:rFonts w:ascii="黑体" w:hAnsi="黑体" w:eastAsia="黑体"/>
          <w:color w:val="auto"/>
          <w:sz w:val="24"/>
          <w:highlight w:val="none"/>
        </w:rPr>
      </w:pPr>
      <w:bookmarkStart w:id="109" w:name="_13.4技术文件：具体材料见“投标人须知前附表”。"/>
      <w:bookmarkEnd w:id="109"/>
      <w:bookmarkStart w:id="110" w:name="_13.5投标文件电子版：具体材料见“投标人须知前附表”。"/>
      <w:bookmarkEnd w:id="110"/>
      <w:bookmarkStart w:id="111" w:name="_Toc254970678"/>
      <w:bookmarkStart w:id="112" w:name="_Toc254970537"/>
      <w:r>
        <w:rPr>
          <w:rFonts w:hint="eastAsia" w:ascii="黑体" w:hAnsi="黑体" w:eastAsia="黑体"/>
          <w:color w:val="auto"/>
          <w:sz w:val="24"/>
          <w:highlight w:val="none"/>
        </w:rPr>
        <w:t>14.投标文件的语言及计量</w:t>
      </w:r>
      <w:bookmarkEnd w:id="111"/>
      <w:bookmarkEnd w:id="112"/>
    </w:p>
    <w:p w14:paraId="2D1E1717">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14.1语言文字</w:t>
      </w:r>
    </w:p>
    <w:p w14:paraId="7A6D39E5">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815EA97">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14.2投标计量单位</w:t>
      </w:r>
    </w:p>
    <w:p w14:paraId="5C54BAA1">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招标文件已有明确规定的，使用招标文件规定的计量单位；招标文件没有规定的，应采用中华人民共和国法定计量单位，货币种类为人民币，否则视同未响应。</w:t>
      </w:r>
    </w:p>
    <w:p w14:paraId="0807E89D">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15.投标的风险</w:t>
      </w:r>
    </w:p>
    <w:p w14:paraId="2C73DE9C">
      <w:pPr>
        <w:pStyle w:val="23"/>
        <w:snapToGrid w:val="0"/>
        <w:spacing w:line="420" w:lineRule="exact"/>
        <w:ind w:firstLine="398"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1D2B9BA">
      <w:pPr>
        <w:pStyle w:val="6"/>
        <w:keepNext w:val="0"/>
        <w:keepLines w:val="0"/>
        <w:spacing w:before="0" w:after="0" w:line="420" w:lineRule="exact"/>
        <w:rPr>
          <w:rFonts w:ascii="黑体" w:hAnsi="黑体" w:eastAsia="黑体"/>
          <w:color w:val="auto"/>
          <w:sz w:val="24"/>
          <w:highlight w:val="none"/>
        </w:rPr>
      </w:pPr>
      <w:bookmarkStart w:id="113" w:name="_Toc254970538"/>
      <w:bookmarkStart w:id="114" w:name="_Toc254970679"/>
      <w:r>
        <w:rPr>
          <w:rFonts w:hint="eastAsia" w:ascii="黑体" w:hAnsi="黑体" w:eastAsia="黑体"/>
          <w:color w:val="auto"/>
          <w:sz w:val="24"/>
          <w:highlight w:val="none"/>
        </w:rPr>
        <w:t>16.投标报价</w:t>
      </w:r>
      <w:bookmarkEnd w:id="113"/>
      <w:bookmarkEnd w:id="114"/>
    </w:p>
    <w:p w14:paraId="07DD32FC">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16.1投标报价应按“第六章　投标文件格式”中“开标一览表”格式填写。</w:t>
      </w:r>
    </w:p>
    <w:p w14:paraId="4C823F23">
      <w:pPr>
        <w:snapToGrid w:val="0"/>
        <w:spacing w:line="420" w:lineRule="exact"/>
        <w:ind w:firstLine="420"/>
        <w:jc w:val="left"/>
        <w:rPr>
          <w:rFonts w:ascii="宋体" w:hAnsi="宋体"/>
          <w:color w:val="auto"/>
          <w:szCs w:val="21"/>
          <w:highlight w:val="none"/>
        </w:rPr>
      </w:pPr>
      <w:bookmarkStart w:id="115" w:name="_16.2投标报价具体定义见投标人须知前附表。"/>
      <w:bookmarkEnd w:id="115"/>
      <w:r>
        <w:rPr>
          <w:rFonts w:hint="eastAsia" w:ascii="宋体" w:hAnsi="宋体"/>
          <w:color w:val="auto"/>
          <w:szCs w:val="21"/>
          <w:highlight w:val="none"/>
        </w:rPr>
        <w:t>16.2投标报价具体包括内容详见“投标人须知前附表”。</w:t>
      </w:r>
    </w:p>
    <w:p w14:paraId="0C745834">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16.3投标人必须就所投每个分标的全部内容分别作完整唯一总价报价，不得存在漏项报价；投标人必须就所投分标的单项内容作唯一报价。</w:t>
      </w:r>
    </w:p>
    <w:p w14:paraId="33E5A31F">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17.投标有效期</w:t>
      </w:r>
    </w:p>
    <w:p w14:paraId="165230AD">
      <w:pPr>
        <w:snapToGrid w:val="0"/>
        <w:spacing w:line="420" w:lineRule="exact"/>
        <w:ind w:firstLine="420"/>
        <w:jc w:val="left"/>
        <w:rPr>
          <w:rFonts w:ascii="宋体" w:hAnsi="宋体"/>
          <w:color w:val="auto"/>
          <w:szCs w:val="21"/>
          <w:highlight w:val="none"/>
        </w:rPr>
      </w:pPr>
      <w:bookmarkStart w:id="116" w:name="_17.1投标有效期应按“投标人须知中的前附表”规定的期限。"/>
      <w:bookmarkEnd w:id="116"/>
      <w:r>
        <w:rPr>
          <w:rFonts w:hint="eastAsia" w:ascii="宋体" w:hAnsi="宋体"/>
          <w:color w:val="auto"/>
          <w:szCs w:val="21"/>
          <w:highlight w:val="none"/>
        </w:rPr>
        <w:t>17.1投标有效期是指为保证采购人有足够的时间在开标后完成评标、定标、合同签订等工作而要求投标人提交的投标文件在一定时间内保持有效的期限。</w:t>
      </w:r>
    </w:p>
    <w:p w14:paraId="3E1D3EBE">
      <w:pPr>
        <w:snapToGrid w:val="0"/>
        <w:spacing w:line="420" w:lineRule="exact"/>
        <w:ind w:firstLine="420"/>
        <w:jc w:val="left"/>
        <w:rPr>
          <w:rFonts w:ascii="宋体" w:hAnsi="宋体"/>
          <w:b/>
          <w:bCs/>
          <w:color w:val="auto"/>
          <w:szCs w:val="21"/>
          <w:highlight w:val="none"/>
        </w:rPr>
      </w:pPr>
      <w:r>
        <w:rPr>
          <w:rFonts w:hint="eastAsia" w:ascii="宋体" w:hAnsi="宋体"/>
          <w:color w:val="auto"/>
          <w:szCs w:val="21"/>
          <w:highlight w:val="none"/>
        </w:rPr>
        <w:t>17.2</w:t>
      </w:r>
      <w:bookmarkStart w:id="117" w:name="_Toc254970540"/>
      <w:bookmarkStart w:id="118" w:name="_Toc254970681"/>
      <w:r>
        <w:rPr>
          <w:rFonts w:hint="eastAsia" w:ascii="宋体" w:hAnsi="宋体"/>
          <w:color w:val="auto"/>
          <w:szCs w:val="21"/>
          <w:highlight w:val="none"/>
        </w:rPr>
        <w:t xml:space="preserve"> 投标有效期应按招标文件规定的期限作出承诺，具体详见“投标人须知前附表”。</w:t>
      </w:r>
      <w:r>
        <w:rPr>
          <w:rFonts w:hint="eastAsia" w:ascii="宋体" w:hAnsi="宋体"/>
          <w:b/>
          <w:bCs/>
          <w:color w:val="auto"/>
          <w:szCs w:val="21"/>
          <w:highlight w:val="none"/>
        </w:rPr>
        <w:t>承诺的投标有效期低于招标文件规定期限的，按无效投标处理。</w:t>
      </w:r>
    </w:p>
    <w:p w14:paraId="5E7FA7DB">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17.3投标人的投标文件在投标有效期内均保持有效。</w:t>
      </w:r>
      <w:bookmarkEnd w:id="117"/>
      <w:bookmarkEnd w:id="118"/>
    </w:p>
    <w:p w14:paraId="5F0D2E53">
      <w:pPr>
        <w:pStyle w:val="6"/>
        <w:keepNext w:val="0"/>
        <w:keepLines w:val="0"/>
        <w:spacing w:before="0" w:after="0" w:line="420" w:lineRule="exact"/>
        <w:rPr>
          <w:rFonts w:ascii="黑体" w:hAnsi="黑体" w:eastAsia="黑体"/>
          <w:color w:val="auto"/>
          <w:sz w:val="24"/>
          <w:highlight w:val="none"/>
        </w:rPr>
      </w:pPr>
      <w:bookmarkStart w:id="119" w:name="_18.投标保证金"/>
      <w:bookmarkEnd w:id="119"/>
      <w:bookmarkStart w:id="120" w:name="_Toc254970541"/>
      <w:bookmarkStart w:id="121" w:name="_Toc254970682"/>
      <w:r>
        <w:rPr>
          <w:rFonts w:hint="eastAsia" w:ascii="黑体" w:hAnsi="黑体" w:eastAsia="黑体"/>
          <w:color w:val="auto"/>
          <w:sz w:val="24"/>
          <w:highlight w:val="none"/>
        </w:rPr>
        <w:t>18.投标保证金</w:t>
      </w:r>
      <w:bookmarkEnd w:id="120"/>
      <w:bookmarkEnd w:id="121"/>
    </w:p>
    <w:p w14:paraId="0581C21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18.1投标人须按“投标人须知前附表”的规定提交投标保证金。</w:t>
      </w:r>
    </w:p>
    <w:p w14:paraId="705E4646">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18.2投标保证金的退还</w:t>
      </w:r>
    </w:p>
    <w:p w14:paraId="2E2D6AE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未中标人的投标保证金自中标通知书发出之日起5个工作日内退还；中标人的投标保证金自政府采购合同签订之日起5个工作日内退还。</w:t>
      </w:r>
    </w:p>
    <w:p w14:paraId="3B738397">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18.3除逾期退还投标保证金和终止招标的情形以外，投标保证金不计息。</w:t>
      </w:r>
    </w:p>
    <w:p w14:paraId="7A64DDAC">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18.4投标人有下列情形之一的，投标保证金将不予退还：</w:t>
      </w:r>
    </w:p>
    <w:p w14:paraId="7B0C16F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746389C9">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（2）未按规定提交履约保证金的；</w:t>
      </w:r>
    </w:p>
    <w:p w14:paraId="57253A0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13DCAB4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42FF7D4C">
      <w:pPr>
        <w:snapToGrid w:val="0"/>
        <w:spacing w:line="420" w:lineRule="exact"/>
        <w:ind w:firstLine="398" w:firstLineChars="200"/>
        <w:rPr>
          <w:rFonts w:ascii="宋体" w:hAnsi="宋体"/>
          <w:color w:val="auto"/>
          <w:szCs w:val="21"/>
          <w:highlight w:val="none"/>
        </w:rPr>
      </w:pPr>
      <w:bookmarkStart w:id="122" w:name="_Toc254970542"/>
      <w:bookmarkStart w:id="123" w:name="_Toc254970683"/>
      <w:r>
        <w:rPr>
          <w:rFonts w:hint="eastAsia" w:ascii="宋体" w:hAnsi="宋体"/>
          <w:color w:val="auto"/>
          <w:szCs w:val="21"/>
          <w:highlight w:val="none"/>
        </w:rPr>
        <w:t>（5）投标人出现本章第9.2、9.3情形的；</w:t>
      </w:r>
    </w:p>
    <w:p w14:paraId="3C942F39">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22"/>
    <w:bookmarkEnd w:id="123"/>
    <w:p w14:paraId="444F0C03">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02E5548C">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D888260">
      <w:pPr>
        <w:snapToGrid w:val="0"/>
        <w:spacing w:line="420" w:lineRule="exact"/>
        <w:ind w:firstLine="398" w:firstLineChars="200"/>
        <w:rPr>
          <w:rFonts w:ascii="宋体" w:hAnsi="宋体"/>
          <w:color w:val="auto"/>
          <w:szCs w:val="21"/>
          <w:highlight w:val="none"/>
        </w:rPr>
      </w:pPr>
      <w:bookmarkStart w:id="124" w:name="_19.2投标文件应按报价文件、资格证明文件、商务文件、技术文件分别编制"/>
      <w:bookmarkEnd w:id="124"/>
      <w:r>
        <w:rPr>
          <w:rFonts w:hint="eastAsia" w:ascii="宋体" w:hAnsi="宋体"/>
          <w:color w:val="auto"/>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13DE886F">
      <w:pPr>
        <w:snapToGrid w:val="0"/>
        <w:spacing w:line="420" w:lineRule="exact"/>
        <w:ind w:firstLine="398" w:firstLineChars="200"/>
        <w:rPr>
          <w:rFonts w:ascii="宋体" w:hAnsi="宋体"/>
          <w:b/>
          <w:bCs/>
          <w:color w:val="auto"/>
          <w:szCs w:val="21"/>
          <w:highlight w:val="none"/>
        </w:rPr>
      </w:pPr>
      <w:r>
        <w:rPr>
          <w:rFonts w:hint="eastAsia" w:ascii="宋体" w:hAnsi="宋体"/>
          <w:color w:val="auto"/>
          <w:szCs w:val="21"/>
          <w:highlight w:val="none"/>
        </w:rPr>
        <w:t>19.3投标文件须由投标人在规定位置签字（或者电子签名）、盖章（具体以投标人须知前附表或投标文件格式规定为准），</w:t>
      </w:r>
      <w:r>
        <w:rPr>
          <w:rFonts w:hint="eastAsia" w:ascii="宋体" w:hAnsi="宋体"/>
          <w:b/>
          <w:bCs/>
          <w:color w:val="auto"/>
          <w:szCs w:val="21"/>
          <w:highlight w:val="none"/>
        </w:rPr>
        <w:t>否则按无效投标处理。</w:t>
      </w:r>
    </w:p>
    <w:p w14:paraId="255087D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b/>
          <w:bCs/>
          <w:color w:val="auto"/>
          <w:szCs w:val="21"/>
          <w:highlight w:val="none"/>
        </w:rPr>
        <w:t>否则按无效投标处理。</w:t>
      </w:r>
    </w:p>
    <w:p w14:paraId="77101908">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C100224">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650FD6DD">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电子备份投标文件是指通过在线编制生成且后缀名为“bfbs”的文件，是否接受电子备份投标文件详见“投标人须知前附表”。</w:t>
      </w:r>
    </w:p>
    <w:p w14:paraId="664005FB">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1ED9BD88">
      <w:pPr>
        <w:snapToGrid w:val="0"/>
        <w:spacing w:line="420" w:lineRule="exact"/>
        <w:ind w:firstLine="398" w:firstLineChars="200"/>
        <w:rPr>
          <w:rFonts w:ascii="宋体" w:hAnsi="宋体"/>
          <w:b/>
          <w:bCs/>
          <w:color w:val="auto"/>
          <w:szCs w:val="21"/>
          <w:highlight w:val="none"/>
        </w:rPr>
      </w:pPr>
      <w:bookmarkStart w:id="125" w:name="_21.1投标人必须在“投标人须知中的前附表”规定的投标文件接收时间和投"/>
      <w:bookmarkEnd w:id="125"/>
      <w:r>
        <w:rPr>
          <w:rFonts w:hint="eastAsia" w:ascii="宋体" w:hAnsi="宋体"/>
          <w:color w:val="auto"/>
          <w:szCs w:val="21"/>
          <w:highlight w:val="none"/>
        </w:rPr>
        <w:t>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w:t>
      </w:r>
      <w:r>
        <w:rPr>
          <w:rFonts w:hint="eastAsia" w:ascii="宋体" w:hAnsi="宋体"/>
          <w:b/>
          <w:bCs/>
          <w:color w:val="auto"/>
          <w:szCs w:val="21"/>
          <w:highlight w:val="none"/>
        </w:rPr>
        <w:t>西政府采购云平台。</w:t>
      </w:r>
    </w:p>
    <w:p w14:paraId="71BFD1DD">
      <w:pPr>
        <w:snapToGrid w:val="0"/>
        <w:spacing w:line="420" w:lineRule="exact"/>
        <w:ind w:firstLine="398" w:firstLineChars="200"/>
        <w:rPr>
          <w:rFonts w:ascii="宋体" w:hAnsi="宋体"/>
          <w:b/>
          <w:bCs/>
          <w:color w:val="auto"/>
          <w:szCs w:val="21"/>
          <w:highlight w:val="none"/>
        </w:rPr>
      </w:pPr>
      <w:r>
        <w:rPr>
          <w:rFonts w:hint="eastAsia" w:ascii="宋体" w:hAnsi="宋体"/>
          <w:b/>
          <w:bCs/>
          <w:color w:val="auto"/>
          <w:szCs w:val="21"/>
          <w:highlight w:val="none"/>
        </w:rPr>
        <w:t>21.2未在规定时间内提交或者未按照招标文件要求加密的电子投标文件，广西政府采购云平台将拒收。</w:t>
      </w:r>
    </w:p>
    <w:p w14:paraId="63FF71BA">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15E06468">
      <w:pPr>
        <w:snapToGrid w:val="0"/>
        <w:spacing w:line="420" w:lineRule="exact"/>
        <w:ind w:firstLine="420"/>
        <w:jc w:val="left"/>
        <w:rPr>
          <w:rFonts w:ascii="宋体" w:hAnsi="宋体"/>
          <w:color w:val="auto"/>
          <w:szCs w:val="21"/>
          <w:highlight w:val="none"/>
        </w:rPr>
      </w:pPr>
      <w:bookmarkStart w:id="126" w:name="_Toc254970543"/>
      <w:bookmarkStart w:id="127"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26"/>
    <w:bookmarkEnd w:id="127"/>
    <w:p w14:paraId="2E16B762">
      <w:pPr>
        <w:snapToGrid w:val="0"/>
        <w:spacing w:line="420" w:lineRule="exact"/>
        <w:ind w:firstLine="398" w:firstLineChars="200"/>
        <w:rPr>
          <w:rFonts w:ascii="宋体" w:hAnsi="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2广西政府采购云平台收到投标文件后向供应商发出确认回执通知。在投标截止时间前，除供应商</w:t>
      </w:r>
      <w:r>
        <w:rPr>
          <w:rFonts w:hint="eastAsia" w:ascii="宋体" w:hAnsi="宋体"/>
          <w:color w:val="auto"/>
          <w:szCs w:val="21"/>
          <w:highlight w:val="none"/>
        </w:rPr>
        <w:t>补充、修改或者撤回投标文件外，任何单位和个人不得解密或提取投标文件。</w:t>
      </w:r>
    </w:p>
    <w:p w14:paraId="2FBD47B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22.3在投标截止时间后，采购人和采购代理机构对已提交的投标文件概不退回。</w:t>
      </w:r>
    </w:p>
    <w:p w14:paraId="1799CB46">
      <w:pPr>
        <w:pStyle w:val="4"/>
        <w:keepNext w:val="0"/>
        <w:keepLines w:val="0"/>
        <w:spacing w:before="0" w:after="0" w:line="420" w:lineRule="exact"/>
        <w:jc w:val="center"/>
        <w:rPr>
          <w:color w:val="auto"/>
          <w:highlight w:val="none"/>
        </w:rPr>
      </w:pPr>
      <w:bookmarkStart w:id="128" w:name="_Toc254970544"/>
      <w:bookmarkStart w:id="129" w:name="_Toc254970685"/>
      <w:r>
        <w:rPr>
          <w:rFonts w:hint="eastAsia"/>
          <w:color w:val="auto"/>
          <w:highlight w:val="none"/>
        </w:rPr>
        <w:t>四、开    标</w:t>
      </w:r>
      <w:bookmarkEnd w:id="128"/>
      <w:bookmarkEnd w:id="129"/>
    </w:p>
    <w:p w14:paraId="544ECA56">
      <w:pPr>
        <w:pStyle w:val="6"/>
        <w:keepNext w:val="0"/>
        <w:keepLines w:val="0"/>
        <w:spacing w:before="0" w:after="0" w:line="420" w:lineRule="exact"/>
        <w:rPr>
          <w:rFonts w:ascii="黑体" w:hAnsi="黑体" w:eastAsia="黑体"/>
          <w:color w:val="auto"/>
          <w:sz w:val="24"/>
          <w:highlight w:val="none"/>
        </w:rPr>
      </w:pPr>
      <w:bookmarkStart w:id="130" w:name="_23.开标时间和地点"/>
      <w:bookmarkEnd w:id="130"/>
      <w:r>
        <w:rPr>
          <w:rFonts w:hint="eastAsia" w:ascii="黑体" w:hAnsi="黑体" w:eastAsia="黑体"/>
          <w:color w:val="auto"/>
          <w:sz w:val="24"/>
          <w:highlight w:val="none"/>
        </w:rPr>
        <w:t>23.开标时间和地点</w:t>
      </w:r>
    </w:p>
    <w:p w14:paraId="4F38FD56">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开标时间及地点详见“投标人须知前附表”</w:t>
      </w:r>
    </w:p>
    <w:p w14:paraId="26882B1A">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24.开标程序</w:t>
      </w:r>
    </w:p>
    <w:p w14:paraId="7904070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24.1提交投标文件截止时间止，投标人不足3家的，不得开标。</w:t>
      </w:r>
    </w:p>
    <w:p w14:paraId="41342EDA">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0E245F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24.3开标程序</w:t>
      </w:r>
    </w:p>
    <w:p w14:paraId="71B5F80A">
      <w:pPr>
        <w:snapToGrid w:val="0"/>
        <w:spacing w:line="420" w:lineRule="exact"/>
        <w:ind w:firstLine="398" w:firstLineChars="200"/>
        <w:rPr>
          <w:rFonts w:ascii="宋体" w:hAnsi="宋体"/>
          <w:b/>
          <w:bCs/>
          <w:color w:val="auto"/>
          <w:szCs w:val="21"/>
          <w:highlight w:val="none"/>
        </w:rPr>
      </w:pPr>
      <w:r>
        <w:rPr>
          <w:rFonts w:hint="eastAsia" w:ascii="宋体" w:hAnsi="宋体"/>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按“投标人须知前附表”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b/>
          <w:bCs/>
          <w:color w:val="auto"/>
          <w:szCs w:val="21"/>
          <w:highlight w:val="none"/>
        </w:rPr>
        <w:t>投标人未在规定的时间内解密投标文件或者解密失败的，投标人的投标文件作无效处理。</w:t>
      </w:r>
    </w:p>
    <w:p w14:paraId="5F30EA25">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（2）电子唱标。投标文件解密结束，宣布的内容均在广西政府采购云平台远程开标大厅展示，具体详见“投标人须知前附表”；</w:t>
      </w:r>
    </w:p>
    <w:p w14:paraId="33D136A4">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77CB588">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DA6AE44">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（5）开标结束。</w:t>
      </w:r>
    </w:p>
    <w:p w14:paraId="7F712650">
      <w:pPr>
        <w:snapToGrid w:val="0"/>
        <w:spacing w:line="420" w:lineRule="exact"/>
        <w:ind w:firstLine="398" w:firstLineChars="200"/>
        <w:rPr>
          <w:rFonts w:hAnsi="宋体"/>
          <w:color w:val="auto"/>
          <w:highlight w:val="none"/>
        </w:rPr>
      </w:pPr>
      <w:r>
        <w:rPr>
          <w:rFonts w:hint="eastAsia" w:ascii="宋体" w:hAnsi="宋体"/>
          <w:color w:val="auto"/>
          <w:szCs w:val="21"/>
          <w:highlight w:val="none"/>
        </w:rPr>
        <w:t>特别说明：如遇广西政府采购云平台电子化开标或评审程序调整的，按调整后执行。</w:t>
      </w:r>
    </w:p>
    <w:p w14:paraId="7E6F0BF8">
      <w:pPr>
        <w:pStyle w:val="4"/>
        <w:keepNext w:val="0"/>
        <w:keepLines w:val="0"/>
        <w:spacing w:before="0" w:after="0" w:line="420" w:lineRule="exact"/>
        <w:jc w:val="center"/>
        <w:rPr>
          <w:color w:val="auto"/>
          <w:highlight w:val="none"/>
        </w:rPr>
      </w:pPr>
      <w:r>
        <w:rPr>
          <w:rFonts w:hint="eastAsia"/>
          <w:color w:val="auto"/>
          <w:highlight w:val="none"/>
        </w:rPr>
        <w:t>五、资格审查</w:t>
      </w:r>
    </w:p>
    <w:p w14:paraId="16392CCB">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25.资格审查</w:t>
      </w:r>
    </w:p>
    <w:p w14:paraId="5AA273D9">
      <w:pPr>
        <w:pStyle w:val="6"/>
        <w:keepNext w:val="0"/>
        <w:keepLines w:val="0"/>
        <w:spacing w:before="0" w:after="0" w:line="420" w:lineRule="exact"/>
        <w:ind w:firstLine="299"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5BC8D3B1">
      <w:pPr>
        <w:pStyle w:val="6"/>
        <w:keepNext w:val="0"/>
        <w:keepLines w:val="0"/>
        <w:spacing w:before="0" w:after="0" w:line="420" w:lineRule="exact"/>
        <w:ind w:firstLine="299"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4ACFED5E">
      <w:pPr>
        <w:pStyle w:val="6"/>
        <w:keepNext w:val="0"/>
        <w:keepLines w:val="0"/>
        <w:numPr>
          <w:ilvl w:val="0"/>
          <w:numId w:val="0"/>
        </w:numPr>
        <w:spacing w:before="0" w:after="0" w:line="420" w:lineRule="exact"/>
        <w:ind w:firstLine="398" w:firstLineChars="200"/>
        <w:rPr>
          <w:rFonts w:ascii="宋体" w:hAnsi="宋体"/>
          <w:color w:val="auto"/>
          <w:sz w:val="21"/>
          <w:szCs w:val="21"/>
          <w:highlight w:val="none"/>
        </w:rPr>
      </w:pPr>
      <w:bookmarkStart w:id="131" w:name="_25.3_投标人有下列情形之一的，资格审查不通过而导致其投标无效："/>
      <w:bookmarkEnd w:id="131"/>
      <w:r>
        <w:rPr>
          <w:rFonts w:hint="eastAsia" w:ascii="宋体" w:hAnsi="宋体"/>
          <w:color w:val="auto"/>
          <w:sz w:val="21"/>
          <w:szCs w:val="21"/>
          <w:highlight w:val="none"/>
        </w:rPr>
        <w:t>25.3 投标人有下列情形之一的，资格审查不通过，作无效投标处理：</w:t>
      </w:r>
    </w:p>
    <w:p w14:paraId="469D4E32">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（1）不具备招标文件中规定的资格要求的；</w:t>
      </w:r>
    </w:p>
    <w:p w14:paraId="61121F8F">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CD872E7">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w:t>
      </w:r>
    </w:p>
    <w:p w14:paraId="2B56E295">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A0D2BD7">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11ABC818">
      <w:pPr>
        <w:pStyle w:val="6"/>
        <w:keepNext w:val="0"/>
        <w:keepLines w:val="0"/>
        <w:spacing w:before="0" w:after="0" w:line="420" w:lineRule="exact"/>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73B77A0">
      <w:pPr>
        <w:pStyle w:val="23"/>
        <w:snapToGrid w:val="0"/>
        <w:spacing w:line="420" w:lineRule="exact"/>
        <w:ind w:left="198" w:hanging="199" w:hangingChars="100"/>
        <w:rPr>
          <w:rFonts w:hAnsi="宋体"/>
          <w:color w:val="auto"/>
          <w:sz w:val="21"/>
          <w:highlight w:val="none"/>
        </w:rPr>
      </w:pPr>
    </w:p>
    <w:p w14:paraId="17124653">
      <w:pPr>
        <w:pStyle w:val="4"/>
        <w:keepNext w:val="0"/>
        <w:keepLines w:val="0"/>
        <w:spacing w:before="0" w:after="0" w:line="420" w:lineRule="exact"/>
        <w:jc w:val="center"/>
        <w:rPr>
          <w:color w:val="auto"/>
          <w:highlight w:val="none"/>
        </w:rPr>
      </w:pPr>
      <w:r>
        <w:rPr>
          <w:rFonts w:hint="eastAsia"/>
          <w:color w:val="auto"/>
          <w:highlight w:val="none"/>
        </w:rPr>
        <w:t>六、评   标</w:t>
      </w:r>
    </w:p>
    <w:p w14:paraId="7147A4B4">
      <w:pPr>
        <w:pStyle w:val="6"/>
        <w:keepNext w:val="0"/>
        <w:keepLines w:val="0"/>
        <w:spacing w:before="0" w:after="0" w:line="420" w:lineRule="exact"/>
        <w:rPr>
          <w:rFonts w:ascii="黑体" w:hAnsi="黑体" w:eastAsia="黑体"/>
          <w:color w:val="auto"/>
          <w:sz w:val="24"/>
          <w:highlight w:val="none"/>
        </w:rPr>
      </w:pPr>
      <w:bookmarkStart w:id="132" w:name="_26.组建评标委员会"/>
      <w:bookmarkEnd w:id="132"/>
      <w:r>
        <w:rPr>
          <w:rFonts w:hint="eastAsia" w:ascii="黑体" w:hAnsi="黑体" w:eastAsia="黑体"/>
          <w:color w:val="auto"/>
          <w:sz w:val="24"/>
          <w:highlight w:val="none"/>
        </w:rPr>
        <w:t>26.组建评标委员会</w:t>
      </w:r>
    </w:p>
    <w:p w14:paraId="0482501A">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2D99F360">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75C58EC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6E527CD5">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27.评标的依据</w:t>
      </w:r>
    </w:p>
    <w:p w14:paraId="4645B7E0">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9A2D5D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28.评标原则</w:t>
      </w:r>
    </w:p>
    <w:p w14:paraId="58CB2E2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CAD522B">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28.2</w:t>
      </w:r>
      <w:bookmarkStart w:id="133" w:name="_28.3评标方法。本项目将按须知前附表规定的评标办法进行评标，具体评标"/>
      <w:bookmarkEnd w:id="133"/>
      <w:r>
        <w:rPr>
          <w:rFonts w:hint="eastAsia" w:hAnsi="宋体"/>
          <w:color w:val="auto"/>
          <w:sz w:val="21"/>
          <w:highlight w:val="none"/>
        </w:rPr>
        <w:t>评委表决。评标委员会成员对需要共同认定的事项存在争议的，应当按照少数服从多数的原则作出结论。</w:t>
      </w:r>
    </w:p>
    <w:p w14:paraId="2D525D0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E25600C">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30524CE0">
      <w:pPr>
        <w:pStyle w:val="6"/>
        <w:keepNext w:val="0"/>
        <w:keepLines w:val="0"/>
        <w:spacing w:before="0" w:after="0" w:line="420" w:lineRule="exact"/>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08A8E04A">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4093A453">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B455475">
      <w:pPr>
        <w:pStyle w:val="23"/>
        <w:snapToGrid w:val="0"/>
        <w:spacing w:line="420" w:lineRule="exact"/>
        <w:ind w:firstLine="398"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BCDD57F">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136A200D">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23C239E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7F9E0A67">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3E790B65">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0CC4136D">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（5）其他无法保证电子交易的公平、公正和安全的情况。</w:t>
      </w:r>
    </w:p>
    <w:p w14:paraId="13FEC68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C626708">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29.5出现下列情形之一的，应予废标：</w:t>
      </w:r>
    </w:p>
    <w:p w14:paraId="66B7F0BD">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505CA83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（2）出现影响采购公正的违法、违规行为的；</w:t>
      </w:r>
    </w:p>
    <w:p w14:paraId="1A67846C">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（3）投标人的报价均超过了采购预算，采购人不能支付的；</w:t>
      </w:r>
    </w:p>
    <w:p w14:paraId="72BC8AF1">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（4）因重大变故，采购任务取消的。</w:t>
      </w:r>
    </w:p>
    <w:p w14:paraId="541B1F07">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废标后，采购人应当将废标理由通知所有投标人。</w:t>
      </w:r>
    </w:p>
    <w:p w14:paraId="7341D2D8">
      <w:pPr>
        <w:pStyle w:val="23"/>
        <w:snapToGrid w:val="0"/>
        <w:spacing w:line="420" w:lineRule="exact"/>
        <w:rPr>
          <w:rFonts w:hAnsi="宋体"/>
          <w:color w:val="auto"/>
          <w:sz w:val="21"/>
          <w:highlight w:val="none"/>
        </w:rPr>
      </w:pPr>
    </w:p>
    <w:p w14:paraId="1E281C75">
      <w:pPr>
        <w:pStyle w:val="4"/>
        <w:keepNext w:val="0"/>
        <w:keepLines w:val="0"/>
        <w:spacing w:before="0" w:after="0" w:line="420" w:lineRule="exact"/>
        <w:jc w:val="center"/>
        <w:rPr>
          <w:color w:val="auto"/>
          <w:highlight w:val="none"/>
        </w:rPr>
      </w:pPr>
      <w:bookmarkStart w:id="134" w:name="_Toc254970546"/>
      <w:bookmarkStart w:id="135" w:name="_Toc254970687"/>
      <w:r>
        <w:rPr>
          <w:rFonts w:hint="eastAsia"/>
          <w:color w:val="auto"/>
          <w:highlight w:val="none"/>
        </w:rPr>
        <w:t>七、</w:t>
      </w:r>
      <w:bookmarkEnd w:id="134"/>
      <w:bookmarkEnd w:id="135"/>
      <w:r>
        <w:rPr>
          <w:rFonts w:hint="eastAsia"/>
          <w:color w:val="auto"/>
          <w:highlight w:val="none"/>
        </w:rPr>
        <w:t>中标和合同</w:t>
      </w:r>
    </w:p>
    <w:p w14:paraId="3F1B861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30.确定中标人</w:t>
      </w:r>
    </w:p>
    <w:p w14:paraId="739F0BB0">
      <w:pPr>
        <w:pStyle w:val="6"/>
        <w:keepNext w:val="0"/>
        <w:keepLines w:val="0"/>
        <w:spacing w:before="0" w:after="0" w:line="420" w:lineRule="exact"/>
        <w:ind w:firstLine="398"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B5B4633">
      <w:pPr>
        <w:snapToGrid w:val="0"/>
        <w:spacing w:line="420" w:lineRule="exact"/>
        <w:ind w:firstLine="398"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6496C878">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31.结果公告</w:t>
      </w:r>
    </w:p>
    <w:p w14:paraId="2703A196">
      <w:pPr>
        <w:pStyle w:val="6"/>
        <w:keepNext w:val="0"/>
        <w:keepLines w:val="0"/>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6D5C5A0">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6E4E5F31">
      <w:pPr>
        <w:pStyle w:val="6"/>
        <w:keepNext w:val="0"/>
        <w:keepLines w:val="0"/>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2498FC1">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D5E46BF">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E8605FE">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33.无义务解释未中标原因</w:t>
      </w:r>
    </w:p>
    <w:p w14:paraId="6501ECC4">
      <w:pPr>
        <w:pStyle w:val="6"/>
        <w:keepNext w:val="0"/>
        <w:keepLines w:val="0"/>
        <w:spacing w:before="0" w:after="0" w:line="420" w:lineRule="exact"/>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14243E19">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5A4FF8F6">
      <w:pPr>
        <w:snapToGrid w:val="0"/>
        <w:spacing w:line="420" w:lineRule="exact"/>
        <w:ind w:firstLine="398"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42995EC4">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35.履约保证金</w:t>
      </w:r>
    </w:p>
    <w:p w14:paraId="4ED4D499">
      <w:pPr>
        <w:pStyle w:val="6"/>
        <w:keepNext w:val="0"/>
        <w:keepLines w:val="0"/>
        <w:spacing w:before="0" w:after="0" w:line="420" w:lineRule="exact"/>
        <w:ind w:firstLine="299" w:firstLineChars="150"/>
        <w:rPr>
          <w:rFonts w:ascii="宋体" w:hAnsi="宋体"/>
          <w:b w:val="0"/>
          <w:color w:val="auto"/>
          <w:sz w:val="21"/>
          <w:szCs w:val="21"/>
          <w:highlight w:val="none"/>
        </w:rPr>
      </w:pPr>
      <w:bookmarkStart w:id="136" w:name="_39.1中标人须于签订合同前按本须知前附表规定的金额转账或电汇到指定账"/>
      <w:bookmarkEnd w:id="136"/>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.1履约保证金的金额、提交方式、缴纳期限、退付的时间和条件详见 “投标人须知前附表”。中标人未按规定提交履约保证金的，视为拒绝与采购人签订合同。</w:t>
      </w:r>
    </w:p>
    <w:p w14:paraId="084B9476">
      <w:pPr>
        <w:pStyle w:val="6"/>
        <w:keepNext w:val="0"/>
        <w:keepLines w:val="0"/>
        <w:spacing w:before="0" w:after="0" w:line="420" w:lineRule="exact"/>
        <w:ind w:firstLine="299" w:firstLineChars="150"/>
        <w:rPr>
          <w:rFonts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26E5EA8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36.签订合同</w:t>
      </w:r>
    </w:p>
    <w:p w14:paraId="7A98AA24">
      <w:pPr>
        <w:pStyle w:val="6"/>
        <w:keepNext w:val="0"/>
        <w:keepLines w:val="0"/>
        <w:spacing w:before="0" w:after="0" w:line="420" w:lineRule="exact"/>
        <w:ind w:firstLine="299" w:firstLineChars="150"/>
        <w:rPr>
          <w:rFonts w:ascii="宋体" w:hAnsi="宋体"/>
          <w:b w:val="0"/>
          <w:color w:val="auto"/>
          <w:sz w:val="21"/>
          <w:szCs w:val="21"/>
          <w:highlight w:val="none"/>
        </w:rPr>
      </w:pPr>
      <w:bookmarkStart w:id="137" w:name="_40.1投标人接到中标通知书后，按须知前附表规定向采购人出示相关资格证"/>
      <w:bookmarkEnd w:id="137"/>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56D95A19">
      <w:pPr>
        <w:pStyle w:val="6"/>
        <w:keepNext w:val="0"/>
        <w:keepLines w:val="0"/>
        <w:spacing w:before="0" w:after="0" w:line="420" w:lineRule="exact"/>
        <w:ind w:firstLine="299" w:firstLineChars="150"/>
        <w:rPr>
          <w:rFonts w:ascii="宋体" w:hAnsi="宋体"/>
          <w:b w:val="0"/>
          <w:color w:val="auto"/>
          <w:sz w:val="21"/>
          <w:szCs w:val="21"/>
          <w:highlight w:val="none"/>
        </w:rPr>
      </w:pPr>
      <w:r>
        <w:rPr>
          <w:rFonts w:hint="eastAsia" w:ascii="宋体" w:hAnsi="宋体"/>
          <w:b w:val="0"/>
          <w:color w:val="auto"/>
          <w:sz w:val="21"/>
          <w:szCs w:val="21"/>
          <w:highlight w:val="none"/>
        </w:rPr>
        <w:t>线下签订纸质合同：投标人领取中标通知书后，按“投标人须知前附表”规定向采购人出示相关证明材料，经采购人核验合格后方可签订合同。</w:t>
      </w:r>
    </w:p>
    <w:p w14:paraId="3FB6E9AD">
      <w:pPr>
        <w:pStyle w:val="6"/>
        <w:keepNext w:val="0"/>
        <w:keepLines w:val="0"/>
        <w:numPr>
          <w:ilvl w:val="0"/>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56F6A1EE">
      <w:pPr>
        <w:pStyle w:val="6"/>
        <w:keepNext w:val="0"/>
        <w:keepLines w:val="0"/>
        <w:numPr>
          <w:ilvl w:val="0"/>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124C885">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C4A265E">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8F8D332">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8BD3ABF">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6842A16">
      <w:pPr>
        <w:pStyle w:val="6"/>
        <w:keepNext w:val="0"/>
        <w:keepLines w:val="0"/>
        <w:spacing w:before="0" w:after="0" w:line="420" w:lineRule="exact"/>
        <w:rPr>
          <w:rFonts w:ascii="黑体" w:hAnsi="黑体" w:eastAsia="黑体"/>
          <w:color w:val="auto"/>
          <w:sz w:val="24"/>
          <w:highlight w:val="none"/>
        </w:rPr>
      </w:pPr>
      <w:bookmarkStart w:id="138" w:name="_41.政府采购合同公告"/>
      <w:bookmarkEnd w:id="138"/>
      <w:r>
        <w:rPr>
          <w:rFonts w:hint="eastAsia" w:ascii="黑体" w:hAnsi="黑体" w:eastAsia="黑体"/>
          <w:color w:val="auto"/>
          <w:sz w:val="24"/>
          <w:highlight w:val="none"/>
        </w:rPr>
        <w:t>37.政府采购合同公告</w:t>
      </w:r>
    </w:p>
    <w:p w14:paraId="2B34B654">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7DF92977">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0AC9234A">
      <w:pPr>
        <w:pStyle w:val="7"/>
        <w:spacing w:line="420" w:lineRule="exact"/>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E79D9BD">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9B54A8B">
      <w:pPr>
        <w:pStyle w:val="23"/>
        <w:snapToGrid w:val="0"/>
        <w:spacing w:line="420" w:lineRule="exact"/>
        <w:ind w:firstLine="398"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0F3BD26">
      <w:pPr>
        <w:pStyle w:val="23"/>
        <w:snapToGrid w:val="0"/>
        <w:spacing w:line="420" w:lineRule="exact"/>
        <w:ind w:firstLine="398"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8035157">
      <w:pPr>
        <w:pStyle w:val="23"/>
        <w:snapToGrid w:val="0"/>
        <w:spacing w:line="420" w:lineRule="exact"/>
        <w:ind w:firstLine="398"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35D112D9">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bookmarkStart w:id="139" w:name="_9.2质疑、投诉应当采用书面形式，质疑函、投诉书均应明确阐述招标文件、"/>
      <w:bookmarkEnd w:id="139"/>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90856C8">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158B2E66">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A1AA937">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4A779817">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5AC763FB">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36D0CDC">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2346C08D">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56C3BFF">
      <w:pPr>
        <w:pStyle w:val="6"/>
        <w:keepNext w:val="0"/>
        <w:keepLines w:val="0"/>
        <w:snapToGrid w:val="0"/>
        <w:spacing w:before="0" w:after="0" w:line="420" w:lineRule="exact"/>
        <w:ind w:firstLine="398"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FE1FECB">
      <w:pPr>
        <w:pStyle w:val="23"/>
        <w:snapToGrid w:val="0"/>
        <w:spacing w:line="420" w:lineRule="exact"/>
        <w:ind w:firstLine="398" w:firstLineChars="200"/>
        <w:rPr>
          <w:rFonts w:hAnsi="宋体"/>
          <w:bCs/>
          <w:color w:val="auto"/>
          <w:sz w:val="21"/>
          <w:highlight w:val="none"/>
        </w:rPr>
      </w:pPr>
      <w:r>
        <w:rPr>
          <w:rFonts w:hint="eastAsia" w:hAnsi="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5D6B0042">
      <w:pPr>
        <w:pStyle w:val="23"/>
        <w:snapToGrid w:val="0"/>
        <w:spacing w:line="420" w:lineRule="exact"/>
        <w:ind w:firstLine="398" w:firstLineChars="200"/>
        <w:rPr>
          <w:rFonts w:hAnsi="宋体"/>
          <w:bCs/>
          <w:color w:val="auto"/>
          <w:sz w:val="21"/>
          <w:highlight w:val="none"/>
        </w:rPr>
      </w:pPr>
      <w:r>
        <w:rPr>
          <w:rFonts w:hint="eastAsia" w:hAnsi="宋体"/>
          <w:bCs/>
          <w:color w:val="auto"/>
          <w:sz w:val="21"/>
          <w:highlight w:val="none"/>
        </w:rPr>
        <w:t>（二）对采购过程、中标结果提出的质疑，合格供应商符合法定数量时，可以从合格的中标候选人中另行确定中标供应商的，应当依法另行确定中标供应商；否则应当重新开展采购活动。</w:t>
      </w:r>
    </w:p>
    <w:p w14:paraId="1A855173">
      <w:pPr>
        <w:pStyle w:val="23"/>
        <w:snapToGrid w:val="0"/>
        <w:spacing w:line="420" w:lineRule="exact"/>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BC3456B">
      <w:pPr>
        <w:pStyle w:val="23"/>
        <w:snapToGrid w:val="0"/>
        <w:spacing w:line="420" w:lineRule="exact"/>
        <w:ind w:firstLine="398"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CA56478">
      <w:pPr>
        <w:pStyle w:val="4"/>
        <w:keepNext w:val="0"/>
        <w:keepLines w:val="0"/>
        <w:spacing w:before="0" w:after="0" w:line="420" w:lineRule="exact"/>
        <w:jc w:val="center"/>
        <w:rPr>
          <w:color w:val="auto"/>
          <w:highlight w:val="none"/>
        </w:rPr>
      </w:pPr>
      <w:bookmarkStart w:id="140" w:name="_八、其他事项"/>
      <w:bookmarkEnd w:id="140"/>
      <w:r>
        <w:rPr>
          <w:rFonts w:hint="eastAsia"/>
          <w:color w:val="auto"/>
          <w:highlight w:val="none"/>
        </w:rPr>
        <w:t>八、其他事项</w:t>
      </w:r>
    </w:p>
    <w:p w14:paraId="2A6D6C33">
      <w:pPr>
        <w:pStyle w:val="6"/>
        <w:keepNext w:val="0"/>
        <w:keepLines w:val="0"/>
        <w:spacing w:before="0" w:after="0" w:line="420" w:lineRule="exact"/>
        <w:rPr>
          <w:rFonts w:ascii="黑体" w:hAnsi="黑体" w:eastAsia="黑体"/>
          <w:color w:val="auto"/>
          <w:sz w:val="24"/>
          <w:highlight w:val="none"/>
        </w:rPr>
      </w:pPr>
      <w:bookmarkStart w:id="141" w:name="_42.代理服务费"/>
      <w:bookmarkEnd w:id="141"/>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5DB98AF9">
      <w:pPr>
        <w:pStyle w:val="6"/>
        <w:keepNext w:val="0"/>
        <w:keepLines w:val="0"/>
        <w:spacing w:before="0" w:after="0" w:line="420" w:lineRule="exact"/>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488D1C2D">
      <w:pPr>
        <w:pStyle w:val="6"/>
        <w:keepNext w:val="0"/>
        <w:keepLines w:val="0"/>
        <w:spacing w:before="0" w:after="0" w:line="420" w:lineRule="exact"/>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57A3079C">
      <w:pPr>
        <w:spacing w:line="420" w:lineRule="exact"/>
        <w:rPr>
          <w:rFonts w:ascii="宋体" w:hAnsi="宋体"/>
          <w:color w:val="auto"/>
          <w:szCs w:val="21"/>
          <w:highlight w:val="none"/>
        </w:rPr>
      </w:pP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5A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AE0E2AC">
            <w:pPr>
              <w:spacing w:line="420" w:lineRule="exact"/>
              <w:rPr>
                <w:rFonts w:ascii="宋体" w:hAnsi="宋体"/>
                <w:color w:val="auto"/>
                <w:szCs w:val="21"/>
                <w:highlight w:val="none"/>
              </w:rPr>
            </w:pPr>
            <w:r>
              <w:rPr>
                <w:rFonts w:hint="eastAsia" w:ascii="宋体" w:hAnsi="宋体"/>
                <w:color w:val="auto"/>
                <w:szCs w:val="21"/>
                <w:highlight w:val="none"/>
              </w:rPr>
              <w:t xml:space="preserve">               费率</w:t>
            </w:r>
          </w:p>
          <w:p w14:paraId="133AD9AA">
            <w:pPr>
              <w:spacing w:line="420" w:lineRule="exact"/>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38A8FB93">
            <w:pPr>
              <w:spacing w:line="420" w:lineRule="exact"/>
              <w:ind w:firstLine="100"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58CC1EA9">
            <w:pPr>
              <w:spacing w:line="420" w:lineRule="exact"/>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105F7873">
            <w:pPr>
              <w:spacing w:line="420" w:lineRule="exact"/>
              <w:jc w:val="center"/>
              <w:rPr>
                <w:rFonts w:ascii="宋体" w:hAnsi="宋体"/>
                <w:color w:val="auto"/>
                <w:szCs w:val="21"/>
                <w:highlight w:val="none"/>
              </w:rPr>
            </w:pPr>
            <w:r>
              <w:rPr>
                <w:rFonts w:hint="eastAsia" w:ascii="宋体" w:hAnsi="宋体"/>
                <w:color w:val="auto"/>
                <w:szCs w:val="21"/>
                <w:highlight w:val="none"/>
              </w:rPr>
              <w:t>工程招标</w:t>
            </w:r>
          </w:p>
        </w:tc>
      </w:tr>
      <w:tr w14:paraId="23FF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0EA1DA">
            <w:pPr>
              <w:spacing w:line="420" w:lineRule="exact"/>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31047C98">
            <w:pPr>
              <w:spacing w:line="420" w:lineRule="exact"/>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66CAB42B">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174C73D2">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5EAA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7EA057">
            <w:pPr>
              <w:spacing w:line="420" w:lineRule="exact"/>
              <w:rPr>
                <w:rFonts w:ascii="宋体" w:hAnsi="宋体"/>
                <w:color w:val="auto"/>
                <w:szCs w:val="21"/>
                <w:highlight w:val="none"/>
              </w:rPr>
            </w:pPr>
            <w:r>
              <w:rPr>
                <w:rFonts w:hint="eastAsia" w:ascii="宋体" w:hAnsi="宋体"/>
                <w:color w:val="auto"/>
                <w:szCs w:val="21"/>
                <w:highlight w:val="none"/>
              </w:rPr>
              <w:t>100万元～500万元</w:t>
            </w:r>
          </w:p>
        </w:tc>
        <w:tc>
          <w:tcPr>
            <w:tcW w:w="1659" w:type="dxa"/>
          </w:tcPr>
          <w:p w14:paraId="74150758">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2954B882">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33E817A0">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55A0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4A0003">
            <w:pPr>
              <w:spacing w:line="420" w:lineRule="exact"/>
              <w:rPr>
                <w:rFonts w:ascii="宋体" w:hAnsi="宋体"/>
                <w:color w:val="auto"/>
                <w:szCs w:val="21"/>
                <w:highlight w:val="none"/>
              </w:rPr>
            </w:pPr>
            <w:r>
              <w:rPr>
                <w:rFonts w:hint="eastAsia" w:ascii="宋体" w:hAnsi="宋体"/>
                <w:color w:val="auto"/>
                <w:szCs w:val="21"/>
                <w:highlight w:val="none"/>
              </w:rPr>
              <w:t>500万元～1000万元</w:t>
            </w:r>
          </w:p>
        </w:tc>
        <w:tc>
          <w:tcPr>
            <w:tcW w:w="1659" w:type="dxa"/>
          </w:tcPr>
          <w:p w14:paraId="2A533588">
            <w:pPr>
              <w:spacing w:line="420" w:lineRule="exact"/>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2369E4A0">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0F2F938B">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0.55%</w:t>
            </w:r>
          </w:p>
        </w:tc>
      </w:tr>
      <w:tr w14:paraId="4807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7B2831">
            <w:pPr>
              <w:spacing w:line="420" w:lineRule="exact"/>
              <w:rPr>
                <w:rFonts w:ascii="宋体" w:hAnsi="宋体"/>
                <w:color w:val="auto"/>
                <w:szCs w:val="21"/>
                <w:highlight w:val="none"/>
              </w:rPr>
            </w:pPr>
            <w:r>
              <w:rPr>
                <w:rFonts w:hint="eastAsia" w:ascii="宋体" w:hAnsi="宋体"/>
                <w:color w:val="auto"/>
                <w:szCs w:val="21"/>
                <w:highlight w:val="none"/>
              </w:rPr>
              <w:t>1000万元～5000万元</w:t>
            </w:r>
          </w:p>
        </w:tc>
        <w:tc>
          <w:tcPr>
            <w:tcW w:w="1659" w:type="dxa"/>
          </w:tcPr>
          <w:p w14:paraId="3740A143">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1D9EBF23">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13969B3D">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12EA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92C673">
            <w:pPr>
              <w:spacing w:line="420" w:lineRule="exact"/>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2BC7E40D">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6B73AAC1">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4E479D2C">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0.2%</w:t>
            </w:r>
          </w:p>
        </w:tc>
      </w:tr>
      <w:tr w14:paraId="4586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BF805F">
            <w:pPr>
              <w:spacing w:line="420" w:lineRule="exact"/>
              <w:rPr>
                <w:rFonts w:ascii="宋体" w:hAnsi="宋体"/>
                <w:color w:val="auto"/>
                <w:szCs w:val="21"/>
                <w:highlight w:val="none"/>
              </w:rPr>
            </w:pPr>
            <w:r>
              <w:rPr>
                <w:rFonts w:hint="eastAsia" w:ascii="宋体" w:hAnsi="宋体"/>
                <w:color w:val="auto"/>
                <w:szCs w:val="21"/>
                <w:highlight w:val="none"/>
              </w:rPr>
              <w:t>1亿元～5亿元</w:t>
            </w:r>
          </w:p>
        </w:tc>
        <w:tc>
          <w:tcPr>
            <w:tcW w:w="1659" w:type="dxa"/>
          </w:tcPr>
          <w:p w14:paraId="140F1D9C">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44DB5CED">
            <w:pPr>
              <w:spacing w:line="420" w:lineRule="exact"/>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09B33BD6">
            <w:pPr>
              <w:spacing w:line="420" w:lineRule="exact"/>
              <w:rPr>
                <w:rFonts w:ascii="宋体" w:hAnsi="宋体"/>
                <w:color w:val="auto"/>
                <w:szCs w:val="21"/>
                <w:highlight w:val="none"/>
              </w:rPr>
            </w:pPr>
            <w:r>
              <w:rPr>
                <w:rFonts w:hint="eastAsia" w:ascii="宋体" w:hAnsi="宋体"/>
                <w:color w:val="auto"/>
                <w:szCs w:val="21"/>
                <w:highlight w:val="none"/>
              </w:rPr>
              <w:t xml:space="preserve">  0.05%</w:t>
            </w:r>
          </w:p>
        </w:tc>
      </w:tr>
      <w:tr w14:paraId="028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17BCA0">
            <w:pPr>
              <w:spacing w:line="420" w:lineRule="exact"/>
              <w:rPr>
                <w:rFonts w:ascii="宋体" w:hAnsi="宋体"/>
                <w:color w:val="auto"/>
                <w:szCs w:val="21"/>
                <w:highlight w:val="none"/>
              </w:rPr>
            </w:pPr>
            <w:r>
              <w:rPr>
                <w:rFonts w:hint="eastAsia" w:ascii="宋体" w:hAnsi="宋体"/>
                <w:color w:val="auto"/>
                <w:szCs w:val="21"/>
                <w:highlight w:val="none"/>
              </w:rPr>
              <w:t>5亿元～10亿元</w:t>
            </w:r>
          </w:p>
        </w:tc>
        <w:tc>
          <w:tcPr>
            <w:tcW w:w="1659" w:type="dxa"/>
          </w:tcPr>
          <w:p w14:paraId="737EBCA5">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1860238F">
            <w:pPr>
              <w:spacing w:line="420" w:lineRule="exact"/>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70772F33">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0.035%</w:t>
            </w:r>
          </w:p>
        </w:tc>
      </w:tr>
      <w:tr w14:paraId="1C6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995B2C">
            <w:pPr>
              <w:spacing w:line="420" w:lineRule="exact"/>
              <w:rPr>
                <w:rFonts w:ascii="宋体" w:hAnsi="宋体"/>
                <w:color w:val="auto"/>
                <w:szCs w:val="21"/>
                <w:highlight w:val="none"/>
              </w:rPr>
            </w:pPr>
            <w:r>
              <w:rPr>
                <w:rFonts w:hint="eastAsia" w:ascii="宋体" w:hAnsi="宋体"/>
                <w:color w:val="auto"/>
                <w:szCs w:val="21"/>
                <w:highlight w:val="none"/>
              </w:rPr>
              <w:t>10亿元～50亿元</w:t>
            </w:r>
          </w:p>
        </w:tc>
        <w:tc>
          <w:tcPr>
            <w:tcW w:w="1659" w:type="dxa"/>
          </w:tcPr>
          <w:p w14:paraId="41EE8090">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10C12F8F">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48D67394">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0.008%</w:t>
            </w:r>
          </w:p>
        </w:tc>
      </w:tr>
      <w:tr w14:paraId="6644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09A22B">
            <w:pPr>
              <w:spacing w:line="420" w:lineRule="exact"/>
              <w:rPr>
                <w:rFonts w:ascii="宋体" w:hAnsi="宋体"/>
                <w:color w:val="auto"/>
                <w:szCs w:val="21"/>
                <w:highlight w:val="none"/>
              </w:rPr>
            </w:pPr>
            <w:r>
              <w:rPr>
                <w:rFonts w:hint="eastAsia" w:ascii="宋体" w:hAnsi="宋体"/>
                <w:color w:val="auto"/>
                <w:szCs w:val="21"/>
                <w:highlight w:val="none"/>
              </w:rPr>
              <w:t>50亿元～100亿元</w:t>
            </w:r>
          </w:p>
        </w:tc>
        <w:tc>
          <w:tcPr>
            <w:tcW w:w="1659" w:type="dxa"/>
          </w:tcPr>
          <w:p w14:paraId="2110E00D">
            <w:pPr>
              <w:spacing w:line="420" w:lineRule="exact"/>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11ED08E">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63F2F2A5">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0.006%</w:t>
            </w:r>
          </w:p>
        </w:tc>
      </w:tr>
      <w:tr w14:paraId="42C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9759A7">
            <w:pPr>
              <w:spacing w:line="420" w:lineRule="exact"/>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10E812A6">
            <w:pPr>
              <w:spacing w:line="420" w:lineRule="exact"/>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4508B06F">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50953AA0">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0.004%</w:t>
            </w:r>
          </w:p>
        </w:tc>
      </w:tr>
    </w:tbl>
    <w:p w14:paraId="457CCD35">
      <w:pPr>
        <w:spacing w:line="420" w:lineRule="exact"/>
        <w:ind w:firstLine="398"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213ABC18">
      <w:pPr>
        <w:spacing w:line="420" w:lineRule="exact"/>
        <w:ind w:firstLine="398"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C3E7E1A">
      <w:pPr>
        <w:spacing w:line="420" w:lineRule="exact"/>
        <w:ind w:firstLine="398"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0D8969D">
      <w:pPr>
        <w:spacing w:line="420" w:lineRule="exact"/>
        <w:ind w:firstLine="398"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32D90A16">
      <w:pPr>
        <w:spacing w:line="420" w:lineRule="exact"/>
        <w:ind w:firstLine="398"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47128C1F">
      <w:pPr>
        <w:spacing w:line="420" w:lineRule="exact"/>
        <w:ind w:firstLine="398"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1FDD735D">
      <w:pPr>
        <w:pStyle w:val="23"/>
        <w:snapToGrid w:val="0"/>
        <w:spacing w:line="420" w:lineRule="exact"/>
        <w:ind w:firstLine="398"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1B4DF63C">
      <w:pPr>
        <w:pStyle w:val="6"/>
        <w:keepNext w:val="0"/>
        <w:keepLines w:val="0"/>
        <w:spacing w:before="0" w:after="0" w:line="420" w:lineRule="exact"/>
        <w:rPr>
          <w:rFonts w:ascii="黑体" w:hAnsi="黑体" w:eastAsia="黑体"/>
          <w:color w:val="auto"/>
          <w:sz w:val="24"/>
          <w:highlight w:val="none"/>
        </w:rPr>
      </w:pPr>
      <w:r>
        <w:rPr>
          <w:rFonts w:ascii="黑体" w:hAnsi="黑体" w:eastAsia="黑体"/>
          <w:color w:val="auto"/>
          <w:sz w:val="24"/>
          <w:highlight w:val="none"/>
        </w:rPr>
        <w:t>40.需要补充的其他内容</w:t>
      </w:r>
    </w:p>
    <w:p w14:paraId="68D7B4ED">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59FA8BE5">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40.2其他事项详见“投标人须知前附表”。</w:t>
      </w:r>
    </w:p>
    <w:p w14:paraId="03637797">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E368BF6">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3EE13DF">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851B39E">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6F3EFAD">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0FDFC18">
      <w:pPr>
        <w:pStyle w:val="23"/>
        <w:spacing w:line="420" w:lineRule="exact"/>
        <w:ind w:firstLine="398" w:firstLineChars="200"/>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p>
    <w:p w14:paraId="104D80CD">
      <w:pPr>
        <w:pStyle w:val="23"/>
        <w:snapToGrid w:val="0"/>
        <w:spacing w:before="120" w:after="120"/>
        <w:rPr>
          <w:rFonts w:hAnsi="宋体"/>
          <w:color w:val="auto"/>
          <w:highlight w:val="none"/>
        </w:rPr>
      </w:pPr>
    </w:p>
    <w:p w14:paraId="045E13A1">
      <w:pPr>
        <w:pStyle w:val="23"/>
        <w:snapToGrid w:val="0"/>
        <w:spacing w:before="120" w:after="120"/>
        <w:rPr>
          <w:rFonts w:hAnsi="宋体"/>
          <w:color w:val="auto"/>
          <w:highlight w:val="none"/>
        </w:rPr>
      </w:pPr>
    </w:p>
    <w:p w14:paraId="10242678">
      <w:pPr>
        <w:pStyle w:val="23"/>
        <w:snapToGrid w:val="0"/>
        <w:spacing w:before="120" w:after="120"/>
        <w:rPr>
          <w:rFonts w:hAnsi="宋体"/>
          <w:color w:val="auto"/>
          <w:highlight w:val="none"/>
        </w:rPr>
      </w:pPr>
    </w:p>
    <w:p w14:paraId="2D16B4AD">
      <w:pPr>
        <w:pStyle w:val="23"/>
        <w:snapToGrid w:val="0"/>
        <w:spacing w:before="120" w:after="120"/>
        <w:rPr>
          <w:rFonts w:hAnsi="宋体"/>
          <w:color w:val="auto"/>
          <w:highlight w:val="none"/>
        </w:rPr>
      </w:pPr>
    </w:p>
    <w:p w14:paraId="34B8445F">
      <w:pPr>
        <w:pStyle w:val="23"/>
        <w:snapToGrid w:val="0"/>
        <w:spacing w:before="120" w:after="120"/>
        <w:rPr>
          <w:rFonts w:hAnsi="宋体"/>
          <w:color w:val="auto"/>
          <w:highlight w:val="none"/>
        </w:rPr>
      </w:pPr>
    </w:p>
    <w:p w14:paraId="070C2E11">
      <w:pPr>
        <w:pStyle w:val="23"/>
        <w:snapToGrid w:val="0"/>
        <w:spacing w:before="120" w:after="120"/>
        <w:rPr>
          <w:rFonts w:hAnsi="宋体"/>
          <w:color w:val="auto"/>
          <w:highlight w:val="none"/>
        </w:rPr>
      </w:pPr>
    </w:p>
    <w:p w14:paraId="4C86ABA0">
      <w:pPr>
        <w:pStyle w:val="23"/>
        <w:snapToGrid w:val="0"/>
        <w:spacing w:before="120" w:after="120"/>
        <w:rPr>
          <w:rFonts w:hAnsi="宋体"/>
          <w:color w:val="auto"/>
          <w:highlight w:val="none"/>
        </w:rPr>
      </w:pPr>
    </w:p>
    <w:p w14:paraId="14172EE3">
      <w:pPr>
        <w:pStyle w:val="23"/>
        <w:snapToGrid w:val="0"/>
        <w:spacing w:before="120" w:after="120"/>
        <w:rPr>
          <w:rFonts w:hAnsi="宋体"/>
          <w:color w:val="auto"/>
          <w:highlight w:val="none"/>
        </w:rPr>
      </w:pPr>
    </w:p>
    <w:p w14:paraId="7C3D6143">
      <w:pPr>
        <w:pStyle w:val="23"/>
        <w:snapToGrid w:val="0"/>
        <w:spacing w:before="120" w:after="120"/>
        <w:rPr>
          <w:rFonts w:hAnsi="宋体"/>
          <w:color w:val="auto"/>
          <w:highlight w:val="none"/>
        </w:rPr>
      </w:pPr>
    </w:p>
    <w:p w14:paraId="1C59B591">
      <w:pPr>
        <w:pStyle w:val="23"/>
        <w:snapToGrid w:val="0"/>
        <w:spacing w:before="120" w:after="120"/>
        <w:rPr>
          <w:rFonts w:hAnsi="宋体"/>
          <w:color w:val="auto"/>
          <w:highlight w:val="none"/>
        </w:rPr>
      </w:pPr>
    </w:p>
    <w:p w14:paraId="7A869E07">
      <w:pPr>
        <w:pStyle w:val="23"/>
        <w:snapToGrid w:val="0"/>
        <w:spacing w:before="120" w:after="120"/>
        <w:rPr>
          <w:rFonts w:hAnsi="宋体"/>
          <w:color w:val="auto"/>
          <w:highlight w:val="none"/>
        </w:rPr>
      </w:pPr>
    </w:p>
    <w:p w14:paraId="7ECA0C13">
      <w:pPr>
        <w:pStyle w:val="23"/>
        <w:snapToGrid w:val="0"/>
        <w:spacing w:before="120" w:after="120"/>
        <w:rPr>
          <w:rFonts w:hAnsi="宋体"/>
          <w:color w:val="auto"/>
          <w:highlight w:val="none"/>
        </w:rPr>
      </w:pPr>
    </w:p>
    <w:p w14:paraId="15E80EAD">
      <w:pPr>
        <w:pStyle w:val="23"/>
        <w:snapToGrid w:val="0"/>
        <w:spacing w:before="120" w:after="120"/>
        <w:rPr>
          <w:rFonts w:hAnsi="宋体"/>
          <w:color w:val="auto"/>
          <w:highlight w:val="none"/>
        </w:rPr>
      </w:pPr>
    </w:p>
    <w:p w14:paraId="2E8B92E6">
      <w:pPr>
        <w:pStyle w:val="2"/>
        <w:jc w:val="center"/>
        <w:rPr>
          <w:color w:val="auto"/>
          <w:highlight w:val="none"/>
        </w:rPr>
      </w:pPr>
      <w:bookmarkStart w:id="142" w:name="_Toc330456896"/>
      <w:bookmarkStart w:id="143" w:name="_Toc254970548"/>
      <w:bookmarkStart w:id="144" w:name="_Toc254970689"/>
      <w:bookmarkStart w:id="145" w:name="_Toc15687"/>
      <w:r>
        <w:rPr>
          <w:rFonts w:hint="eastAsia"/>
          <w:color w:val="auto"/>
          <w:highlight w:val="none"/>
        </w:rPr>
        <w:t>第四章  评标方法及评标标准</w:t>
      </w:r>
      <w:bookmarkEnd w:id="142"/>
      <w:bookmarkEnd w:id="143"/>
      <w:bookmarkEnd w:id="144"/>
      <w:bookmarkEnd w:id="145"/>
    </w:p>
    <w:p w14:paraId="7460D1D2">
      <w:pPr>
        <w:rPr>
          <w:color w:val="auto"/>
          <w:highlight w:val="none"/>
        </w:rPr>
      </w:pPr>
      <w:bookmarkStart w:id="146" w:name="_Toc254970549"/>
      <w:bookmarkStart w:id="147" w:name="_Toc254970690"/>
    </w:p>
    <w:bookmarkEnd w:id="146"/>
    <w:bookmarkEnd w:id="147"/>
    <w:p w14:paraId="529985CA">
      <w:pPr>
        <w:rPr>
          <w:color w:val="auto"/>
          <w:highlight w:val="none"/>
        </w:rPr>
      </w:pPr>
    </w:p>
    <w:p w14:paraId="4C002A97">
      <w:pPr>
        <w:pStyle w:val="23"/>
        <w:spacing w:line="360" w:lineRule="exact"/>
        <w:rPr>
          <w:rFonts w:hAnsi="宋体"/>
          <w:b/>
          <w:color w:val="auto"/>
          <w:sz w:val="24"/>
          <w:highlight w:val="none"/>
        </w:rPr>
      </w:pPr>
    </w:p>
    <w:p w14:paraId="2601AAB1">
      <w:pPr>
        <w:pStyle w:val="23"/>
        <w:spacing w:line="360" w:lineRule="exact"/>
        <w:rPr>
          <w:rFonts w:hAnsi="宋体"/>
          <w:bCs/>
          <w:color w:val="auto"/>
          <w:highlight w:val="none"/>
        </w:rPr>
      </w:pPr>
    </w:p>
    <w:p w14:paraId="18A4D601">
      <w:pPr>
        <w:pStyle w:val="3"/>
        <w:keepNext w:val="0"/>
        <w:keepLines w:val="0"/>
        <w:jc w:val="center"/>
        <w:rPr>
          <w:color w:val="auto"/>
          <w:highlight w:val="none"/>
        </w:rPr>
      </w:pPr>
      <w:r>
        <w:rPr>
          <w:rFonts w:hint="eastAsia"/>
          <w:color w:val="auto"/>
          <w:highlight w:val="none"/>
        </w:rPr>
        <w:br w:type="page"/>
      </w:r>
      <w:r>
        <w:rPr>
          <w:rFonts w:hint="eastAsia"/>
          <w:color w:val="auto"/>
          <w:highlight w:val="none"/>
        </w:rPr>
        <w:t>一、评标方法</w:t>
      </w:r>
    </w:p>
    <w:p w14:paraId="13A08C85">
      <w:pPr>
        <w:pStyle w:val="23"/>
        <w:spacing w:line="420" w:lineRule="exact"/>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2F3DABA4">
      <w:pPr>
        <w:pStyle w:val="3"/>
        <w:keepNext w:val="0"/>
        <w:keepLines w:val="0"/>
        <w:jc w:val="center"/>
        <w:rPr>
          <w:color w:val="auto"/>
          <w:highlight w:val="none"/>
        </w:rPr>
      </w:pPr>
      <w:r>
        <w:rPr>
          <w:rFonts w:hint="eastAsia"/>
          <w:color w:val="auto"/>
          <w:highlight w:val="none"/>
        </w:rPr>
        <w:t>二、评标程序</w:t>
      </w:r>
    </w:p>
    <w:p w14:paraId="7B0A8D71">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3F5CF1D4">
      <w:pPr>
        <w:pStyle w:val="23"/>
        <w:snapToGrid w:val="0"/>
        <w:spacing w:line="420" w:lineRule="exact"/>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18F155B">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C60137F">
      <w:p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00809B51">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165F8672">
      <w:pPr>
        <w:pStyle w:val="7"/>
        <w:numPr>
          <w:ilvl w:val="0"/>
          <w:numId w:val="4"/>
        </w:numPr>
        <w:spacing w:line="420" w:lineRule="exact"/>
        <w:ind w:firstLine="374" w:firstLineChars="200"/>
        <w:rPr>
          <w:rFonts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1BB72D3A">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9309137">
      <w:pPr>
        <w:pStyle w:val="7"/>
        <w:numPr>
          <w:ilvl w:val="0"/>
          <w:numId w:val="4"/>
        </w:numPr>
        <w:spacing w:line="420" w:lineRule="exact"/>
        <w:ind w:left="-2" w:firstLine="422"/>
        <w:rPr>
          <w:rFonts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73542019">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95EC88C">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修正后的报价，投标人不确认的；</w:t>
      </w:r>
    </w:p>
    <w:p w14:paraId="16DCE5E2">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F870C08">
      <w:pPr>
        <w:pStyle w:val="7"/>
        <w:numPr>
          <w:ilvl w:val="0"/>
          <w:numId w:val="4"/>
        </w:numPr>
        <w:spacing w:line="420" w:lineRule="exact"/>
        <w:ind w:firstLine="374" w:firstLineChars="200"/>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2986EE7">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78803B26">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3A540EC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637D82F3">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01BAC6CF">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9A5526C">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0749450">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7D2B67B">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DBBC9B9">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AB7BD86">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B4DCBF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121BB08">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35DFB6DE">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37508E80">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00BDCAC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1DCEF8C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D7F5D54">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32A9B1A">
      <w:pPr>
        <w:spacing w:line="420" w:lineRule="exact"/>
        <w:ind w:firstLine="398"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4B3D817">
      <w:pPr>
        <w:spacing w:line="420" w:lineRule="exact"/>
        <w:ind w:firstLine="398"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97D7C60">
      <w:pPr>
        <w:spacing w:line="420" w:lineRule="exact"/>
        <w:ind w:firstLine="398"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0E7BEC2E">
      <w:pPr>
        <w:pStyle w:val="4"/>
        <w:keepNext w:val="0"/>
        <w:keepLines w:val="0"/>
        <w:spacing w:before="0" w:after="0" w:line="420" w:lineRule="exact"/>
        <w:ind w:left="398"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60BB0931">
      <w:pPr>
        <w:pStyle w:val="4"/>
        <w:keepNext w:val="0"/>
        <w:keepLines w:val="0"/>
        <w:spacing w:before="0" w:after="0" w:line="420" w:lineRule="exact"/>
        <w:ind w:left="398"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.1投标文件报价出现前后不一致的，按照下列规定修正：</w:t>
      </w:r>
    </w:p>
    <w:p w14:paraId="21FD59B3">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5489B181">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4C247C2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5AEBFEA">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D9BCCEC">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66C1B2D4">
      <w:pPr>
        <w:pStyle w:val="23"/>
        <w:snapToGrid w:val="0"/>
        <w:spacing w:line="420" w:lineRule="exact"/>
        <w:ind w:firstLine="398" w:firstLineChars="200"/>
        <w:rPr>
          <w:rFonts w:hAnsi="宋体"/>
          <w:color w:val="auto"/>
          <w:sz w:val="21"/>
          <w:highlight w:val="none"/>
        </w:rPr>
      </w:pPr>
      <w:r>
        <w:rPr>
          <w:rFonts w:hAnsi="宋体"/>
          <w:color w:val="auto"/>
          <w:sz w:val="21"/>
          <w:highlight w:val="none"/>
        </w:rPr>
        <w:t>4</w:t>
      </w:r>
      <w:r>
        <w:rPr>
          <w:rFonts w:hint="eastAsia" w:hAnsi="宋体"/>
          <w:color w:val="auto"/>
          <w:sz w:val="21"/>
          <w:highlight w:val="none"/>
        </w:rPr>
        <w:t>.2经投标人确认修正后的报价若超过采购预算金额或者最高限价，投标人的投标文件作无效投标处理。</w:t>
      </w:r>
    </w:p>
    <w:p w14:paraId="5ED88465">
      <w:pPr>
        <w:snapToGrid w:val="0"/>
        <w:spacing w:line="420" w:lineRule="exact"/>
        <w:ind w:firstLine="398"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0FF6123">
      <w:pPr>
        <w:pStyle w:val="4"/>
        <w:keepNext w:val="0"/>
        <w:keepLines w:val="0"/>
        <w:spacing w:before="0" w:after="0" w:line="420" w:lineRule="exact"/>
        <w:ind w:left="398"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2320050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5.1采用综合评分法的</w:t>
      </w:r>
    </w:p>
    <w:p w14:paraId="0B5EE2FA">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1E2AC6B">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0002CC89">
      <w:pPr>
        <w:snapToGrid w:val="0"/>
        <w:spacing w:line="420" w:lineRule="exact"/>
        <w:ind w:firstLine="398" w:firstLineChars="200"/>
        <w:rPr>
          <w:rFonts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投标人不能证明其报价合理性的，评标委员会应当将其作为无效投标处理。</w:t>
      </w:r>
    </w:p>
    <w:p w14:paraId="420D6BE5">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8259C9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2F5300E7">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4C9F3B2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301B0E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最低评标报法</w:t>
      </w:r>
      <w:r>
        <w:rPr>
          <w:rFonts w:hint="eastAsia" w:ascii="宋体" w:hAnsi="宋体"/>
          <w:color w:val="auto"/>
          <w:szCs w:val="21"/>
          <w:highlight w:val="none"/>
        </w:rPr>
        <w:t>的</w:t>
      </w:r>
    </w:p>
    <w:p w14:paraId="1445DD95">
      <w:pPr>
        <w:snapToGrid w:val="0"/>
        <w:spacing w:line="420" w:lineRule="exact"/>
        <w:ind w:firstLine="402"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2DCC5CFB">
      <w:pPr>
        <w:snapToGrid w:val="0"/>
        <w:spacing w:line="420" w:lineRule="exact"/>
        <w:ind w:firstLine="402" w:firstLineChars="202"/>
        <w:jc w:val="left"/>
        <w:rPr>
          <w:rFonts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2F56EF36">
      <w:pPr>
        <w:snapToGrid w:val="0"/>
        <w:spacing w:line="420" w:lineRule="exact"/>
        <w:ind w:firstLine="402"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37F72B9C">
      <w:pPr>
        <w:snapToGrid w:val="0"/>
        <w:spacing w:line="420" w:lineRule="exact"/>
        <w:ind w:firstLine="402"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12AA4B65">
      <w:pPr>
        <w:pStyle w:val="17"/>
        <w:ind w:firstLine="199" w:firstLineChars="100"/>
        <w:rPr>
          <w:rFonts w:ascii="宋体" w:hAnsi="宋体"/>
          <w:color w:val="auto"/>
          <w:kern w:val="2"/>
          <w:sz w:val="21"/>
          <w:szCs w:val="21"/>
          <w:highlight w:val="none"/>
        </w:rPr>
      </w:pPr>
      <w:r>
        <w:rPr>
          <w:rFonts w:hint="eastAsia" w:ascii="宋体" w:hAnsi="宋体"/>
          <w:b/>
          <w:bCs/>
          <w:color w:val="auto"/>
          <w:kern w:val="2"/>
          <w:sz w:val="21"/>
          <w:szCs w:val="21"/>
          <w:highlight w:val="none"/>
        </w:rPr>
        <w:t>6.异常低价审查</w:t>
      </w:r>
    </w:p>
    <w:p w14:paraId="6C73C2E5">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根据《关于推动解决政府采购异常低价问题的通知》（财库〔2026〕2号）规定，政府采购评审中出现下列情形之一的，评审委员会应当启动异常低价投标（响应）审查程序：</w:t>
      </w:r>
    </w:p>
    <w:p w14:paraId="75FACBA4">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（1）投标（响应）报价低于全部通过符合性审查供应商投标（响应）报价平均值50%的，即投标（响应）报价&lt;全部通过符合性审查供应商投标（响应）报价平均值×50%；</w:t>
      </w:r>
    </w:p>
    <w:p w14:paraId="75FA8B20">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（2）投标（响应）报价低于通过符合性审查的次低报价供应商投标（响应）报价50%的，即投标（响应）报价&lt;通过符合性审查的次低报价供应商投标（响应）报价×50%；</w:t>
      </w:r>
    </w:p>
    <w:p w14:paraId="139DBD18">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（3）投标（响应）报价低于采购项目最高限价45%的，即投标（响应）报价&lt;采购项目最高限价×45%；</w:t>
      </w:r>
    </w:p>
    <w:p w14:paraId="7B91FEB0">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（4）评审委员会基于专业判断，认为供应商报价过低，有可能影响产品质量或者不能诚信履约的其他情形。</w:t>
      </w:r>
    </w:p>
    <w:p w14:paraId="15A285B0">
      <w:pPr>
        <w:pStyle w:val="17"/>
        <w:ind w:firstLine="398" w:firstLineChars="200"/>
        <w:rPr>
          <w:rFonts w:ascii="宋体" w:hAnsi="宋体"/>
          <w:color w:val="auto"/>
          <w:kern w:val="2"/>
          <w:sz w:val="21"/>
          <w:szCs w:val="21"/>
          <w:highlight w:val="none"/>
        </w:rPr>
      </w:pPr>
      <w:r>
        <w:rPr>
          <w:rFonts w:hint="eastAsia" w:ascii="宋体" w:hAnsi="宋体"/>
          <w:color w:val="auto"/>
          <w:kern w:val="2"/>
          <w:sz w:val="21"/>
          <w:szCs w:val="21"/>
          <w:highlight w:val="none"/>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53EC90EC">
      <w:pPr>
        <w:pStyle w:val="17"/>
        <w:ind w:firstLine="398" w:firstLineChars="200"/>
        <w:rPr>
          <w:rFonts w:ascii="宋体" w:hAnsi="宋体"/>
          <w:color w:val="auto"/>
          <w:kern w:val="2"/>
          <w:sz w:val="21"/>
          <w:szCs w:val="21"/>
          <w:highlight w:val="none"/>
        </w:rPr>
      </w:pPr>
      <w:r>
        <w:rPr>
          <w:rFonts w:hint="eastAsia" w:ascii="宋体" w:hAnsi="宋体"/>
          <w:color w:val="auto"/>
          <w:kern w:val="2"/>
          <w:sz w:val="21"/>
          <w:szCs w:val="21"/>
          <w:highlight w:val="none"/>
        </w:rPr>
        <w:t>投标（响应）供应商不能提供书面说明、证明材料，或者提供的书面说明、证明材料不能证明其报价合理性的，评审委员会应当将其作为无效投标（响应）处理。</w:t>
      </w:r>
    </w:p>
    <w:p w14:paraId="5D1FFDBD">
      <w:pPr>
        <w:pStyle w:val="17"/>
        <w:ind w:firstLine="398" w:firstLineChars="200"/>
        <w:rPr>
          <w:rFonts w:ascii="宋体" w:hAnsi="宋体"/>
          <w:color w:val="auto"/>
          <w:kern w:val="2"/>
          <w:sz w:val="21"/>
          <w:szCs w:val="21"/>
          <w:highlight w:val="none"/>
        </w:rPr>
      </w:pPr>
      <w:r>
        <w:rPr>
          <w:rFonts w:hint="eastAsia" w:ascii="宋体" w:hAnsi="宋体"/>
          <w:color w:val="auto"/>
          <w:kern w:val="2"/>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716B34B1">
      <w:pPr>
        <w:pStyle w:val="17"/>
        <w:ind w:firstLine="398" w:firstLineChars="200"/>
        <w:rPr>
          <w:color w:val="auto"/>
          <w:highlight w:val="none"/>
        </w:rPr>
      </w:pPr>
      <w:r>
        <w:rPr>
          <w:rFonts w:hint="eastAsia" w:ascii="宋体" w:hAnsi="宋体"/>
          <w:color w:val="auto"/>
          <w:kern w:val="2"/>
          <w:sz w:val="21"/>
          <w:szCs w:val="21"/>
          <w:highlight w:val="none"/>
        </w:rPr>
        <w:t>为避免因未能及时提供说明而导致被评审委员会作为无效投标（响应）情形，供应商可提前准备或随投标（响应）文件一并提交相关书面说明及必要的证明材料。</w:t>
      </w:r>
    </w:p>
    <w:p w14:paraId="3D059A69">
      <w:pPr>
        <w:snapToGrid w:val="0"/>
        <w:spacing w:line="360" w:lineRule="auto"/>
        <w:ind w:firstLine="402" w:firstLineChars="202"/>
        <w:jc w:val="center"/>
        <w:outlineLvl w:val="1"/>
        <w:rPr>
          <w:color w:val="auto"/>
          <w:highlight w:val="none"/>
        </w:rPr>
      </w:pPr>
      <w:r>
        <w:rPr>
          <w:rFonts w:hAnsi="宋体"/>
          <w:color w:val="auto"/>
          <w:highlight w:val="none"/>
        </w:rPr>
        <w:br w:type="page"/>
      </w:r>
      <w:bookmarkStart w:id="148"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6BB8EF58">
      <w:pPr>
        <w:pStyle w:val="4"/>
        <w:keepNext w:val="0"/>
        <w:keepLines w:val="0"/>
        <w:jc w:val="center"/>
        <w:rPr>
          <w:color w:val="auto"/>
          <w:highlight w:val="none"/>
        </w:rPr>
      </w:pPr>
      <w:r>
        <w:rPr>
          <w:rFonts w:hint="eastAsia"/>
          <w:color w:val="auto"/>
          <w:highlight w:val="none"/>
        </w:rPr>
        <w:t>综合评分法</w:t>
      </w:r>
    </w:p>
    <w:bookmarkEnd w:id="148"/>
    <w:tbl>
      <w:tblPr>
        <w:tblStyle w:val="4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00"/>
        <w:gridCol w:w="700"/>
        <w:gridCol w:w="1824"/>
        <w:gridCol w:w="5607"/>
      </w:tblGrid>
      <w:tr w14:paraId="0C78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633" w:type="dxa"/>
            <w:gridSpan w:val="5"/>
            <w:vAlign w:val="center"/>
          </w:tcPr>
          <w:p w14:paraId="506D4077">
            <w:pPr>
              <w:adjustRightInd w:val="0"/>
              <w:spacing w:line="410" w:lineRule="exact"/>
              <w:jc w:val="left"/>
              <w:textAlignment w:val="baseline"/>
              <w:rPr>
                <w:rFonts w:ascii="宋体" w:hAnsi="宋体"/>
                <w:b/>
                <w:color w:val="auto"/>
                <w:szCs w:val="21"/>
                <w:highlight w:val="none"/>
              </w:rPr>
            </w:pPr>
            <w:r>
              <w:rPr>
                <w:rFonts w:hint="eastAsia" w:ascii="宋体" w:hAnsi="宋体"/>
                <w:b/>
                <w:color w:val="auto"/>
                <w:sz w:val="28"/>
                <w:szCs w:val="28"/>
                <w:highlight w:val="none"/>
              </w:rPr>
              <w:t>适用于1、2、4、5、6、7分标</w:t>
            </w:r>
          </w:p>
        </w:tc>
      </w:tr>
      <w:tr w14:paraId="56CC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3997AAB2">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541D58F3">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46935D0C">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15CAC550">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2ADC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020D4725">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39C4E61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74A6DC51">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2E20E6A4">
            <w:pPr>
              <w:widowControl/>
              <w:snapToGrid w:val="0"/>
              <w:spacing w:line="360" w:lineRule="auto"/>
              <w:rPr>
                <w:rFonts w:hAnsi="宋体"/>
                <w:bCs/>
                <w:color w:val="auto"/>
                <w:szCs w:val="21"/>
                <w:highlight w:val="none"/>
              </w:rPr>
            </w:pPr>
            <w:r>
              <w:rPr>
                <w:rFonts w:hint="eastAsia" w:hAnsi="宋体"/>
                <w:bCs/>
                <w:color w:val="auto"/>
                <w:szCs w:val="21"/>
                <w:highlight w:val="none"/>
              </w:rPr>
              <w:t>1.本项目为专门面向中小企业采购项目，按照《政府采购促进中小企业发展管理办法》（财库〔2020〕46号）的规定，对供应商最后报价不再执行价格评审优惠的扶持政策。</w:t>
            </w:r>
          </w:p>
          <w:p w14:paraId="5C69F9AC">
            <w:pPr>
              <w:widowControl/>
              <w:snapToGrid w:val="0"/>
              <w:spacing w:line="360" w:lineRule="auto"/>
              <w:rPr>
                <w:rFonts w:hAnsi="宋体"/>
                <w:bCs/>
                <w:color w:val="auto"/>
                <w:szCs w:val="21"/>
                <w:highlight w:val="none"/>
              </w:rPr>
            </w:pPr>
            <w:r>
              <w:rPr>
                <w:rFonts w:hint="eastAsia" w:hAnsi="宋体"/>
                <w:bCs/>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14:paraId="2BCF9AFD">
            <w:pPr>
              <w:widowControl/>
              <w:snapToGrid w:val="0"/>
              <w:rPr>
                <w:rFonts w:hAnsi="宋体"/>
                <w:bCs/>
                <w:color w:val="auto"/>
                <w:szCs w:val="21"/>
                <w:highlight w:val="none"/>
              </w:rPr>
            </w:pPr>
            <w:r>
              <w:rPr>
                <w:rFonts w:hint="eastAsia" w:hAnsi="宋体"/>
                <w:bCs/>
                <w:color w:val="auto"/>
                <w:szCs w:val="21"/>
                <w:highlight w:val="none"/>
              </w:rPr>
              <w:t>（2）以进入比较与评价环节的最低的评审价为基准价，基准价得分为10分。</w:t>
            </w:r>
          </w:p>
          <w:p w14:paraId="4A8414D2">
            <w:pPr>
              <w:widowControl/>
              <w:snapToGrid w:val="0"/>
              <w:rPr>
                <w:rFonts w:hAnsi="宋体"/>
                <w:bCs/>
                <w:color w:val="auto"/>
                <w:szCs w:val="21"/>
                <w:highlight w:val="none"/>
              </w:rPr>
            </w:pPr>
            <w:r>
              <w:rPr>
                <w:rFonts w:hint="eastAsia" w:hAnsi="宋体"/>
                <w:bCs/>
                <w:color w:val="auto"/>
                <w:szCs w:val="21"/>
                <w:highlight w:val="none"/>
              </w:rPr>
              <w:t>（3）价格分计算公式：</w:t>
            </w:r>
          </w:p>
          <w:p w14:paraId="68C306FB">
            <w:pPr>
              <w:widowControl/>
              <w:snapToGrid w:val="0"/>
              <w:spacing w:line="360" w:lineRule="auto"/>
              <w:rPr>
                <w:rFonts w:hAnsi="宋体" w:cs="Courier New"/>
                <w:bCs/>
                <w:color w:val="auto"/>
                <w:highlight w:val="none"/>
              </w:rPr>
            </w:pPr>
            <w:r>
              <w:rPr>
                <w:rFonts w:hint="eastAsia" w:hAnsi="宋体"/>
                <w:bCs/>
                <w:color w:val="auto"/>
                <w:szCs w:val="21"/>
                <w:highlight w:val="none"/>
              </w:rPr>
              <w:t>报价得分=（基准价/最后报价）×10分</w:t>
            </w:r>
          </w:p>
        </w:tc>
      </w:tr>
      <w:tr w14:paraId="5EC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A39D4F6">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25C742DF">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40EAAA3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65分</w:t>
            </w:r>
          </w:p>
        </w:tc>
        <w:tc>
          <w:tcPr>
            <w:tcW w:w="1740" w:type="dxa"/>
            <w:vAlign w:val="center"/>
          </w:tcPr>
          <w:p w14:paraId="003F1383">
            <w:pPr>
              <w:adjustRightInd w:val="0"/>
              <w:snapToGrid w:val="0"/>
              <w:spacing w:line="360" w:lineRule="atLeast"/>
              <w:jc w:val="center"/>
              <w:textAlignment w:val="baseline"/>
              <w:rPr>
                <w:rFonts w:ascii="宋体" w:hAnsi="宋体"/>
                <w:bCs/>
                <w:color w:val="auto"/>
                <w:szCs w:val="21"/>
                <w:highlight w:val="none"/>
              </w:rPr>
            </w:pPr>
            <w:r>
              <w:rPr>
                <w:rFonts w:hint="eastAsia" w:ascii="宋体" w:hAnsi="宋体"/>
                <w:b/>
                <w:color w:val="auto"/>
                <w:szCs w:val="21"/>
                <w:highlight w:val="none"/>
              </w:rPr>
              <w:t>项目需求理解(满分15分)</w:t>
            </w:r>
          </w:p>
        </w:tc>
        <w:tc>
          <w:tcPr>
            <w:tcW w:w="5350" w:type="dxa"/>
            <w:vAlign w:val="center"/>
          </w:tcPr>
          <w:p w14:paraId="3B69E1B0">
            <w:pPr>
              <w:widowControl/>
              <w:snapToGrid w:val="0"/>
              <w:spacing w:line="360" w:lineRule="auto"/>
              <w:rPr>
                <w:rFonts w:hAnsi="宋体"/>
                <w:bCs/>
                <w:szCs w:val="21"/>
              </w:rPr>
            </w:pPr>
            <w:r>
              <w:rPr>
                <w:rFonts w:hint="eastAsia" w:hAnsi="宋体"/>
                <w:bCs/>
                <w:szCs w:val="21"/>
              </w:rPr>
              <w:t>投标人根据本项目的总体认识，提供针对本项目的整体系统方案(包括但不限于</w:t>
            </w:r>
            <w:r>
              <w:rPr>
                <w:rFonts w:ascii="Calibri" w:hAnsi="Calibri" w:cs="Calibri"/>
                <w:bCs/>
                <w:szCs w:val="21"/>
              </w:rPr>
              <w:t>①</w:t>
            </w:r>
            <w:r>
              <w:rPr>
                <w:rFonts w:hint="eastAsia" w:hAnsi="宋体"/>
                <w:bCs/>
                <w:szCs w:val="21"/>
              </w:rPr>
              <w:t>能够了解本项目整体架构，</w:t>
            </w:r>
            <w:r>
              <w:rPr>
                <w:rFonts w:ascii="Calibri" w:hAnsi="Calibri" w:cs="Calibri"/>
                <w:bCs/>
                <w:szCs w:val="21"/>
              </w:rPr>
              <w:t>②</w:t>
            </w:r>
            <w:r>
              <w:rPr>
                <w:rFonts w:hint="eastAsia" w:hAnsi="宋体"/>
                <w:bCs/>
                <w:szCs w:val="21"/>
              </w:rPr>
              <w:t>应用系统功能完善，系统方案合理，能满足项目需要)。</w:t>
            </w:r>
          </w:p>
          <w:p w14:paraId="75B692D1">
            <w:pPr>
              <w:widowControl/>
              <w:snapToGrid w:val="0"/>
              <w:spacing w:line="360" w:lineRule="auto"/>
              <w:rPr>
                <w:rFonts w:hAnsi="宋体"/>
                <w:bCs/>
                <w:szCs w:val="21"/>
              </w:rPr>
            </w:pPr>
            <w:r>
              <w:rPr>
                <w:rFonts w:hint="eastAsia" w:hAnsi="宋体"/>
                <w:bCs/>
                <w:szCs w:val="21"/>
              </w:rPr>
              <w:t>一档（0分）：投标人对本项目的理解和综合情况内容描述不清晰且未提供系统架构与应用功能方案得0分。</w:t>
            </w:r>
          </w:p>
          <w:p w14:paraId="11C45981">
            <w:pPr>
              <w:widowControl/>
              <w:snapToGrid w:val="0"/>
              <w:spacing w:line="360" w:lineRule="auto"/>
              <w:rPr>
                <w:rFonts w:hAnsi="宋体"/>
                <w:bCs/>
                <w:szCs w:val="21"/>
              </w:rPr>
            </w:pPr>
            <w:r>
              <w:rPr>
                <w:rFonts w:hint="eastAsia" w:hAnsi="宋体"/>
                <w:bCs/>
                <w:szCs w:val="21"/>
              </w:rPr>
              <w:t>二档（3分）：投标人对本项目的理解和综合情况内容描述基本合理，清晰，且系统架构基本符合本次采购内容，方案内容基本完善、对本项目业务基本了解，系统功能设计存在部分关键功能缺失，核心业务流程无法完整实现，有少量功能设计不合理，但不影响整体使用，内容简单，对功能的阐述不够详细；</w:t>
            </w:r>
          </w:p>
          <w:p w14:paraId="513EDB58">
            <w:pPr>
              <w:widowControl/>
              <w:snapToGrid w:val="0"/>
              <w:spacing w:line="360" w:lineRule="auto"/>
              <w:rPr>
                <w:rFonts w:hAnsi="宋体"/>
                <w:bCs/>
                <w:szCs w:val="21"/>
              </w:rPr>
            </w:pPr>
            <w:r>
              <w:rPr>
                <w:rFonts w:hint="eastAsia" w:hAnsi="宋体"/>
                <w:bCs/>
                <w:szCs w:val="21"/>
              </w:rPr>
              <w:t>三档（8分）：系统架构基本符合本次采购内容，方案内容比较完善、阐述的较为详细、对业务理解较准确、把握较为到位，系统功能设计基本完整，核心业务流程可实现，功能完整度较高，仅有极个别细微功能待完善，功能设计合理，充分考虑了用户操作习惯和业务需求，内容详实准确，对每个功能的描述包括功能定义、操作步骤、预期效果等都清晰完整；</w:t>
            </w:r>
          </w:p>
          <w:p w14:paraId="7AB62272">
            <w:pPr>
              <w:widowControl/>
              <w:snapToGrid w:val="0"/>
              <w:spacing w:line="360" w:lineRule="auto"/>
              <w:rPr>
                <w:rFonts w:ascii="宋体" w:hAnsi="宋体"/>
                <w:bCs/>
                <w:color w:val="auto"/>
                <w:szCs w:val="21"/>
                <w:highlight w:val="none"/>
              </w:rPr>
            </w:pPr>
            <w:r>
              <w:rPr>
                <w:rFonts w:hint="eastAsia" w:hAnsi="宋体"/>
                <w:bCs/>
                <w:szCs w:val="21"/>
              </w:rPr>
              <w:t>四档（15分）：系统架构非常符合本次采购内容，方案内容完善、阐述的详细、满足项目业务需求、对业务理解非常准确、把握到位，系统功能设计全面，涵盖项目所需的所有核心功能和拓展功能，无任何功能缺失且有一定的前瞻性，能满足未来可能的业务拓展需求，功能设计完全不仅符合现有业务逻辑，还对业务流程有一定的优化和创新，内容精准无误，可作为系统开发和维护的重要参考资料。</w:t>
            </w:r>
          </w:p>
        </w:tc>
      </w:tr>
      <w:tr w14:paraId="0E3E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7758780D">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2DAF1F0E">
            <w:pPr>
              <w:adjustRightInd w:val="0"/>
              <w:spacing w:line="360" w:lineRule="auto"/>
              <w:jc w:val="center"/>
              <w:textAlignment w:val="baseline"/>
              <w:rPr>
                <w:rFonts w:ascii="宋体" w:hAnsi="宋体"/>
                <w:b/>
                <w:color w:val="auto"/>
                <w:szCs w:val="21"/>
                <w:highlight w:val="none"/>
              </w:rPr>
            </w:pPr>
          </w:p>
        </w:tc>
        <w:tc>
          <w:tcPr>
            <w:tcW w:w="668" w:type="dxa"/>
            <w:vMerge w:val="continue"/>
            <w:vAlign w:val="center"/>
          </w:tcPr>
          <w:p w14:paraId="30E77CE4">
            <w:pPr>
              <w:adjustRightInd w:val="0"/>
              <w:spacing w:line="360" w:lineRule="auto"/>
              <w:jc w:val="center"/>
              <w:textAlignment w:val="baseline"/>
              <w:rPr>
                <w:rFonts w:ascii="宋体" w:hAnsi="宋体"/>
                <w:b/>
                <w:color w:val="auto"/>
                <w:szCs w:val="21"/>
                <w:highlight w:val="none"/>
              </w:rPr>
            </w:pPr>
          </w:p>
        </w:tc>
        <w:tc>
          <w:tcPr>
            <w:tcW w:w="1740" w:type="dxa"/>
            <w:vAlign w:val="center"/>
          </w:tcPr>
          <w:p w14:paraId="263971A4">
            <w:pPr>
              <w:adjustRightInd w:val="0"/>
              <w:spacing w:line="360" w:lineRule="auto"/>
              <w:jc w:val="center"/>
              <w:textAlignment w:val="baseline"/>
              <w:rPr>
                <w:rFonts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（满分30分）</w:t>
            </w:r>
          </w:p>
        </w:tc>
        <w:tc>
          <w:tcPr>
            <w:tcW w:w="5350" w:type="dxa"/>
            <w:vAlign w:val="center"/>
          </w:tcPr>
          <w:p w14:paraId="359630FD">
            <w:pPr>
              <w:widowControl/>
              <w:snapToGrid w:val="0"/>
              <w:spacing w:line="360" w:lineRule="auto"/>
              <w:rPr>
                <w:rFonts w:hAnsi="宋体"/>
                <w:bCs/>
                <w:color w:val="auto"/>
                <w:szCs w:val="21"/>
                <w:highlight w:val="none"/>
              </w:rPr>
            </w:pPr>
            <w:r>
              <w:rPr>
                <w:rFonts w:hint="eastAsia" w:hAnsi="宋体"/>
                <w:bCs/>
                <w:color w:val="auto"/>
                <w:szCs w:val="21"/>
                <w:highlight w:val="none"/>
              </w:rPr>
              <w:t>一档（0分）：投标人未提供技术服务方案得0分。</w:t>
            </w:r>
          </w:p>
          <w:p w14:paraId="7B4A48CE">
            <w:pPr>
              <w:widowControl/>
              <w:snapToGrid w:val="0"/>
              <w:spacing w:line="360" w:lineRule="auto"/>
              <w:rPr>
                <w:rFonts w:hAnsi="宋体"/>
                <w:bCs/>
                <w:color w:val="auto"/>
                <w:szCs w:val="21"/>
                <w:highlight w:val="none"/>
              </w:rPr>
            </w:pPr>
            <w:r>
              <w:rPr>
                <w:rFonts w:hint="eastAsia" w:hAnsi="宋体"/>
                <w:bCs/>
                <w:color w:val="auto"/>
                <w:szCs w:val="21"/>
                <w:highlight w:val="none"/>
              </w:rPr>
              <w:t>二档（10分）：投标人提供了技术服务方案，方案描述了项目组织实施安排、技术服务方案的；</w:t>
            </w:r>
          </w:p>
          <w:p w14:paraId="343B2842">
            <w:pPr>
              <w:widowControl/>
              <w:snapToGrid w:val="0"/>
              <w:spacing w:line="360" w:lineRule="auto"/>
              <w:rPr>
                <w:rFonts w:hAnsi="宋体"/>
                <w:bCs/>
                <w:color w:val="auto"/>
                <w:szCs w:val="21"/>
                <w:highlight w:val="none"/>
              </w:rPr>
            </w:pPr>
            <w:r>
              <w:rPr>
                <w:rFonts w:hint="eastAsia" w:hAnsi="宋体"/>
                <w:bCs/>
                <w:color w:val="auto"/>
                <w:szCs w:val="21"/>
                <w:highlight w:val="none"/>
              </w:rPr>
              <w:t>三档（20分）：投标人提供了详细的技术服务方案，方案详细描述了项目组织实施安排、人员安排以及技术服务方案，且各种服务文档规范齐全；</w:t>
            </w:r>
          </w:p>
          <w:p w14:paraId="24951F05">
            <w:pPr>
              <w:widowControl/>
              <w:snapToGrid w:val="0"/>
              <w:spacing w:line="360" w:lineRule="auto"/>
              <w:rPr>
                <w:rFonts w:ascii="宋体" w:hAnsi="宋体"/>
                <w:bCs/>
                <w:color w:val="auto"/>
                <w:szCs w:val="21"/>
                <w:highlight w:val="none"/>
              </w:rPr>
            </w:pPr>
            <w:r>
              <w:rPr>
                <w:rFonts w:hint="eastAsia" w:hAnsi="宋体"/>
                <w:bCs/>
                <w:color w:val="auto"/>
                <w:szCs w:val="21"/>
                <w:highlight w:val="none"/>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5BE0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E3688CB">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0039D9B4">
            <w:pPr>
              <w:adjustRightInd w:val="0"/>
              <w:spacing w:line="360" w:lineRule="auto"/>
              <w:jc w:val="center"/>
              <w:textAlignment w:val="baseline"/>
              <w:rPr>
                <w:rFonts w:ascii="宋体" w:hAnsi="宋体"/>
                <w:b/>
                <w:color w:val="auto"/>
                <w:szCs w:val="21"/>
                <w:highlight w:val="none"/>
              </w:rPr>
            </w:pPr>
          </w:p>
        </w:tc>
        <w:tc>
          <w:tcPr>
            <w:tcW w:w="668" w:type="dxa"/>
            <w:vMerge w:val="continue"/>
            <w:vAlign w:val="center"/>
          </w:tcPr>
          <w:p w14:paraId="2F3ACC41">
            <w:pPr>
              <w:adjustRightInd w:val="0"/>
              <w:spacing w:line="360" w:lineRule="auto"/>
              <w:jc w:val="center"/>
              <w:textAlignment w:val="baseline"/>
              <w:rPr>
                <w:rFonts w:ascii="宋体" w:hAnsi="宋体"/>
                <w:b/>
                <w:color w:val="auto"/>
                <w:szCs w:val="21"/>
                <w:highlight w:val="none"/>
              </w:rPr>
            </w:pPr>
          </w:p>
        </w:tc>
        <w:tc>
          <w:tcPr>
            <w:tcW w:w="1740" w:type="dxa"/>
            <w:vAlign w:val="center"/>
          </w:tcPr>
          <w:p w14:paraId="4B159C85">
            <w:pPr>
              <w:adjustRightInd w:val="0"/>
              <w:spacing w:line="360" w:lineRule="auto"/>
              <w:jc w:val="center"/>
              <w:textAlignment w:val="baseline"/>
              <w:rPr>
                <w:rFonts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（满分2</w:t>
            </w:r>
            <w:r>
              <w:rPr>
                <w:rFonts w:ascii="宋体" w:hAnsi="宋体" w:cs="微软雅黑"/>
                <w:b/>
                <w:color w:val="auto"/>
                <w:szCs w:val="21"/>
                <w:highlight w:val="none"/>
              </w:rPr>
              <w:t>0</w:t>
            </w:r>
            <w:r>
              <w:rPr>
                <w:rFonts w:hint="eastAsia" w:ascii="宋体" w:hAnsi="宋体" w:cs="微软雅黑"/>
                <w:b/>
                <w:color w:val="auto"/>
                <w:szCs w:val="21"/>
                <w:highlight w:val="none"/>
              </w:rPr>
              <w:t>分）</w:t>
            </w:r>
          </w:p>
        </w:tc>
        <w:tc>
          <w:tcPr>
            <w:tcW w:w="5350" w:type="dxa"/>
            <w:vAlign w:val="center"/>
          </w:tcPr>
          <w:p w14:paraId="19AA2E1C">
            <w:pPr>
              <w:widowControl/>
              <w:snapToGrid w:val="0"/>
              <w:spacing w:line="360" w:lineRule="auto"/>
              <w:rPr>
                <w:rFonts w:hAnsi="宋体"/>
                <w:bCs/>
                <w:color w:val="auto"/>
                <w:szCs w:val="21"/>
                <w:highlight w:val="none"/>
              </w:rPr>
            </w:pPr>
            <w:r>
              <w:rPr>
                <w:rFonts w:hint="eastAsia" w:hAnsi="宋体"/>
                <w:bCs/>
                <w:color w:val="auto"/>
                <w:szCs w:val="21"/>
                <w:highlight w:val="none"/>
              </w:rPr>
              <w:t>一档（0分）：投标人未提供运维售后服务方案得0分。</w:t>
            </w:r>
          </w:p>
          <w:p w14:paraId="2DAAEDD3">
            <w:pPr>
              <w:widowControl/>
              <w:snapToGrid w:val="0"/>
              <w:spacing w:line="360" w:lineRule="auto"/>
              <w:rPr>
                <w:rFonts w:hAnsi="宋体"/>
                <w:bCs/>
                <w:color w:val="auto"/>
                <w:szCs w:val="21"/>
                <w:highlight w:val="none"/>
              </w:rPr>
            </w:pPr>
            <w:r>
              <w:rPr>
                <w:rFonts w:hint="eastAsia" w:hAnsi="宋体"/>
                <w:bCs/>
                <w:color w:val="auto"/>
                <w:szCs w:val="21"/>
                <w:highlight w:val="none"/>
              </w:rPr>
              <w:t>二档（7分）：质量保证措施和售后服务承诺较简单；售后响应时间不及时或较慢，无具体承诺或不适用，服务内容、保障措施简单。</w:t>
            </w:r>
          </w:p>
          <w:p w14:paraId="3143197C">
            <w:pPr>
              <w:widowControl/>
              <w:snapToGrid w:val="0"/>
              <w:spacing w:line="360" w:lineRule="auto"/>
              <w:rPr>
                <w:rFonts w:hAnsi="宋体"/>
                <w:bCs/>
                <w:color w:val="auto"/>
                <w:szCs w:val="21"/>
                <w:highlight w:val="none"/>
              </w:rPr>
            </w:pPr>
            <w:r>
              <w:rPr>
                <w:rFonts w:hint="eastAsia" w:hAnsi="宋体"/>
                <w:bCs/>
                <w:color w:val="auto"/>
                <w:szCs w:val="21"/>
                <w:highlight w:val="none"/>
              </w:rPr>
              <w:t>三档（14分）：质量保证措施和售后服务承诺基本满足采购文件要求，安排较具体，内容完整、可行，售后响应时间满足招标文件要求，有具体承诺，服务内容、保障措施较为详细。</w:t>
            </w:r>
          </w:p>
          <w:p w14:paraId="694B7EF6">
            <w:pPr>
              <w:widowControl/>
              <w:snapToGrid w:val="0"/>
              <w:spacing w:line="360" w:lineRule="auto"/>
              <w:rPr>
                <w:rFonts w:ascii="宋体" w:hAnsi="宋体"/>
                <w:bCs/>
                <w:color w:val="auto"/>
                <w:szCs w:val="21"/>
                <w:highlight w:val="none"/>
              </w:rPr>
            </w:pPr>
            <w:r>
              <w:rPr>
                <w:rFonts w:hint="eastAsia" w:hAnsi="宋体"/>
                <w:bCs/>
                <w:color w:val="auto"/>
                <w:szCs w:val="21"/>
                <w:highlight w:val="none"/>
              </w:rPr>
              <w:t>四档（20分）：质量保证措施和售后服务承诺充分满足采购文件要求，安排详细具体，提供具体技术支持服务、服务质量保障、服务管理规范、应急处置方案等内容，内容完整、齐全、可行，有针对性。</w:t>
            </w:r>
          </w:p>
        </w:tc>
      </w:tr>
      <w:tr w14:paraId="179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7FCF273">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5B778DAE">
            <w:pPr>
              <w:spacing w:line="360" w:lineRule="exact"/>
              <w:jc w:val="center"/>
              <w:rPr>
                <w:rFonts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5551540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25分</w:t>
            </w:r>
          </w:p>
        </w:tc>
        <w:tc>
          <w:tcPr>
            <w:tcW w:w="1740" w:type="dxa"/>
            <w:vAlign w:val="center"/>
          </w:tcPr>
          <w:p w14:paraId="291FD669">
            <w:pPr>
              <w:widowControl/>
              <w:spacing w:line="360" w:lineRule="auto"/>
              <w:jc w:val="center"/>
              <w:rPr>
                <w:rFonts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4DECA3EA">
            <w:pPr>
              <w:widowControl/>
              <w:snapToGrid w:val="0"/>
              <w:spacing w:line="360" w:lineRule="auto"/>
              <w:rPr>
                <w:rFonts w:hAnsi="宋体"/>
                <w:bCs/>
                <w:color w:val="auto"/>
                <w:szCs w:val="21"/>
                <w:highlight w:val="none"/>
              </w:rPr>
            </w:pPr>
            <w:r>
              <w:rPr>
                <w:rFonts w:hint="eastAsia" w:hAnsi="宋体"/>
                <w:bCs/>
                <w:color w:val="auto"/>
                <w:szCs w:val="21"/>
                <w:highlight w:val="none"/>
              </w:rPr>
              <w:t>1、投标人提供拟投入人员分配方案中对各组织的职责（任务）、人员构成包括主要人员的专业水平及经验方面的情况进行了详细阐述的，得5分。</w:t>
            </w:r>
          </w:p>
          <w:p w14:paraId="1C079528">
            <w:pPr>
              <w:widowControl/>
              <w:snapToGrid w:val="0"/>
              <w:spacing w:line="360" w:lineRule="auto"/>
              <w:rPr>
                <w:rFonts w:hAnsi="宋体"/>
                <w:bCs/>
                <w:color w:val="auto"/>
                <w:highlight w:val="none"/>
              </w:rPr>
            </w:pPr>
            <w:r>
              <w:rPr>
                <w:rFonts w:hint="eastAsia" w:hAnsi="宋体"/>
                <w:bCs/>
                <w:color w:val="auto"/>
                <w:szCs w:val="21"/>
                <w:highlight w:val="none"/>
              </w:rPr>
              <w:t>2、项目实施人员配置具有中级及以上职称证书或具有中华人民共和国工业和信息化部颁发的软考中级及以上职称证书的不少于4人，每人得1分，满分4分。（须提供拟投入本项目的相关专业技术人员相关证明材料（如：职称证书等），评审时以提供的证明材料为准。）</w:t>
            </w:r>
          </w:p>
        </w:tc>
      </w:tr>
      <w:tr w14:paraId="017F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3494083">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3BEBF5D0">
            <w:pPr>
              <w:spacing w:line="360" w:lineRule="exact"/>
              <w:jc w:val="center"/>
              <w:rPr>
                <w:rFonts w:ascii="宋体" w:hAnsi="宋体"/>
                <w:b/>
                <w:bCs/>
                <w:color w:val="auto"/>
                <w:szCs w:val="21"/>
                <w:highlight w:val="none"/>
              </w:rPr>
            </w:pPr>
          </w:p>
        </w:tc>
        <w:tc>
          <w:tcPr>
            <w:tcW w:w="668" w:type="dxa"/>
            <w:vMerge w:val="continue"/>
            <w:vAlign w:val="center"/>
          </w:tcPr>
          <w:p w14:paraId="6C24E41E">
            <w:pPr>
              <w:adjustRightInd w:val="0"/>
              <w:spacing w:line="360" w:lineRule="auto"/>
              <w:jc w:val="center"/>
              <w:textAlignment w:val="baseline"/>
              <w:rPr>
                <w:rFonts w:ascii="宋体" w:hAnsi="宋体"/>
                <w:b/>
                <w:color w:val="auto"/>
                <w:szCs w:val="21"/>
                <w:highlight w:val="none"/>
              </w:rPr>
            </w:pPr>
          </w:p>
        </w:tc>
        <w:tc>
          <w:tcPr>
            <w:tcW w:w="1740" w:type="dxa"/>
            <w:vAlign w:val="center"/>
          </w:tcPr>
          <w:p w14:paraId="1C1B16EA">
            <w:pPr>
              <w:widowControl/>
              <w:spacing w:line="360" w:lineRule="auto"/>
              <w:jc w:val="center"/>
              <w:rPr>
                <w:rFonts w:ascii="宋体" w:hAnsi="宋体"/>
                <w:color w:val="auto"/>
                <w:szCs w:val="21"/>
                <w:highlight w:val="none"/>
              </w:rPr>
            </w:pPr>
            <w:r>
              <w:rPr>
                <w:rFonts w:hint="eastAsia" w:ascii="宋体" w:hAnsi="宋体" w:cs="微软雅黑"/>
                <w:b/>
                <w:bCs/>
                <w:color w:val="auto"/>
                <w:szCs w:val="21"/>
                <w:highlight w:val="none"/>
              </w:rPr>
              <w:t>业绩分（满分</w:t>
            </w:r>
            <w:r>
              <w:rPr>
                <w:rFonts w:ascii="宋体" w:hAnsi="宋体" w:cs="微软雅黑"/>
                <w:b/>
                <w:bCs/>
                <w:color w:val="auto"/>
                <w:szCs w:val="21"/>
                <w:highlight w:val="none"/>
              </w:rPr>
              <w:t>10</w:t>
            </w:r>
            <w:r>
              <w:rPr>
                <w:rFonts w:hint="eastAsia" w:ascii="宋体" w:hAnsi="宋体" w:cs="微软雅黑"/>
                <w:b/>
                <w:bCs/>
                <w:color w:val="auto"/>
                <w:szCs w:val="21"/>
                <w:highlight w:val="none"/>
              </w:rPr>
              <w:t>分）</w:t>
            </w:r>
          </w:p>
        </w:tc>
        <w:tc>
          <w:tcPr>
            <w:tcW w:w="5350" w:type="dxa"/>
          </w:tcPr>
          <w:p w14:paraId="02862664">
            <w:pPr>
              <w:widowControl/>
              <w:snapToGrid w:val="0"/>
              <w:spacing w:line="360" w:lineRule="auto"/>
              <w:rPr>
                <w:rFonts w:hAnsi="宋体"/>
                <w:color w:val="auto"/>
                <w:highlight w:val="none"/>
              </w:rPr>
            </w:pPr>
            <w:r>
              <w:rPr>
                <w:rFonts w:hint="eastAsia" w:hAnsi="宋体"/>
                <w:bCs/>
                <w:color w:val="auto"/>
                <w:szCs w:val="21"/>
                <w:highlight w:val="none"/>
              </w:rPr>
              <w:t>投标人自2023年01月01日以来完成过类似项目业绩的，每提供1项得2分，满分10分；不提供不得分。（须提供项目合同</w:t>
            </w:r>
            <w:r>
              <w:rPr>
                <w:rFonts w:hint="eastAsia" w:hAnsi="宋体"/>
                <w:bCs/>
                <w:color w:val="auto"/>
                <w:szCs w:val="21"/>
                <w:highlight w:val="none"/>
                <w:lang w:val="en-US" w:eastAsia="zh-CN"/>
              </w:rPr>
              <w:t>或</w:t>
            </w:r>
            <w:r>
              <w:rPr>
                <w:rFonts w:hint="eastAsia" w:hAnsi="宋体"/>
                <w:bCs/>
                <w:color w:val="auto"/>
                <w:szCs w:val="21"/>
                <w:highlight w:val="none"/>
              </w:rPr>
              <w:t>中标（成交）通知书复印件并加盖投标人公章）</w:t>
            </w:r>
          </w:p>
        </w:tc>
      </w:tr>
      <w:tr w14:paraId="1A49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3300C91">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50D62FB6">
            <w:pPr>
              <w:adjustRightInd w:val="0"/>
              <w:spacing w:line="360" w:lineRule="auto"/>
              <w:jc w:val="center"/>
              <w:textAlignment w:val="baseline"/>
              <w:rPr>
                <w:rFonts w:ascii="宋体" w:hAnsi="宋体"/>
                <w:b/>
                <w:color w:val="auto"/>
                <w:szCs w:val="21"/>
                <w:highlight w:val="none"/>
              </w:rPr>
            </w:pPr>
          </w:p>
        </w:tc>
        <w:tc>
          <w:tcPr>
            <w:tcW w:w="668" w:type="dxa"/>
            <w:vMerge w:val="continue"/>
            <w:vAlign w:val="center"/>
          </w:tcPr>
          <w:p w14:paraId="47F54C20">
            <w:pPr>
              <w:adjustRightInd w:val="0"/>
              <w:spacing w:line="440" w:lineRule="exact"/>
              <w:jc w:val="center"/>
              <w:textAlignment w:val="baseline"/>
              <w:rPr>
                <w:rFonts w:ascii="宋体" w:hAnsi="宋体" w:cs="Courier New"/>
                <w:bCs/>
                <w:color w:val="auto"/>
                <w:szCs w:val="21"/>
                <w:highlight w:val="none"/>
              </w:rPr>
            </w:pPr>
          </w:p>
        </w:tc>
        <w:tc>
          <w:tcPr>
            <w:tcW w:w="1740" w:type="dxa"/>
            <w:vAlign w:val="center"/>
          </w:tcPr>
          <w:p w14:paraId="0B083B95">
            <w:pPr>
              <w:widowControl/>
              <w:spacing w:line="360" w:lineRule="auto"/>
              <w:jc w:val="center"/>
              <w:rPr>
                <w:rFonts w:ascii="宋体" w:hAnsi="宋体" w:cs="Courier New"/>
                <w:bCs/>
                <w:color w:val="auto"/>
                <w:szCs w:val="21"/>
                <w:highlight w:val="none"/>
              </w:rPr>
            </w:pPr>
            <w:r>
              <w:rPr>
                <w:rFonts w:hint="eastAsia" w:ascii="宋体" w:hAnsi="宋体" w:cs="微软雅黑"/>
                <w:b/>
                <w:bCs/>
                <w:color w:val="auto"/>
                <w:szCs w:val="21"/>
                <w:highlight w:val="none"/>
              </w:rPr>
              <w:t>服务能力（满分6分）</w:t>
            </w:r>
          </w:p>
        </w:tc>
        <w:tc>
          <w:tcPr>
            <w:tcW w:w="5350" w:type="dxa"/>
          </w:tcPr>
          <w:p w14:paraId="37C8EC98">
            <w:pPr>
              <w:widowControl/>
              <w:snapToGrid w:val="0"/>
              <w:spacing w:line="360" w:lineRule="auto"/>
              <w:rPr>
                <w:rFonts w:hAnsi="宋体"/>
                <w:bCs/>
                <w:color w:val="auto"/>
                <w:szCs w:val="21"/>
                <w:highlight w:val="none"/>
              </w:rPr>
            </w:pPr>
            <w:r>
              <w:rPr>
                <w:rFonts w:hint="eastAsia" w:hAnsi="宋体"/>
                <w:bCs/>
                <w:color w:val="auto"/>
                <w:szCs w:val="21"/>
                <w:highlight w:val="none"/>
              </w:rPr>
              <w:t>1、投标人具有ISO9001质量管理体系认证证书得</w:t>
            </w:r>
            <w:r>
              <w:rPr>
                <w:rFonts w:hint="eastAsia" w:hAnsi="宋体"/>
                <w:bCs/>
                <w:color w:val="auto"/>
                <w:szCs w:val="21"/>
                <w:highlight w:val="none"/>
                <w:lang w:val="en-US" w:eastAsia="zh-CN"/>
              </w:rPr>
              <w:t>1</w:t>
            </w:r>
            <w:r>
              <w:rPr>
                <w:rFonts w:hint="eastAsia" w:hAnsi="宋体"/>
                <w:bCs/>
                <w:color w:val="auto"/>
                <w:szCs w:val="21"/>
                <w:highlight w:val="none"/>
              </w:rPr>
              <w:t>分（须提供有效的认证证书复印件并加盖投标人公章）；</w:t>
            </w:r>
          </w:p>
          <w:p w14:paraId="5A23A0C2">
            <w:pPr>
              <w:widowControl/>
              <w:snapToGrid w:val="0"/>
              <w:spacing w:line="360" w:lineRule="auto"/>
              <w:rPr>
                <w:rFonts w:hAnsi="宋体"/>
                <w:bCs/>
                <w:color w:val="auto"/>
                <w:szCs w:val="21"/>
                <w:highlight w:val="none"/>
              </w:rPr>
            </w:pPr>
            <w:r>
              <w:rPr>
                <w:rFonts w:hint="eastAsia" w:hAnsi="宋体"/>
                <w:bCs/>
                <w:color w:val="auto"/>
                <w:szCs w:val="21"/>
                <w:highlight w:val="none"/>
              </w:rPr>
              <w:t>2、投标人具有ISO20000信息技术服务管理体系认证证书得</w:t>
            </w:r>
            <w:r>
              <w:rPr>
                <w:rFonts w:hint="eastAsia" w:hAnsi="宋体"/>
                <w:bCs/>
                <w:color w:val="auto"/>
                <w:szCs w:val="21"/>
                <w:highlight w:val="none"/>
                <w:lang w:val="en-US" w:eastAsia="zh-CN"/>
              </w:rPr>
              <w:t>1</w:t>
            </w:r>
            <w:r>
              <w:rPr>
                <w:rFonts w:hint="eastAsia" w:hAnsi="宋体"/>
                <w:bCs/>
                <w:color w:val="auto"/>
                <w:szCs w:val="21"/>
                <w:highlight w:val="none"/>
              </w:rPr>
              <w:t>分（须提供有效的认证证书复印件并加盖投标人公章）；</w:t>
            </w:r>
          </w:p>
          <w:p w14:paraId="218CD0BB">
            <w:pPr>
              <w:widowControl/>
              <w:snapToGrid w:val="0"/>
              <w:spacing w:line="360" w:lineRule="auto"/>
              <w:rPr>
                <w:rFonts w:hAnsi="宋体"/>
                <w:bCs/>
                <w:color w:val="auto"/>
                <w:szCs w:val="21"/>
                <w:highlight w:val="none"/>
              </w:rPr>
            </w:pPr>
            <w:r>
              <w:rPr>
                <w:rFonts w:hint="eastAsia" w:hAnsi="宋体"/>
                <w:bCs/>
                <w:color w:val="auto"/>
                <w:szCs w:val="21"/>
                <w:highlight w:val="none"/>
              </w:rPr>
              <w:t>3、投标人具有ISO27001信息安全管理体系认证证书得</w:t>
            </w:r>
            <w:r>
              <w:rPr>
                <w:rFonts w:hint="eastAsia" w:hAnsi="宋体"/>
                <w:bCs/>
                <w:color w:val="auto"/>
                <w:szCs w:val="21"/>
                <w:highlight w:val="none"/>
                <w:lang w:val="en-US" w:eastAsia="zh-CN"/>
              </w:rPr>
              <w:t>1</w:t>
            </w:r>
            <w:r>
              <w:rPr>
                <w:rFonts w:hint="eastAsia" w:hAnsi="宋体"/>
                <w:bCs/>
                <w:color w:val="auto"/>
                <w:szCs w:val="21"/>
                <w:highlight w:val="none"/>
              </w:rPr>
              <w:t>分（须提供有效的认证证书复印件并加盖投标人公章）；</w:t>
            </w:r>
          </w:p>
          <w:p w14:paraId="6D1D5801">
            <w:pPr>
              <w:widowControl/>
              <w:snapToGrid w:val="0"/>
              <w:spacing w:line="360" w:lineRule="auto"/>
              <w:rPr>
                <w:rFonts w:hint="eastAsia" w:hAnsi="宋体" w:eastAsia="宋体"/>
                <w:bCs/>
                <w:color w:val="auto"/>
                <w:szCs w:val="21"/>
                <w:highlight w:val="none"/>
                <w:lang w:val="en-US" w:eastAsia="zh-CN"/>
              </w:rPr>
            </w:pPr>
            <w:r>
              <w:rPr>
                <w:rFonts w:hint="eastAsia" w:hAnsi="宋体"/>
                <w:bCs/>
                <w:color w:val="auto"/>
                <w:szCs w:val="21"/>
                <w:highlight w:val="none"/>
                <w:lang w:val="en-US" w:eastAsia="zh-CN"/>
              </w:rPr>
              <w:t>4、投标人提供由中华人民共和国国家版权局颁发的与分标采购内容有关的交通运输类计算机软件著作权登记证书，每提供1项得1分，满分3分。(须提供有效的证书复印件并加盖投标人公章)</w:t>
            </w:r>
          </w:p>
          <w:p w14:paraId="71D7BA70">
            <w:pPr>
              <w:widowControl/>
              <w:snapToGrid w:val="0"/>
              <w:spacing w:line="360" w:lineRule="auto"/>
              <w:rPr>
                <w:rFonts w:hAnsi="宋体" w:cs="Courier New"/>
                <w:bCs/>
                <w:color w:val="auto"/>
                <w:highlight w:val="none"/>
              </w:rPr>
            </w:pPr>
            <w:r>
              <w:rPr>
                <w:rFonts w:hint="eastAsia" w:hAnsi="宋体"/>
                <w:bCs/>
                <w:color w:val="auto"/>
                <w:szCs w:val="21"/>
                <w:highlight w:val="none"/>
              </w:rPr>
              <w:t>注：不提供不得分。</w:t>
            </w:r>
          </w:p>
        </w:tc>
      </w:tr>
      <w:tr w14:paraId="42D0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429B3779">
            <w:pPr>
              <w:pStyle w:val="23"/>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13BE8656">
      <w:pPr>
        <w:pStyle w:val="23"/>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09BD6584">
      <w:pPr>
        <w:rPr>
          <w:rFonts w:hint="eastAsia" w:hAnsi="宋体"/>
          <w:bCs/>
          <w:color w:val="auto"/>
          <w:highlight w:val="none"/>
        </w:rPr>
      </w:pPr>
      <w:r>
        <w:rPr>
          <w:rFonts w:hint="eastAsia" w:hAnsi="宋体"/>
          <w:bCs/>
          <w:color w:val="auto"/>
          <w:highlight w:val="none"/>
        </w:rPr>
        <w:br w:type="page"/>
      </w:r>
    </w:p>
    <w:tbl>
      <w:tblPr>
        <w:tblStyle w:val="4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00"/>
        <w:gridCol w:w="700"/>
        <w:gridCol w:w="1824"/>
        <w:gridCol w:w="5607"/>
      </w:tblGrid>
      <w:tr w14:paraId="7DA8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096" w:type="dxa"/>
            <w:gridSpan w:val="5"/>
            <w:vAlign w:val="center"/>
          </w:tcPr>
          <w:p w14:paraId="732D27AB">
            <w:pPr>
              <w:adjustRightInd w:val="0"/>
              <w:spacing w:line="410" w:lineRule="exact"/>
              <w:jc w:val="left"/>
              <w:textAlignment w:val="baseline"/>
              <w:rPr>
                <w:rFonts w:ascii="宋体" w:hAnsi="宋体"/>
                <w:b/>
                <w:szCs w:val="21"/>
              </w:rPr>
            </w:pPr>
            <w:r>
              <w:rPr>
                <w:rFonts w:hint="eastAsia" w:ascii="宋体" w:hAnsi="宋体"/>
                <w:b/>
                <w:sz w:val="28"/>
                <w:szCs w:val="28"/>
              </w:rPr>
              <w:t>适用于3分标</w:t>
            </w:r>
          </w:p>
        </w:tc>
      </w:tr>
      <w:tr w14:paraId="5269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5C367F15">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1145" w:type="dxa"/>
            <w:vAlign w:val="center"/>
          </w:tcPr>
          <w:p w14:paraId="7A820941">
            <w:pPr>
              <w:adjustRightInd w:val="0"/>
              <w:spacing w:line="410" w:lineRule="exact"/>
              <w:jc w:val="center"/>
              <w:textAlignment w:val="baseline"/>
              <w:rPr>
                <w:rFonts w:ascii="宋体" w:hAnsi="宋体"/>
                <w:szCs w:val="21"/>
              </w:rPr>
            </w:pPr>
            <w:r>
              <w:rPr>
                <w:rFonts w:hint="eastAsia" w:ascii="宋体" w:hAnsi="宋体"/>
                <w:b/>
                <w:szCs w:val="21"/>
              </w:rPr>
              <w:t>评审因素</w:t>
            </w:r>
          </w:p>
        </w:tc>
        <w:tc>
          <w:tcPr>
            <w:tcW w:w="668" w:type="dxa"/>
            <w:vAlign w:val="center"/>
          </w:tcPr>
          <w:p w14:paraId="124CE0E0">
            <w:pPr>
              <w:adjustRightInd w:val="0"/>
              <w:spacing w:line="410" w:lineRule="exact"/>
              <w:jc w:val="center"/>
              <w:textAlignment w:val="baseline"/>
              <w:rPr>
                <w:rFonts w:ascii="宋体" w:hAnsi="宋体"/>
                <w:b/>
                <w:szCs w:val="21"/>
              </w:rPr>
            </w:pPr>
            <w:r>
              <w:rPr>
                <w:rFonts w:hint="eastAsia" w:ascii="宋体" w:hAnsi="宋体"/>
                <w:b/>
                <w:szCs w:val="21"/>
              </w:rPr>
              <w:t>分值</w:t>
            </w:r>
          </w:p>
        </w:tc>
        <w:tc>
          <w:tcPr>
            <w:tcW w:w="7090" w:type="dxa"/>
            <w:gridSpan w:val="2"/>
            <w:vAlign w:val="center"/>
          </w:tcPr>
          <w:p w14:paraId="44B6ABBD">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14:paraId="5E6B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76C2DC7B">
            <w:pPr>
              <w:adjustRightInd w:val="0"/>
              <w:spacing w:line="360" w:lineRule="auto"/>
              <w:jc w:val="center"/>
              <w:textAlignment w:val="baseline"/>
              <w:rPr>
                <w:rFonts w:ascii="宋体" w:hAnsi="宋体"/>
                <w:b/>
                <w:szCs w:val="21"/>
              </w:rPr>
            </w:pPr>
            <w:r>
              <w:rPr>
                <w:rFonts w:hint="eastAsia" w:ascii="宋体" w:hAnsi="宋体"/>
                <w:b/>
                <w:szCs w:val="21"/>
              </w:rPr>
              <w:t>1</w:t>
            </w:r>
          </w:p>
        </w:tc>
        <w:tc>
          <w:tcPr>
            <w:tcW w:w="1145" w:type="dxa"/>
            <w:vAlign w:val="center"/>
          </w:tcPr>
          <w:p w14:paraId="05155ABC">
            <w:pPr>
              <w:adjustRightInd w:val="0"/>
              <w:spacing w:line="360" w:lineRule="auto"/>
              <w:jc w:val="center"/>
              <w:textAlignment w:val="baseline"/>
              <w:rPr>
                <w:rFonts w:ascii="宋体" w:hAnsi="宋体"/>
                <w:b/>
                <w:szCs w:val="21"/>
              </w:rPr>
            </w:pPr>
            <w:r>
              <w:rPr>
                <w:rFonts w:hint="eastAsia" w:ascii="宋体" w:hAnsi="宋体"/>
                <w:b/>
                <w:szCs w:val="21"/>
              </w:rPr>
              <w:t>报价</w:t>
            </w:r>
          </w:p>
        </w:tc>
        <w:tc>
          <w:tcPr>
            <w:tcW w:w="668" w:type="dxa"/>
            <w:vAlign w:val="center"/>
          </w:tcPr>
          <w:p w14:paraId="3116A640">
            <w:pPr>
              <w:adjustRightInd w:val="0"/>
              <w:spacing w:line="360" w:lineRule="auto"/>
              <w:jc w:val="center"/>
              <w:textAlignment w:val="baseline"/>
              <w:rPr>
                <w:rFonts w:ascii="宋体" w:hAnsi="宋体"/>
                <w:b/>
                <w:szCs w:val="21"/>
              </w:rPr>
            </w:pPr>
            <w:r>
              <w:rPr>
                <w:rFonts w:hint="eastAsia" w:ascii="宋体" w:hAnsi="宋体"/>
                <w:b/>
                <w:szCs w:val="21"/>
              </w:rPr>
              <w:t>10分</w:t>
            </w:r>
          </w:p>
        </w:tc>
        <w:tc>
          <w:tcPr>
            <w:tcW w:w="7090" w:type="dxa"/>
            <w:gridSpan w:val="2"/>
            <w:vAlign w:val="center"/>
          </w:tcPr>
          <w:p w14:paraId="566DFE3C">
            <w:pPr>
              <w:widowControl/>
              <w:snapToGrid w:val="0"/>
              <w:spacing w:line="360" w:lineRule="auto"/>
              <w:rPr>
                <w:rFonts w:hAnsi="宋体"/>
                <w:bCs/>
                <w:szCs w:val="21"/>
              </w:rPr>
            </w:pPr>
            <w:r>
              <w:rPr>
                <w:rFonts w:hint="eastAsia" w:hAnsi="宋体"/>
                <w:bCs/>
                <w:szCs w:val="21"/>
              </w:rPr>
              <w:t>1.本项目为专门面向中小企业采购项目，按照《政府采购促进中小企业发展管理办法》（财库〔2020〕46号）的规定，对供应商最后报价不再执行价格评审优惠的扶持政策。</w:t>
            </w:r>
          </w:p>
          <w:p w14:paraId="4C526F98">
            <w:pPr>
              <w:widowControl/>
              <w:snapToGrid w:val="0"/>
              <w:spacing w:line="360" w:lineRule="auto"/>
              <w:rPr>
                <w:rFonts w:hAnsi="宋体"/>
                <w:bCs/>
                <w:szCs w:val="21"/>
              </w:rPr>
            </w:pPr>
            <w:r>
              <w:rPr>
                <w:rFonts w:hint="eastAsia" w:hAnsi="宋体"/>
                <w:bCs/>
                <w:szCs w:val="21"/>
              </w:rPr>
              <w:t>（1）评审价为供应商的最后报价进行政策性扣除后的价格，评审价只是作为评审时使用。最终成交供应商的成交金额等于最后报价（如有修正，以确认修正后的最后报价为准）。</w:t>
            </w:r>
          </w:p>
          <w:p w14:paraId="28877A16">
            <w:pPr>
              <w:widowControl/>
              <w:snapToGrid w:val="0"/>
              <w:rPr>
                <w:rFonts w:hAnsi="宋体"/>
                <w:bCs/>
                <w:szCs w:val="21"/>
              </w:rPr>
            </w:pPr>
            <w:r>
              <w:rPr>
                <w:rFonts w:hint="eastAsia" w:hAnsi="宋体"/>
                <w:bCs/>
                <w:szCs w:val="21"/>
              </w:rPr>
              <w:t>（2）以进入比较与评价环节的最低的评审价为基准价，基准价得分为10分。</w:t>
            </w:r>
          </w:p>
          <w:p w14:paraId="0FA03EAE">
            <w:pPr>
              <w:widowControl/>
              <w:snapToGrid w:val="0"/>
              <w:rPr>
                <w:rFonts w:hAnsi="宋体"/>
                <w:bCs/>
                <w:szCs w:val="21"/>
              </w:rPr>
            </w:pPr>
            <w:r>
              <w:rPr>
                <w:rFonts w:hint="eastAsia" w:hAnsi="宋体"/>
                <w:bCs/>
                <w:szCs w:val="21"/>
              </w:rPr>
              <w:t>（3）价格分计算公式：</w:t>
            </w:r>
          </w:p>
          <w:p w14:paraId="7173A82C">
            <w:pPr>
              <w:widowControl/>
              <w:snapToGrid w:val="0"/>
              <w:spacing w:line="360" w:lineRule="auto"/>
              <w:rPr>
                <w:rFonts w:hAnsi="宋体" w:cs="Courier New"/>
                <w:bCs/>
              </w:rPr>
            </w:pPr>
            <w:r>
              <w:rPr>
                <w:rFonts w:hint="eastAsia" w:hAnsi="宋体"/>
                <w:bCs/>
                <w:szCs w:val="21"/>
              </w:rPr>
              <w:t>报价得分=（基准价/最后报价）×10分</w:t>
            </w:r>
          </w:p>
        </w:tc>
      </w:tr>
      <w:tr w14:paraId="6869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9E6D12F">
            <w:pPr>
              <w:adjustRightInd w:val="0"/>
              <w:spacing w:line="360" w:lineRule="auto"/>
              <w:jc w:val="center"/>
              <w:textAlignment w:val="baseline"/>
              <w:rPr>
                <w:rFonts w:ascii="宋体" w:hAnsi="宋体"/>
                <w:b/>
                <w:szCs w:val="21"/>
              </w:rPr>
            </w:pPr>
            <w:r>
              <w:rPr>
                <w:rFonts w:hint="eastAsia" w:ascii="宋体" w:hAnsi="宋体"/>
                <w:b/>
                <w:szCs w:val="21"/>
              </w:rPr>
              <w:t>2</w:t>
            </w:r>
          </w:p>
        </w:tc>
        <w:tc>
          <w:tcPr>
            <w:tcW w:w="1145" w:type="dxa"/>
            <w:vMerge w:val="restart"/>
            <w:vAlign w:val="center"/>
          </w:tcPr>
          <w:p w14:paraId="19F70BC5">
            <w:pPr>
              <w:adjustRightInd w:val="0"/>
              <w:spacing w:line="360" w:lineRule="auto"/>
              <w:jc w:val="center"/>
              <w:textAlignment w:val="baseline"/>
              <w:rPr>
                <w:rFonts w:ascii="宋体" w:hAnsi="宋体"/>
                <w:b/>
                <w:szCs w:val="21"/>
              </w:rPr>
            </w:pPr>
            <w:r>
              <w:rPr>
                <w:rFonts w:hint="eastAsia" w:ascii="宋体" w:hAnsi="宋体"/>
                <w:b/>
                <w:szCs w:val="21"/>
              </w:rPr>
              <w:t>技术分</w:t>
            </w:r>
          </w:p>
        </w:tc>
        <w:tc>
          <w:tcPr>
            <w:tcW w:w="668" w:type="dxa"/>
            <w:vMerge w:val="restart"/>
            <w:vAlign w:val="center"/>
          </w:tcPr>
          <w:p w14:paraId="30005779">
            <w:pPr>
              <w:adjustRightInd w:val="0"/>
              <w:spacing w:line="360" w:lineRule="auto"/>
              <w:jc w:val="center"/>
              <w:textAlignment w:val="baseline"/>
              <w:rPr>
                <w:rFonts w:ascii="宋体" w:hAnsi="宋体"/>
                <w:b/>
                <w:szCs w:val="21"/>
              </w:rPr>
            </w:pPr>
            <w:r>
              <w:rPr>
                <w:rFonts w:hint="eastAsia" w:ascii="宋体" w:hAnsi="宋体"/>
                <w:b/>
                <w:szCs w:val="21"/>
              </w:rPr>
              <w:t>65分</w:t>
            </w:r>
          </w:p>
        </w:tc>
        <w:tc>
          <w:tcPr>
            <w:tcW w:w="1740" w:type="dxa"/>
            <w:vAlign w:val="center"/>
          </w:tcPr>
          <w:p w14:paraId="07C46BA2">
            <w:pPr>
              <w:adjustRightInd w:val="0"/>
              <w:snapToGrid w:val="0"/>
              <w:spacing w:line="360" w:lineRule="atLeast"/>
              <w:jc w:val="center"/>
              <w:textAlignment w:val="baseline"/>
              <w:rPr>
                <w:rFonts w:ascii="宋体" w:hAnsi="宋体"/>
                <w:bCs/>
                <w:szCs w:val="21"/>
              </w:rPr>
            </w:pPr>
            <w:r>
              <w:rPr>
                <w:rFonts w:hint="eastAsia" w:ascii="宋体" w:hAnsi="宋体"/>
                <w:b/>
                <w:szCs w:val="21"/>
              </w:rPr>
              <w:t>项目需求理解(满分15分)</w:t>
            </w:r>
          </w:p>
        </w:tc>
        <w:tc>
          <w:tcPr>
            <w:tcW w:w="5350" w:type="dxa"/>
            <w:vAlign w:val="center"/>
          </w:tcPr>
          <w:p w14:paraId="35FBCA34">
            <w:pPr>
              <w:widowControl/>
              <w:snapToGrid w:val="0"/>
              <w:spacing w:line="360" w:lineRule="auto"/>
              <w:rPr>
                <w:rFonts w:hAnsi="宋体"/>
                <w:bCs/>
                <w:szCs w:val="21"/>
              </w:rPr>
            </w:pPr>
            <w:r>
              <w:rPr>
                <w:rFonts w:hint="eastAsia" w:hAnsi="宋体"/>
                <w:bCs/>
                <w:szCs w:val="21"/>
              </w:rPr>
              <w:t>投标人根据本项目的总体认识，提供针对本项目的整体系统方案(包括但不限于</w:t>
            </w:r>
            <w:r>
              <w:rPr>
                <w:rFonts w:ascii="Calibri" w:hAnsi="Calibri" w:cs="Calibri"/>
                <w:bCs/>
                <w:szCs w:val="21"/>
              </w:rPr>
              <w:t>①</w:t>
            </w:r>
            <w:r>
              <w:rPr>
                <w:rFonts w:hint="eastAsia" w:hAnsi="宋体"/>
                <w:bCs/>
                <w:szCs w:val="21"/>
              </w:rPr>
              <w:t>能够了解本项目整体架构，</w:t>
            </w:r>
            <w:r>
              <w:rPr>
                <w:rFonts w:ascii="Calibri" w:hAnsi="Calibri" w:cs="Calibri"/>
                <w:bCs/>
                <w:szCs w:val="21"/>
              </w:rPr>
              <w:t>②</w:t>
            </w:r>
            <w:r>
              <w:rPr>
                <w:rFonts w:hint="eastAsia" w:hAnsi="宋体"/>
                <w:bCs/>
                <w:szCs w:val="21"/>
              </w:rPr>
              <w:t>应用系统功能完善，系统方案合理，能满足项目需要)。</w:t>
            </w:r>
          </w:p>
          <w:p w14:paraId="3D9CF774">
            <w:pPr>
              <w:widowControl/>
              <w:snapToGrid w:val="0"/>
              <w:spacing w:line="360" w:lineRule="auto"/>
              <w:rPr>
                <w:rFonts w:hAnsi="宋体"/>
                <w:bCs/>
                <w:szCs w:val="21"/>
              </w:rPr>
            </w:pPr>
            <w:r>
              <w:rPr>
                <w:rFonts w:hint="eastAsia" w:hAnsi="宋体"/>
                <w:bCs/>
                <w:szCs w:val="21"/>
              </w:rPr>
              <w:t>一档（0分）：投标人对本项目的理解和综合情况内容描述不清晰且未提供系统架构与应用功能方案得0分。</w:t>
            </w:r>
          </w:p>
          <w:p w14:paraId="736DBF4E">
            <w:pPr>
              <w:widowControl/>
              <w:snapToGrid w:val="0"/>
              <w:spacing w:line="360" w:lineRule="auto"/>
              <w:rPr>
                <w:rFonts w:hAnsi="宋体"/>
                <w:bCs/>
                <w:szCs w:val="21"/>
              </w:rPr>
            </w:pPr>
            <w:r>
              <w:rPr>
                <w:rFonts w:hint="eastAsia" w:hAnsi="宋体"/>
                <w:bCs/>
                <w:szCs w:val="21"/>
              </w:rPr>
              <w:t>二档（3分）：投标人对本项目的理解和综合情况内容描述基本合理，清晰，且系统架构基本符合本次采购内容，方案内容基本完善、对本项目业务基本了解，系统功能设计存在部分关键功能缺失，核心业务流程无法完整实现，有少量功能设计不合理，但不影响整体使用，内容简单，对功能的阐述不够详细；</w:t>
            </w:r>
          </w:p>
          <w:p w14:paraId="37988027">
            <w:pPr>
              <w:widowControl/>
              <w:snapToGrid w:val="0"/>
              <w:spacing w:line="360" w:lineRule="auto"/>
              <w:rPr>
                <w:rFonts w:hAnsi="宋体"/>
                <w:bCs/>
                <w:szCs w:val="21"/>
              </w:rPr>
            </w:pPr>
            <w:r>
              <w:rPr>
                <w:rFonts w:hint="eastAsia" w:hAnsi="宋体"/>
                <w:bCs/>
                <w:szCs w:val="21"/>
              </w:rPr>
              <w:t>三档（8分）：系统架构基本符合本次采购内容，方案内容比较完善、阐述的较为详细、对业务理解较准确、把握较为到位，系统功能设计基本完整，核心业务流程可实现，功能完整度较高，仅有极个别细微功能待完善，功能设计合理，充分考虑了用户操作习惯和业务需求，内容详实准确，对每个功能的描述包括功能定义、操作步骤、预期效果等都清晰完整；</w:t>
            </w:r>
          </w:p>
          <w:p w14:paraId="15569CE0">
            <w:pPr>
              <w:widowControl/>
              <w:snapToGrid w:val="0"/>
              <w:spacing w:line="360" w:lineRule="auto"/>
              <w:rPr>
                <w:rFonts w:ascii="宋体" w:hAnsi="宋体"/>
                <w:bCs/>
                <w:szCs w:val="21"/>
              </w:rPr>
            </w:pPr>
            <w:r>
              <w:rPr>
                <w:rFonts w:hint="eastAsia" w:hAnsi="宋体"/>
                <w:bCs/>
                <w:szCs w:val="21"/>
              </w:rPr>
              <w:t>四档（15分）：系统架构非常符合本次采购内容，方案内容完善、阐述的详细、满足项目业务需求、对业务理解非常准确、把握到位，系统功能设计全面，涵盖项目所需的所有核心功能和拓展功能，无任何功能缺失且有一定的前瞻性，能满足未来可能的业务拓展需求，功能设计完全不仅符合现有业务逻辑，还对业务流程有一定的优化和创新，内容精准无误，可作为系统开发和维护的重要参考资料。</w:t>
            </w:r>
          </w:p>
        </w:tc>
      </w:tr>
      <w:tr w14:paraId="3163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7" w:hRule="atLeast"/>
          <w:jc w:val="center"/>
        </w:trPr>
        <w:tc>
          <w:tcPr>
            <w:tcW w:w="730" w:type="dxa"/>
            <w:vMerge w:val="continue"/>
            <w:vAlign w:val="center"/>
          </w:tcPr>
          <w:p w14:paraId="6500C524">
            <w:pPr>
              <w:adjustRightInd w:val="0"/>
              <w:spacing w:line="360" w:lineRule="auto"/>
              <w:jc w:val="center"/>
              <w:textAlignment w:val="baseline"/>
              <w:rPr>
                <w:rFonts w:ascii="宋体" w:hAnsi="宋体"/>
                <w:b/>
                <w:szCs w:val="21"/>
              </w:rPr>
            </w:pPr>
          </w:p>
        </w:tc>
        <w:tc>
          <w:tcPr>
            <w:tcW w:w="1145" w:type="dxa"/>
            <w:vMerge w:val="continue"/>
            <w:vAlign w:val="center"/>
          </w:tcPr>
          <w:p w14:paraId="7C59BD6F">
            <w:pPr>
              <w:adjustRightInd w:val="0"/>
              <w:spacing w:line="360" w:lineRule="auto"/>
              <w:jc w:val="center"/>
              <w:textAlignment w:val="baseline"/>
              <w:rPr>
                <w:rFonts w:ascii="宋体" w:hAnsi="宋体"/>
                <w:b/>
                <w:szCs w:val="21"/>
              </w:rPr>
            </w:pPr>
          </w:p>
        </w:tc>
        <w:tc>
          <w:tcPr>
            <w:tcW w:w="668" w:type="dxa"/>
            <w:vMerge w:val="continue"/>
            <w:vAlign w:val="center"/>
          </w:tcPr>
          <w:p w14:paraId="77BBFB26">
            <w:pPr>
              <w:adjustRightInd w:val="0"/>
              <w:spacing w:line="360" w:lineRule="auto"/>
              <w:jc w:val="center"/>
              <w:textAlignment w:val="baseline"/>
              <w:rPr>
                <w:rFonts w:ascii="宋体" w:hAnsi="宋体"/>
                <w:b/>
                <w:szCs w:val="21"/>
              </w:rPr>
            </w:pPr>
          </w:p>
        </w:tc>
        <w:tc>
          <w:tcPr>
            <w:tcW w:w="1740" w:type="dxa"/>
            <w:vMerge w:val="restart"/>
            <w:vAlign w:val="center"/>
          </w:tcPr>
          <w:p w14:paraId="384F0BDF">
            <w:pPr>
              <w:adjustRightInd w:val="0"/>
              <w:spacing w:line="360" w:lineRule="auto"/>
              <w:jc w:val="center"/>
              <w:textAlignment w:val="baseline"/>
              <w:rPr>
                <w:rFonts w:ascii="宋体" w:hAnsi="宋体"/>
                <w:bCs/>
                <w:szCs w:val="21"/>
              </w:rPr>
            </w:pPr>
            <w:r>
              <w:rPr>
                <w:rFonts w:hint="eastAsia" w:hAnsi="宋体" w:cs="宋体"/>
                <w:b/>
                <w:bCs/>
                <w:szCs w:val="21"/>
              </w:rPr>
              <w:t>技术服务方案</w:t>
            </w:r>
            <w:r>
              <w:rPr>
                <w:rFonts w:hint="eastAsia" w:ascii="宋体" w:hAnsi="宋体" w:cs="微软雅黑"/>
                <w:b/>
                <w:szCs w:val="21"/>
              </w:rPr>
              <w:t>30</w:t>
            </w:r>
            <w:r>
              <w:rPr>
                <w:rFonts w:hint="eastAsia" w:hAnsi="宋体" w:cs="宋体"/>
                <w:b/>
                <w:bCs/>
                <w:szCs w:val="21"/>
              </w:rPr>
              <w:t>分</w:t>
            </w:r>
            <w:r>
              <w:rPr>
                <w:rFonts w:hint="eastAsia" w:ascii="宋体" w:hAnsi="宋体" w:cs="微软雅黑"/>
                <w:b/>
                <w:szCs w:val="21"/>
              </w:rPr>
              <w:t>（含技术方案满分1</w:t>
            </w:r>
            <w:r>
              <w:rPr>
                <w:rFonts w:ascii="宋体" w:hAnsi="宋体" w:cs="微软雅黑"/>
                <w:b/>
                <w:szCs w:val="21"/>
              </w:rPr>
              <w:t>5分，</w:t>
            </w:r>
            <w:r>
              <w:rPr>
                <w:rFonts w:hint="eastAsia" w:ascii="宋体" w:hAnsi="宋体" w:cs="微软雅黑"/>
                <w:b/>
                <w:szCs w:val="21"/>
              </w:rPr>
              <w:t>系统演示满分</w:t>
            </w:r>
            <w:r>
              <w:rPr>
                <w:rFonts w:ascii="宋体" w:hAnsi="宋体" w:cs="微软雅黑"/>
                <w:b/>
                <w:szCs w:val="21"/>
              </w:rPr>
              <w:t>15分</w:t>
            </w:r>
            <w:r>
              <w:rPr>
                <w:rFonts w:hint="eastAsia" w:ascii="宋体" w:hAnsi="宋体" w:cs="微软雅黑"/>
                <w:b/>
                <w:szCs w:val="21"/>
              </w:rPr>
              <w:t>）</w:t>
            </w:r>
          </w:p>
        </w:tc>
        <w:tc>
          <w:tcPr>
            <w:tcW w:w="5350" w:type="dxa"/>
            <w:vAlign w:val="center"/>
          </w:tcPr>
          <w:p w14:paraId="2A0073B7">
            <w:pPr>
              <w:widowControl/>
              <w:snapToGrid w:val="0"/>
              <w:spacing w:line="360" w:lineRule="auto"/>
              <w:rPr>
                <w:rFonts w:hint="default" w:hAnsi="宋体" w:eastAsia="宋体"/>
                <w:bCs/>
                <w:szCs w:val="21"/>
                <w:lang w:val="en-US" w:eastAsia="zh-CN"/>
              </w:rPr>
            </w:pPr>
            <w:r>
              <w:rPr>
                <w:rFonts w:hint="eastAsia" w:hAnsi="宋体"/>
                <w:bCs/>
                <w:szCs w:val="21"/>
                <w:lang w:val="en-US" w:eastAsia="zh-CN"/>
              </w:rPr>
              <w:t>（1）技术服务方案（满分15分）</w:t>
            </w:r>
          </w:p>
          <w:p w14:paraId="4FE65547">
            <w:pPr>
              <w:widowControl/>
              <w:snapToGrid w:val="0"/>
              <w:spacing w:line="360" w:lineRule="auto"/>
              <w:rPr>
                <w:rFonts w:hint="eastAsia" w:hAnsi="宋体" w:eastAsia="宋体"/>
                <w:b/>
                <w:bCs/>
                <w:sz w:val="24"/>
                <w:lang w:eastAsia="zh-CN"/>
              </w:rPr>
            </w:pPr>
            <w:r>
              <w:rPr>
                <w:rFonts w:hint="eastAsia" w:hAnsi="宋体"/>
                <w:bCs/>
                <w:szCs w:val="21"/>
              </w:rPr>
              <w:t>一档（0分）：投标人未提供技术服务方案</w:t>
            </w:r>
            <w:r>
              <w:rPr>
                <w:rFonts w:hint="eastAsia" w:hAnsi="宋体"/>
                <w:b/>
                <w:bCs/>
                <w:sz w:val="24"/>
                <w:lang w:eastAsia="zh-CN"/>
              </w:rPr>
              <w:t>；</w:t>
            </w:r>
          </w:p>
          <w:p w14:paraId="475FF0D5">
            <w:pPr>
              <w:widowControl/>
              <w:snapToGrid w:val="0"/>
              <w:spacing w:line="360" w:lineRule="auto"/>
              <w:rPr>
                <w:rFonts w:hAnsi="宋体"/>
                <w:b/>
                <w:bCs/>
                <w:sz w:val="24"/>
              </w:rPr>
            </w:pPr>
            <w:r>
              <w:rPr>
                <w:rFonts w:hint="eastAsia" w:hAnsi="宋体"/>
                <w:bCs/>
                <w:szCs w:val="21"/>
              </w:rPr>
              <w:t>二档（</w:t>
            </w:r>
            <w:r>
              <w:rPr>
                <w:rFonts w:hAnsi="宋体"/>
                <w:bCs/>
                <w:szCs w:val="21"/>
              </w:rPr>
              <w:t>6</w:t>
            </w:r>
            <w:r>
              <w:rPr>
                <w:rFonts w:hint="eastAsia" w:hAnsi="宋体"/>
                <w:bCs/>
                <w:szCs w:val="21"/>
              </w:rPr>
              <w:t>分）：投标人提供了技术服务方案，方案描述了项目组织实施安排、技术服务方案的</w:t>
            </w:r>
            <w:r>
              <w:rPr>
                <w:rFonts w:hint="eastAsia" w:hAnsi="宋体"/>
                <w:b/>
                <w:bCs/>
                <w:sz w:val="24"/>
              </w:rPr>
              <w:t>；</w:t>
            </w:r>
          </w:p>
          <w:p w14:paraId="4C358851">
            <w:pPr>
              <w:widowControl/>
              <w:snapToGrid w:val="0"/>
              <w:spacing w:line="360" w:lineRule="auto"/>
              <w:rPr>
                <w:rFonts w:hAnsi="宋体"/>
                <w:bCs/>
                <w:szCs w:val="21"/>
              </w:rPr>
            </w:pPr>
            <w:r>
              <w:rPr>
                <w:rFonts w:hint="eastAsia" w:hAnsi="宋体"/>
                <w:bCs/>
                <w:szCs w:val="21"/>
              </w:rPr>
              <w:t>三档（</w:t>
            </w:r>
            <w:r>
              <w:rPr>
                <w:rFonts w:hAnsi="宋体"/>
                <w:bCs/>
                <w:szCs w:val="21"/>
              </w:rPr>
              <w:t>10</w:t>
            </w:r>
            <w:r>
              <w:rPr>
                <w:rFonts w:hint="eastAsia" w:hAnsi="宋体"/>
                <w:bCs/>
                <w:szCs w:val="21"/>
              </w:rPr>
              <w:t>分）：投标人提供了详细的技术服务方案，方案详细描述了项目组织实施安排、人员安排以及技术服务方案，且各种服务文档规范</w:t>
            </w:r>
            <w:r>
              <w:rPr>
                <w:rFonts w:hAnsi="宋体"/>
                <w:bCs/>
                <w:szCs w:val="21"/>
              </w:rPr>
              <w:t>齐全</w:t>
            </w:r>
            <w:r>
              <w:rPr>
                <w:rFonts w:hint="eastAsia" w:hAnsi="宋体"/>
                <w:b/>
                <w:bCs/>
                <w:sz w:val="24"/>
              </w:rPr>
              <w:t>；</w:t>
            </w:r>
          </w:p>
          <w:p w14:paraId="6F4C81EF">
            <w:pPr>
              <w:snapToGrid w:val="0"/>
              <w:spacing w:line="360" w:lineRule="auto"/>
              <w:rPr>
                <w:rFonts w:ascii="宋体" w:hAnsi="宋体"/>
                <w:bCs/>
                <w:szCs w:val="21"/>
              </w:rPr>
            </w:pPr>
            <w:r>
              <w:rPr>
                <w:rFonts w:hint="eastAsia" w:hAnsi="宋体"/>
                <w:bCs/>
                <w:szCs w:val="21"/>
              </w:rPr>
              <w:t>四档（</w:t>
            </w:r>
            <w:r>
              <w:rPr>
                <w:rFonts w:hAnsi="宋体"/>
                <w:bCs/>
                <w:szCs w:val="21"/>
              </w:rPr>
              <w:t>15</w:t>
            </w:r>
            <w:r>
              <w:rPr>
                <w:rFonts w:hint="eastAsia" w:hAnsi="宋体"/>
                <w:bCs/>
                <w:szCs w:val="21"/>
              </w:rPr>
              <w:t>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r>
              <w:rPr>
                <w:rFonts w:hAnsi="宋体"/>
                <w:bCs/>
                <w:szCs w:val="21"/>
              </w:rPr>
              <w:t>。</w:t>
            </w:r>
          </w:p>
        </w:tc>
      </w:tr>
      <w:tr w14:paraId="5AD9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5" w:type="dxa"/>
            <w:vMerge w:val="continue"/>
            <w:vAlign w:val="center"/>
          </w:tcPr>
          <w:p w14:paraId="3E7CF2C1">
            <w:pPr>
              <w:adjustRightInd w:val="0"/>
              <w:spacing w:line="360" w:lineRule="auto"/>
              <w:jc w:val="center"/>
              <w:textAlignment w:val="baseline"/>
              <w:rPr>
                <w:rFonts w:ascii="宋体" w:hAnsi="宋体"/>
                <w:b/>
                <w:szCs w:val="21"/>
              </w:rPr>
            </w:pPr>
          </w:p>
        </w:tc>
        <w:tc>
          <w:tcPr>
            <w:tcW w:w="1200" w:type="dxa"/>
            <w:vMerge w:val="continue"/>
            <w:vAlign w:val="center"/>
          </w:tcPr>
          <w:p w14:paraId="5A79AA55">
            <w:pPr>
              <w:adjustRightInd w:val="0"/>
              <w:spacing w:line="360" w:lineRule="auto"/>
              <w:jc w:val="center"/>
              <w:textAlignment w:val="baseline"/>
              <w:rPr>
                <w:rFonts w:ascii="宋体" w:hAnsi="宋体"/>
                <w:b/>
                <w:szCs w:val="21"/>
              </w:rPr>
            </w:pPr>
          </w:p>
        </w:tc>
        <w:tc>
          <w:tcPr>
            <w:tcW w:w="700" w:type="dxa"/>
            <w:vMerge w:val="continue"/>
            <w:vAlign w:val="center"/>
          </w:tcPr>
          <w:p w14:paraId="08885F04">
            <w:pPr>
              <w:adjustRightInd w:val="0"/>
              <w:spacing w:line="360" w:lineRule="auto"/>
              <w:jc w:val="center"/>
              <w:textAlignment w:val="baseline"/>
              <w:rPr>
                <w:rFonts w:ascii="宋体" w:hAnsi="宋体"/>
                <w:b/>
                <w:szCs w:val="21"/>
              </w:rPr>
            </w:pPr>
          </w:p>
        </w:tc>
        <w:tc>
          <w:tcPr>
            <w:tcW w:w="1824" w:type="dxa"/>
            <w:vMerge w:val="continue"/>
            <w:vAlign w:val="center"/>
          </w:tcPr>
          <w:p w14:paraId="72B1D1A6">
            <w:pPr>
              <w:adjustRightInd w:val="0"/>
              <w:spacing w:line="360" w:lineRule="auto"/>
              <w:jc w:val="center"/>
              <w:textAlignment w:val="baseline"/>
              <w:rPr>
                <w:rFonts w:hAnsi="宋体" w:cs="宋体"/>
                <w:b/>
                <w:bCs/>
                <w:szCs w:val="21"/>
              </w:rPr>
            </w:pPr>
          </w:p>
        </w:tc>
        <w:tc>
          <w:tcPr>
            <w:tcW w:w="5607" w:type="dxa"/>
            <w:vAlign w:val="center"/>
          </w:tcPr>
          <w:p w14:paraId="376AB19C">
            <w:pPr>
              <w:widowControl/>
              <w:snapToGrid w:val="0"/>
              <w:spacing w:line="360" w:lineRule="auto"/>
              <w:rPr>
                <w:rFonts w:hint="default" w:hAnsi="宋体" w:eastAsia="宋体"/>
                <w:bCs/>
                <w:szCs w:val="21"/>
                <w:lang w:val="en-US" w:eastAsia="zh-CN"/>
              </w:rPr>
            </w:pPr>
            <w:r>
              <w:rPr>
                <w:rFonts w:hint="eastAsia" w:hAnsi="宋体"/>
                <w:bCs/>
                <w:szCs w:val="21"/>
                <w:lang w:eastAsia="zh-CN"/>
              </w:rPr>
              <w:t>（</w:t>
            </w:r>
            <w:r>
              <w:rPr>
                <w:rFonts w:hint="eastAsia" w:hAnsi="宋体"/>
                <w:bCs/>
                <w:szCs w:val="21"/>
                <w:lang w:val="en-US" w:eastAsia="zh-CN"/>
              </w:rPr>
              <w:t>2</w:t>
            </w:r>
            <w:r>
              <w:rPr>
                <w:rFonts w:hint="eastAsia" w:hAnsi="宋体"/>
                <w:bCs/>
                <w:szCs w:val="21"/>
                <w:lang w:eastAsia="zh-CN"/>
              </w:rPr>
              <w:t>）</w:t>
            </w:r>
            <w:r>
              <w:rPr>
                <w:rFonts w:hint="eastAsia" w:hAnsi="宋体"/>
                <w:bCs/>
                <w:szCs w:val="21"/>
                <w:lang w:val="en-US" w:eastAsia="zh-CN"/>
              </w:rPr>
              <w:t>系统演示（满分15分）</w:t>
            </w:r>
          </w:p>
          <w:p w14:paraId="6C886E77">
            <w:pPr>
              <w:widowControl/>
              <w:snapToGrid w:val="0"/>
              <w:spacing w:line="360" w:lineRule="auto"/>
              <w:rPr>
                <w:rFonts w:hint="eastAsia" w:hAnsi="宋体" w:eastAsia="宋体"/>
                <w:bCs/>
                <w:szCs w:val="21"/>
                <w:lang w:eastAsia="zh-CN"/>
              </w:rPr>
            </w:pPr>
            <w:r>
              <w:rPr>
                <w:rFonts w:hAnsi="宋体"/>
                <w:bCs/>
                <w:szCs w:val="21"/>
              </w:rPr>
              <w:t>此项须提供系统演示功能。系统功能需包含</w:t>
            </w:r>
            <w:r>
              <w:rPr>
                <w:rFonts w:hint="eastAsia" w:hAnsi="宋体"/>
                <w:bCs/>
                <w:szCs w:val="21"/>
                <w:lang w:eastAsia="zh-CN"/>
              </w:rPr>
              <w:t>：</w:t>
            </w:r>
          </w:p>
          <w:p w14:paraId="3BAF4000">
            <w:pPr>
              <w:widowControl/>
              <w:snapToGrid w:val="0"/>
              <w:spacing w:line="360" w:lineRule="auto"/>
              <w:rPr>
                <w:rFonts w:hAnsi="宋体"/>
                <w:b/>
                <w:bCs/>
                <w:sz w:val="24"/>
              </w:rPr>
            </w:pPr>
            <w:r>
              <w:rPr>
                <w:rFonts w:hAnsi="宋体"/>
                <w:b/>
                <w:bCs/>
                <w:sz w:val="24"/>
              </w:rPr>
              <w:t>1.</w:t>
            </w:r>
            <w:r>
              <w:rPr>
                <w:rFonts w:hint="eastAsia" w:hAnsi="宋体"/>
                <w:b/>
                <w:bCs/>
                <w:sz w:val="24"/>
              </w:rPr>
              <w:t>学员线上择校报名入口，通过接入具备法律效力的电子签章为学员实现线上签订电子合同功能</w:t>
            </w:r>
            <w:r>
              <w:rPr>
                <w:rFonts w:hint="eastAsia" w:hAnsi="宋体"/>
                <w:b/>
                <w:bCs/>
                <w:sz w:val="24"/>
                <w:lang w:val="en-US" w:eastAsia="zh-CN"/>
              </w:rPr>
              <w:t>的，</w:t>
            </w:r>
            <w:r>
              <w:rPr>
                <w:rFonts w:hint="eastAsia" w:hAnsi="宋体"/>
                <w:b/>
                <w:bCs/>
                <w:sz w:val="24"/>
              </w:rPr>
              <w:t>得</w:t>
            </w:r>
            <w:r>
              <w:rPr>
                <w:rFonts w:hAnsi="宋体"/>
                <w:b/>
                <w:bCs/>
                <w:sz w:val="24"/>
              </w:rPr>
              <w:t>3</w:t>
            </w:r>
            <w:r>
              <w:rPr>
                <w:rFonts w:hint="eastAsia" w:hAnsi="宋体"/>
                <w:b/>
                <w:bCs/>
                <w:sz w:val="24"/>
              </w:rPr>
              <w:t>分。</w:t>
            </w:r>
          </w:p>
          <w:p w14:paraId="19C9B36F">
            <w:pPr>
              <w:widowControl/>
              <w:snapToGrid w:val="0"/>
              <w:spacing w:line="360" w:lineRule="auto"/>
              <w:rPr>
                <w:rFonts w:hint="eastAsia" w:hAnsi="宋体"/>
                <w:b/>
                <w:bCs/>
                <w:sz w:val="24"/>
                <w:lang w:val="en-US" w:eastAsia="zh-CN"/>
              </w:rPr>
            </w:pPr>
            <w:r>
              <w:rPr>
                <w:rFonts w:hAnsi="宋体"/>
                <w:b/>
                <w:bCs/>
                <w:sz w:val="24"/>
              </w:rPr>
              <w:t>2.</w:t>
            </w:r>
            <w:r>
              <w:rPr>
                <w:rFonts w:hint="eastAsia" w:hAnsi="宋体"/>
                <w:b/>
                <w:bCs/>
                <w:sz w:val="24"/>
              </w:rPr>
              <w:t>学员线上支付、学费清分功能，实现学员线上缴纳培训学费，</w:t>
            </w:r>
            <w:r>
              <w:rPr>
                <w:rFonts w:hint="eastAsia" w:hAnsi="宋体"/>
                <w:b/>
                <w:bCs/>
                <w:sz w:val="24"/>
                <w:lang w:val="en-US" w:eastAsia="zh-CN"/>
              </w:rPr>
              <w:t>可与银行对接后，实现学费资金自动清分至驾校在银行开立的专用监管账户的，得4分。</w:t>
            </w:r>
            <w:r>
              <w:rPr>
                <w:rFonts w:hint="eastAsia" w:hAnsi="宋体"/>
                <w:b/>
                <w:bCs/>
                <w:sz w:val="24"/>
              </w:rPr>
              <w:cr/>
            </w:r>
            <w:r>
              <w:rPr>
                <w:rFonts w:hAnsi="宋体"/>
                <w:b/>
                <w:bCs/>
                <w:sz w:val="24"/>
              </w:rPr>
              <w:t>3.</w:t>
            </w:r>
            <w:r>
              <w:rPr>
                <w:rFonts w:hint="eastAsia" w:hAnsi="宋体"/>
                <w:b/>
                <w:bCs/>
                <w:sz w:val="24"/>
              </w:rPr>
              <w:t>资金监管功能，按照培训合同约定，依据学员培训学时情况，</w:t>
            </w:r>
            <w:r>
              <w:rPr>
                <w:rFonts w:hint="eastAsia" w:hAnsi="宋体"/>
                <w:b/>
                <w:bCs/>
                <w:sz w:val="24"/>
                <w:lang w:val="en-US" w:eastAsia="zh-CN"/>
              </w:rPr>
              <w:t>可与银行对接后，实现银行分阶段分批次解冻培训费用的，得4分。</w:t>
            </w:r>
          </w:p>
          <w:p w14:paraId="4902B747">
            <w:pPr>
              <w:widowControl/>
              <w:snapToGrid w:val="0"/>
              <w:spacing w:line="360" w:lineRule="auto"/>
              <w:rPr>
                <w:rFonts w:hint="default" w:hAnsi="宋体" w:eastAsia="宋体"/>
                <w:b/>
                <w:bCs/>
                <w:sz w:val="24"/>
                <w:lang w:val="en-US" w:eastAsia="zh-CN"/>
              </w:rPr>
            </w:pPr>
            <w:r>
              <w:rPr>
                <w:rFonts w:hAnsi="宋体"/>
                <w:b/>
                <w:bCs/>
                <w:sz w:val="24"/>
              </w:rPr>
              <w:t>4.</w:t>
            </w:r>
            <w:r>
              <w:rPr>
                <w:rFonts w:hint="eastAsia" w:hAnsi="宋体"/>
                <w:b/>
                <w:bCs/>
                <w:sz w:val="24"/>
              </w:rPr>
              <w:t>设置学员学时查询入口，可通过标准数据接口对接广西驾驶培训监管平台</w:t>
            </w:r>
            <w:r>
              <w:rPr>
                <w:rFonts w:hint="eastAsia" w:hAnsi="宋体"/>
                <w:b/>
                <w:bCs/>
                <w:sz w:val="24"/>
                <w:lang w:val="en-US" w:eastAsia="zh-CN"/>
              </w:rPr>
              <w:t>后</w:t>
            </w:r>
            <w:r>
              <w:rPr>
                <w:rFonts w:hint="eastAsia" w:hAnsi="宋体"/>
                <w:b/>
                <w:bCs/>
                <w:sz w:val="24"/>
              </w:rPr>
              <w:t>，实时查询调取平台学员学时相关信息</w:t>
            </w:r>
            <w:r>
              <w:rPr>
                <w:rFonts w:hint="eastAsia" w:hAnsi="宋体"/>
                <w:b/>
                <w:bCs/>
                <w:sz w:val="24"/>
                <w:lang w:val="en-US" w:eastAsia="zh-CN"/>
              </w:rPr>
              <w:t>的，得4分。</w:t>
            </w:r>
          </w:p>
          <w:p w14:paraId="14C87D75">
            <w:pPr>
              <w:spacing w:line="440" w:lineRule="exact"/>
              <w:rPr>
                <w:rFonts w:ascii="宋体" w:hAnsi="宋体" w:cs="宋体"/>
                <w:szCs w:val="21"/>
                <w:highlight w:val="none"/>
              </w:rPr>
            </w:pPr>
            <w:r>
              <w:rPr>
                <w:rFonts w:hint="eastAsia" w:ascii="宋体" w:hAnsi="宋体" w:cs="宋体"/>
                <w:szCs w:val="21"/>
                <w:highlight w:val="none"/>
              </w:rPr>
              <w:t>1、演示方式：评标委员会通过在政采云平台上发起视频会议邀请投标人在线上进行系统功能演示。</w:t>
            </w:r>
          </w:p>
          <w:p w14:paraId="6A81BE27">
            <w:pPr>
              <w:spacing w:line="440" w:lineRule="exact"/>
              <w:rPr>
                <w:rFonts w:ascii="宋体" w:hAnsi="宋体" w:cs="宋体"/>
                <w:szCs w:val="21"/>
                <w:highlight w:val="none"/>
              </w:rPr>
            </w:pPr>
            <w:r>
              <w:rPr>
                <w:rFonts w:hint="eastAsia" w:ascii="宋体" w:hAnsi="宋体" w:cs="宋体"/>
                <w:szCs w:val="21"/>
                <w:highlight w:val="none"/>
              </w:rPr>
              <w:t>特别提示：由于系统功能演示是通过</w:t>
            </w:r>
            <w:r>
              <w:rPr>
                <w:rFonts w:hint="eastAsia" w:ascii="宋体" w:hAnsi="宋体"/>
                <w:szCs w:val="21"/>
                <w:highlight w:val="none"/>
              </w:rPr>
              <w:t>广西政府采购云平台</w:t>
            </w:r>
            <w:r>
              <w:rPr>
                <w:rFonts w:hint="eastAsia" w:ascii="宋体" w:hAnsi="宋体" w:cs="宋体"/>
                <w:szCs w:val="21"/>
                <w:highlight w:val="none"/>
              </w:rPr>
              <w:t>“视频会议”进行，因此投标人参加演示的设备配备及设置必须符合</w:t>
            </w:r>
            <w:r>
              <w:rPr>
                <w:rFonts w:hint="eastAsia" w:ascii="宋体" w:hAnsi="宋体"/>
                <w:szCs w:val="21"/>
                <w:highlight w:val="none"/>
              </w:rPr>
              <w:t>广西政府采购云平台</w:t>
            </w:r>
            <w:r>
              <w:rPr>
                <w:rFonts w:hint="eastAsia" w:ascii="宋体" w:hAnsi="宋体" w:cs="宋体"/>
                <w:szCs w:val="21"/>
                <w:highlight w:val="none"/>
              </w:rPr>
              <w:t>“视频会议”的相关要求，并且演示人员也须按照</w:t>
            </w:r>
            <w:r>
              <w:rPr>
                <w:rFonts w:hint="eastAsia" w:ascii="宋体" w:hAnsi="宋体"/>
                <w:szCs w:val="21"/>
                <w:highlight w:val="none"/>
              </w:rPr>
              <w:t>广西政府采购云平台</w:t>
            </w:r>
            <w:r>
              <w:rPr>
                <w:rFonts w:hint="eastAsia" w:ascii="宋体" w:hAnsi="宋体" w:cs="宋体"/>
                <w:szCs w:val="21"/>
                <w:highlight w:val="none"/>
              </w:rPr>
              <w:t>要求进行操作（设备配备及设置具体要求和操作流程，由投标人自行咨询</w:t>
            </w:r>
            <w:r>
              <w:rPr>
                <w:rFonts w:hint="eastAsia" w:ascii="宋体" w:hAnsi="宋体"/>
                <w:szCs w:val="21"/>
                <w:highlight w:val="none"/>
              </w:rPr>
              <w:t>广西政府采购云平台</w:t>
            </w:r>
            <w:r>
              <w:rPr>
                <w:rFonts w:hint="eastAsia" w:ascii="宋体" w:hAnsi="宋体" w:cs="宋体"/>
                <w:szCs w:val="21"/>
                <w:highlight w:val="none"/>
              </w:rPr>
              <w:t>客服,客服电话：95763）。如由于投标人设备配备及设置不合要求，或者演示人员操作不当，导致演示失败或者影响演示效果的后果由投标人自负。</w:t>
            </w:r>
          </w:p>
          <w:p w14:paraId="0E68D768">
            <w:pPr>
              <w:spacing w:line="440" w:lineRule="exact"/>
              <w:rPr>
                <w:rFonts w:ascii="宋体" w:hAnsi="宋体" w:cs="宋体"/>
                <w:szCs w:val="21"/>
                <w:highlight w:val="none"/>
              </w:rPr>
            </w:pPr>
            <w:r>
              <w:rPr>
                <w:rFonts w:hint="eastAsia" w:ascii="宋体" w:hAnsi="宋体" w:cs="宋体"/>
                <w:szCs w:val="21"/>
                <w:highlight w:val="none"/>
              </w:rPr>
              <w:t>2、投标人必须按</w:t>
            </w:r>
            <w:r>
              <w:rPr>
                <w:rFonts w:hint="eastAsia" w:ascii="宋体" w:hAnsi="宋体"/>
                <w:szCs w:val="21"/>
                <w:highlight w:val="none"/>
              </w:rPr>
              <w:t>广西政府采购云平台</w:t>
            </w:r>
            <w:r>
              <w:rPr>
                <w:rFonts w:hint="eastAsia" w:ascii="宋体" w:hAnsi="宋体" w:cs="宋体"/>
                <w:szCs w:val="21"/>
                <w:highlight w:val="none"/>
              </w:rPr>
              <w:t>“视频会议”的相关要求提前准备好线上演示的设备配置及演示内容。并于项目开标当天截标后在</w:t>
            </w:r>
            <w:r>
              <w:rPr>
                <w:rFonts w:hint="eastAsia" w:ascii="宋体" w:hAnsi="宋体"/>
                <w:szCs w:val="21"/>
                <w:highlight w:val="none"/>
              </w:rPr>
              <w:t>广西政府采购云平台</w:t>
            </w:r>
            <w:r>
              <w:rPr>
                <w:rFonts w:hint="eastAsia" w:ascii="宋体" w:hAnsi="宋体" w:cs="宋体"/>
                <w:szCs w:val="21"/>
                <w:highlight w:val="none"/>
              </w:rPr>
              <w:t>上在线等候进行演示，如由于投标人未在线等候造成未能够进行演示的后果由投标人自负。</w:t>
            </w:r>
          </w:p>
          <w:p w14:paraId="671C6035">
            <w:pPr>
              <w:spacing w:line="440" w:lineRule="exact"/>
              <w:rPr>
                <w:rFonts w:ascii="宋体" w:hAnsi="宋体" w:cs="宋体"/>
                <w:szCs w:val="21"/>
              </w:rPr>
            </w:pPr>
            <w:r>
              <w:rPr>
                <w:rFonts w:hint="eastAsia" w:ascii="宋体" w:hAnsi="宋体" w:cs="宋体"/>
                <w:szCs w:val="21"/>
                <w:highlight w:val="none"/>
              </w:rPr>
              <w:t>3、评审因素：根据采购文件系统功能的要求，演示过程是否有各项演示功能、是否满足本项目建设需求（演示以录屏或投标人认为符合广西政府采购云平台“视频会议”要求便于展示的方式进行，时间为10分钟以内）。</w:t>
            </w:r>
          </w:p>
          <w:p w14:paraId="50B6EDAA">
            <w:pPr>
              <w:widowControl/>
              <w:snapToGrid w:val="0"/>
              <w:spacing w:line="360" w:lineRule="auto"/>
              <w:rPr>
                <w:rFonts w:hint="eastAsia" w:hAnsi="宋体"/>
                <w:b/>
                <w:bCs/>
                <w:sz w:val="24"/>
              </w:rPr>
            </w:pPr>
          </w:p>
          <w:p w14:paraId="2AC4CC29">
            <w:pPr>
              <w:snapToGrid w:val="0"/>
              <w:spacing w:line="360" w:lineRule="auto"/>
              <w:rPr>
                <w:rFonts w:hAnsi="宋体"/>
                <w:bCs/>
                <w:szCs w:val="21"/>
              </w:rPr>
            </w:pPr>
          </w:p>
        </w:tc>
      </w:tr>
      <w:tr w14:paraId="2E3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758747CE">
            <w:pPr>
              <w:adjustRightInd w:val="0"/>
              <w:spacing w:line="360" w:lineRule="auto"/>
              <w:jc w:val="center"/>
              <w:textAlignment w:val="baseline"/>
              <w:rPr>
                <w:rFonts w:ascii="宋体" w:hAnsi="宋体"/>
                <w:b/>
                <w:szCs w:val="21"/>
              </w:rPr>
            </w:pPr>
          </w:p>
        </w:tc>
        <w:tc>
          <w:tcPr>
            <w:tcW w:w="1200" w:type="dxa"/>
            <w:vMerge w:val="continue"/>
            <w:vAlign w:val="center"/>
          </w:tcPr>
          <w:p w14:paraId="6F3D9F14">
            <w:pPr>
              <w:adjustRightInd w:val="0"/>
              <w:spacing w:line="360" w:lineRule="auto"/>
              <w:jc w:val="center"/>
              <w:textAlignment w:val="baseline"/>
              <w:rPr>
                <w:rFonts w:ascii="宋体" w:hAnsi="宋体"/>
                <w:b/>
                <w:szCs w:val="21"/>
              </w:rPr>
            </w:pPr>
          </w:p>
        </w:tc>
        <w:tc>
          <w:tcPr>
            <w:tcW w:w="700" w:type="dxa"/>
            <w:vMerge w:val="continue"/>
            <w:vAlign w:val="center"/>
          </w:tcPr>
          <w:p w14:paraId="52EA7E70">
            <w:pPr>
              <w:adjustRightInd w:val="0"/>
              <w:spacing w:line="360" w:lineRule="auto"/>
              <w:jc w:val="center"/>
              <w:textAlignment w:val="baseline"/>
              <w:rPr>
                <w:rFonts w:ascii="宋体" w:hAnsi="宋体"/>
                <w:b/>
                <w:szCs w:val="21"/>
              </w:rPr>
            </w:pPr>
          </w:p>
        </w:tc>
        <w:tc>
          <w:tcPr>
            <w:tcW w:w="1824" w:type="dxa"/>
            <w:vAlign w:val="center"/>
          </w:tcPr>
          <w:p w14:paraId="3B3E7A78">
            <w:pPr>
              <w:adjustRightInd w:val="0"/>
              <w:spacing w:line="360" w:lineRule="auto"/>
              <w:jc w:val="center"/>
              <w:textAlignment w:val="baseline"/>
              <w:rPr>
                <w:rFonts w:ascii="宋体" w:hAnsi="宋体"/>
                <w:bCs/>
                <w:szCs w:val="21"/>
              </w:rPr>
            </w:pPr>
            <w:r>
              <w:rPr>
                <w:rFonts w:hint="eastAsia" w:hAnsi="宋体" w:cs="宋体"/>
                <w:b/>
                <w:bCs/>
                <w:szCs w:val="21"/>
              </w:rPr>
              <w:t>运维售后服务方案分</w:t>
            </w:r>
            <w:r>
              <w:rPr>
                <w:rFonts w:hint="eastAsia" w:ascii="宋体" w:hAnsi="宋体" w:cs="微软雅黑"/>
                <w:b/>
                <w:szCs w:val="21"/>
              </w:rPr>
              <w:t>（满分2</w:t>
            </w:r>
            <w:r>
              <w:rPr>
                <w:rFonts w:ascii="宋体" w:hAnsi="宋体" w:cs="微软雅黑"/>
                <w:b/>
                <w:szCs w:val="21"/>
              </w:rPr>
              <w:t>0</w:t>
            </w:r>
            <w:r>
              <w:rPr>
                <w:rFonts w:hint="eastAsia" w:ascii="宋体" w:hAnsi="宋体" w:cs="微软雅黑"/>
                <w:b/>
                <w:szCs w:val="21"/>
              </w:rPr>
              <w:t>分）</w:t>
            </w:r>
          </w:p>
        </w:tc>
        <w:tc>
          <w:tcPr>
            <w:tcW w:w="5607" w:type="dxa"/>
            <w:vAlign w:val="center"/>
          </w:tcPr>
          <w:p w14:paraId="26145F02">
            <w:pPr>
              <w:widowControl/>
              <w:snapToGrid w:val="0"/>
              <w:spacing w:line="360" w:lineRule="auto"/>
              <w:rPr>
                <w:rFonts w:hAnsi="宋体"/>
                <w:bCs/>
                <w:szCs w:val="21"/>
              </w:rPr>
            </w:pPr>
            <w:r>
              <w:rPr>
                <w:rFonts w:hint="eastAsia" w:hAnsi="宋体"/>
                <w:bCs/>
                <w:szCs w:val="21"/>
              </w:rPr>
              <w:t>一档（0分）：投标人未提供运维售后服务方案得0分。</w:t>
            </w:r>
          </w:p>
          <w:p w14:paraId="2BF24E9E">
            <w:pPr>
              <w:widowControl/>
              <w:snapToGrid w:val="0"/>
              <w:spacing w:line="360" w:lineRule="auto"/>
              <w:rPr>
                <w:rFonts w:hAnsi="宋体"/>
                <w:bCs/>
                <w:szCs w:val="21"/>
              </w:rPr>
            </w:pPr>
            <w:r>
              <w:rPr>
                <w:rFonts w:hint="eastAsia" w:hAnsi="宋体"/>
                <w:bCs/>
                <w:szCs w:val="21"/>
              </w:rPr>
              <w:t>二档（7分）：质量保证措施和售后服务承诺较简单；售后响应时间不及时或较慢，无具体承诺或不适用，服务内容、保障措施简单。</w:t>
            </w:r>
          </w:p>
          <w:p w14:paraId="08E8E8B5">
            <w:pPr>
              <w:widowControl/>
              <w:snapToGrid w:val="0"/>
              <w:spacing w:line="360" w:lineRule="auto"/>
              <w:rPr>
                <w:rFonts w:hAnsi="宋体"/>
                <w:bCs/>
                <w:szCs w:val="21"/>
              </w:rPr>
            </w:pPr>
            <w:r>
              <w:rPr>
                <w:rFonts w:hint="eastAsia" w:hAnsi="宋体"/>
                <w:bCs/>
                <w:szCs w:val="21"/>
              </w:rPr>
              <w:t>三档（14分）：质量保证措施和售后服务承诺基本满足采购文件要求，安排较具体，内容完整、可行，售后响应时间满足招标文件要求，有具体承诺，服务内容、保障措施较为详细。</w:t>
            </w:r>
          </w:p>
          <w:p w14:paraId="073EE652">
            <w:pPr>
              <w:widowControl/>
              <w:snapToGrid w:val="0"/>
              <w:spacing w:line="360" w:lineRule="auto"/>
              <w:rPr>
                <w:rFonts w:ascii="宋体" w:hAnsi="宋体"/>
                <w:bCs/>
                <w:szCs w:val="21"/>
              </w:rPr>
            </w:pPr>
            <w:r>
              <w:rPr>
                <w:rFonts w:hint="eastAsia" w:hAnsi="宋体"/>
                <w:bCs/>
                <w:szCs w:val="21"/>
              </w:rPr>
              <w:t>四档（20分）：质量保证措施和售后服务承诺充分满足采购文件要求，安排详细具体，提供具体技术支持服务、服务质量保障、服务管理规范、应急处置方案等内容，内容完整、齐全、可行，有针对性。</w:t>
            </w:r>
          </w:p>
        </w:tc>
      </w:tr>
      <w:tr w14:paraId="0FE7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restart"/>
            <w:vAlign w:val="center"/>
          </w:tcPr>
          <w:p w14:paraId="5902F41F">
            <w:pPr>
              <w:adjustRightInd w:val="0"/>
              <w:spacing w:line="360" w:lineRule="auto"/>
              <w:jc w:val="center"/>
              <w:textAlignment w:val="baseline"/>
              <w:rPr>
                <w:rFonts w:ascii="宋体" w:hAnsi="宋体"/>
                <w:b/>
                <w:szCs w:val="21"/>
              </w:rPr>
            </w:pPr>
            <w:r>
              <w:rPr>
                <w:rFonts w:hint="eastAsia" w:ascii="宋体" w:hAnsi="宋体"/>
                <w:b/>
                <w:szCs w:val="21"/>
              </w:rPr>
              <w:t>3</w:t>
            </w:r>
          </w:p>
        </w:tc>
        <w:tc>
          <w:tcPr>
            <w:tcW w:w="1200" w:type="dxa"/>
            <w:vMerge w:val="restart"/>
            <w:vAlign w:val="center"/>
          </w:tcPr>
          <w:p w14:paraId="0DDBF438">
            <w:pPr>
              <w:spacing w:line="360" w:lineRule="exact"/>
              <w:jc w:val="center"/>
              <w:rPr>
                <w:rFonts w:ascii="宋体" w:hAnsi="宋体"/>
                <w:b/>
                <w:szCs w:val="21"/>
              </w:rPr>
            </w:pPr>
            <w:r>
              <w:rPr>
                <w:rFonts w:hint="eastAsia" w:ascii="宋体" w:hAnsi="宋体"/>
                <w:b/>
                <w:bCs/>
                <w:szCs w:val="21"/>
              </w:rPr>
              <w:t>商务分</w:t>
            </w:r>
          </w:p>
        </w:tc>
        <w:tc>
          <w:tcPr>
            <w:tcW w:w="700" w:type="dxa"/>
            <w:vMerge w:val="restart"/>
            <w:vAlign w:val="center"/>
          </w:tcPr>
          <w:p w14:paraId="0C296BDD">
            <w:pPr>
              <w:adjustRightInd w:val="0"/>
              <w:spacing w:line="360" w:lineRule="auto"/>
              <w:jc w:val="center"/>
              <w:textAlignment w:val="baseline"/>
              <w:rPr>
                <w:rFonts w:ascii="宋体" w:hAnsi="宋体"/>
                <w:b/>
                <w:szCs w:val="21"/>
              </w:rPr>
            </w:pPr>
            <w:r>
              <w:rPr>
                <w:rFonts w:hint="eastAsia" w:ascii="宋体" w:hAnsi="宋体"/>
                <w:b/>
                <w:szCs w:val="21"/>
              </w:rPr>
              <w:t>25分</w:t>
            </w:r>
          </w:p>
        </w:tc>
        <w:tc>
          <w:tcPr>
            <w:tcW w:w="1824" w:type="dxa"/>
            <w:vAlign w:val="center"/>
          </w:tcPr>
          <w:p w14:paraId="2C5C1203">
            <w:pPr>
              <w:widowControl/>
              <w:spacing w:line="360" w:lineRule="auto"/>
              <w:jc w:val="center"/>
              <w:rPr>
                <w:rFonts w:hAnsi="宋体"/>
                <w:b/>
                <w:bCs/>
              </w:rPr>
            </w:pPr>
            <w:r>
              <w:rPr>
                <w:rFonts w:hint="eastAsia" w:ascii="宋体" w:hAnsi="宋体" w:cs="Courier New"/>
                <w:b/>
                <w:szCs w:val="21"/>
              </w:rPr>
              <w:t>项目人员配备分（满分9分）</w:t>
            </w:r>
          </w:p>
        </w:tc>
        <w:tc>
          <w:tcPr>
            <w:tcW w:w="5607" w:type="dxa"/>
          </w:tcPr>
          <w:p w14:paraId="6CBF0921">
            <w:pPr>
              <w:widowControl/>
              <w:snapToGrid w:val="0"/>
              <w:spacing w:line="360" w:lineRule="auto"/>
              <w:rPr>
                <w:rFonts w:hAnsi="宋体"/>
                <w:bCs/>
                <w:szCs w:val="21"/>
              </w:rPr>
            </w:pPr>
            <w:r>
              <w:rPr>
                <w:rFonts w:hint="eastAsia" w:hAnsi="宋体"/>
                <w:bCs/>
                <w:szCs w:val="21"/>
              </w:rPr>
              <w:t>1、投标人提供拟投入人员分配方案中对各组织的职责（任务）、人员构成包括主要人员的专业水平及经验方面的情况进行了详细阐述的，得5分。</w:t>
            </w:r>
          </w:p>
          <w:p w14:paraId="345C4692">
            <w:pPr>
              <w:widowControl/>
              <w:snapToGrid w:val="0"/>
              <w:spacing w:line="360" w:lineRule="auto"/>
              <w:rPr>
                <w:rFonts w:hAnsi="宋体"/>
                <w:bCs/>
              </w:rPr>
            </w:pPr>
            <w:r>
              <w:rPr>
                <w:rFonts w:hint="eastAsia" w:hAnsi="宋体"/>
                <w:bCs/>
                <w:szCs w:val="21"/>
              </w:rPr>
              <w:t>2、项目实施人员配置具有中级及以上职称证书或具有中华人民共和国工业和信息化部颁发的软考中级及以上职称证书的不少于4人，每人得1分，满分4分。（须提供拟投入本项目的相关专业技术人员相关证明材料（如：职称证书等），评审时以提供的证明材料为准。）</w:t>
            </w:r>
          </w:p>
        </w:tc>
      </w:tr>
      <w:tr w14:paraId="4B78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48F88EA0">
            <w:pPr>
              <w:adjustRightInd w:val="0"/>
              <w:spacing w:line="360" w:lineRule="auto"/>
              <w:jc w:val="center"/>
              <w:textAlignment w:val="baseline"/>
              <w:rPr>
                <w:rFonts w:ascii="宋体" w:hAnsi="宋体"/>
                <w:b/>
                <w:szCs w:val="21"/>
              </w:rPr>
            </w:pPr>
          </w:p>
        </w:tc>
        <w:tc>
          <w:tcPr>
            <w:tcW w:w="1200" w:type="dxa"/>
            <w:vMerge w:val="continue"/>
            <w:vAlign w:val="center"/>
          </w:tcPr>
          <w:p w14:paraId="43073988">
            <w:pPr>
              <w:spacing w:line="360" w:lineRule="exact"/>
              <w:jc w:val="center"/>
              <w:rPr>
                <w:rFonts w:ascii="宋体" w:hAnsi="宋体"/>
                <w:b/>
                <w:bCs/>
                <w:szCs w:val="21"/>
              </w:rPr>
            </w:pPr>
          </w:p>
        </w:tc>
        <w:tc>
          <w:tcPr>
            <w:tcW w:w="700" w:type="dxa"/>
            <w:vMerge w:val="continue"/>
            <w:vAlign w:val="center"/>
          </w:tcPr>
          <w:p w14:paraId="7E1242DD">
            <w:pPr>
              <w:adjustRightInd w:val="0"/>
              <w:spacing w:line="360" w:lineRule="auto"/>
              <w:jc w:val="center"/>
              <w:textAlignment w:val="baseline"/>
              <w:rPr>
                <w:rFonts w:ascii="宋体" w:hAnsi="宋体"/>
                <w:b/>
                <w:szCs w:val="21"/>
              </w:rPr>
            </w:pPr>
          </w:p>
        </w:tc>
        <w:tc>
          <w:tcPr>
            <w:tcW w:w="1824" w:type="dxa"/>
            <w:vAlign w:val="center"/>
          </w:tcPr>
          <w:p w14:paraId="2F395230">
            <w:pPr>
              <w:widowControl/>
              <w:spacing w:line="360" w:lineRule="auto"/>
              <w:jc w:val="center"/>
              <w:rPr>
                <w:rFonts w:ascii="宋体" w:hAnsi="宋体"/>
                <w:szCs w:val="21"/>
              </w:rPr>
            </w:pPr>
            <w:r>
              <w:rPr>
                <w:rFonts w:hint="eastAsia" w:ascii="宋体" w:hAnsi="宋体" w:cs="微软雅黑"/>
                <w:b/>
                <w:bCs/>
                <w:szCs w:val="21"/>
              </w:rPr>
              <w:t>业绩分（满分</w:t>
            </w:r>
            <w:r>
              <w:rPr>
                <w:rFonts w:ascii="宋体" w:hAnsi="宋体" w:cs="微软雅黑"/>
                <w:b/>
                <w:bCs/>
                <w:szCs w:val="21"/>
              </w:rPr>
              <w:t>10</w:t>
            </w:r>
            <w:r>
              <w:rPr>
                <w:rFonts w:hint="eastAsia" w:ascii="宋体" w:hAnsi="宋体" w:cs="微软雅黑"/>
                <w:b/>
                <w:bCs/>
                <w:szCs w:val="21"/>
              </w:rPr>
              <w:t>分）</w:t>
            </w:r>
          </w:p>
        </w:tc>
        <w:tc>
          <w:tcPr>
            <w:tcW w:w="5607" w:type="dxa"/>
          </w:tcPr>
          <w:p w14:paraId="0FF8F98B">
            <w:pPr>
              <w:widowControl/>
              <w:snapToGrid w:val="0"/>
              <w:spacing w:line="360" w:lineRule="auto"/>
              <w:rPr>
                <w:rFonts w:hAnsi="宋体"/>
              </w:rPr>
            </w:pPr>
            <w:r>
              <w:rPr>
                <w:rFonts w:hint="eastAsia" w:hAnsi="宋体"/>
                <w:bCs/>
                <w:szCs w:val="21"/>
              </w:rPr>
              <w:t>投标人自2023年01月01日以来完成过类似项目业绩的，每提供1项得2分，满分10分；不提供不得分。（须提供项目合同或中标（成交）通知书复印件并加盖投标人公章）</w:t>
            </w:r>
          </w:p>
        </w:tc>
      </w:tr>
      <w:tr w14:paraId="1D61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6FE52398">
            <w:pPr>
              <w:adjustRightInd w:val="0"/>
              <w:spacing w:line="360" w:lineRule="auto"/>
              <w:jc w:val="center"/>
              <w:textAlignment w:val="baseline"/>
              <w:rPr>
                <w:rFonts w:ascii="宋体" w:hAnsi="宋体"/>
                <w:b/>
                <w:szCs w:val="21"/>
              </w:rPr>
            </w:pPr>
          </w:p>
        </w:tc>
        <w:tc>
          <w:tcPr>
            <w:tcW w:w="1200" w:type="dxa"/>
            <w:vMerge w:val="continue"/>
            <w:vAlign w:val="center"/>
          </w:tcPr>
          <w:p w14:paraId="47A4AC6D">
            <w:pPr>
              <w:adjustRightInd w:val="0"/>
              <w:spacing w:line="360" w:lineRule="auto"/>
              <w:jc w:val="center"/>
              <w:textAlignment w:val="baseline"/>
              <w:rPr>
                <w:rFonts w:ascii="宋体" w:hAnsi="宋体"/>
                <w:b/>
                <w:szCs w:val="21"/>
              </w:rPr>
            </w:pPr>
          </w:p>
        </w:tc>
        <w:tc>
          <w:tcPr>
            <w:tcW w:w="700" w:type="dxa"/>
            <w:vMerge w:val="continue"/>
            <w:vAlign w:val="center"/>
          </w:tcPr>
          <w:p w14:paraId="30D9A4B2">
            <w:pPr>
              <w:adjustRightInd w:val="0"/>
              <w:spacing w:line="440" w:lineRule="exact"/>
              <w:jc w:val="center"/>
              <w:textAlignment w:val="baseline"/>
              <w:rPr>
                <w:rFonts w:ascii="宋体" w:hAnsi="宋体" w:cs="Courier New"/>
                <w:bCs/>
                <w:szCs w:val="21"/>
              </w:rPr>
            </w:pPr>
          </w:p>
        </w:tc>
        <w:tc>
          <w:tcPr>
            <w:tcW w:w="1824" w:type="dxa"/>
            <w:vAlign w:val="center"/>
          </w:tcPr>
          <w:p w14:paraId="7D2FE91C">
            <w:pPr>
              <w:widowControl/>
              <w:spacing w:line="360" w:lineRule="auto"/>
              <w:jc w:val="center"/>
              <w:rPr>
                <w:rFonts w:ascii="宋体" w:hAnsi="宋体" w:cs="Courier New"/>
                <w:bCs/>
                <w:szCs w:val="21"/>
              </w:rPr>
            </w:pPr>
            <w:r>
              <w:rPr>
                <w:rFonts w:hint="eastAsia" w:ascii="宋体" w:hAnsi="宋体" w:cs="微软雅黑"/>
                <w:b/>
                <w:bCs/>
                <w:szCs w:val="21"/>
              </w:rPr>
              <w:t>服务能力（满分6分）</w:t>
            </w:r>
          </w:p>
        </w:tc>
        <w:tc>
          <w:tcPr>
            <w:tcW w:w="5607" w:type="dxa"/>
          </w:tcPr>
          <w:p w14:paraId="7D4D9322">
            <w:pPr>
              <w:widowControl/>
              <w:snapToGrid w:val="0"/>
              <w:spacing w:line="360" w:lineRule="auto"/>
              <w:rPr>
                <w:rFonts w:hAnsi="宋体"/>
                <w:bCs/>
                <w:szCs w:val="21"/>
              </w:rPr>
            </w:pPr>
            <w:r>
              <w:rPr>
                <w:rFonts w:hint="eastAsia" w:hAnsi="宋体"/>
                <w:bCs/>
                <w:szCs w:val="21"/>
              </w:rPr>
              <w:t>1、投标人具有ISO9001质量管理体系认证证书得1分（须提供有效的认证证书复印件并加盖投标人公章）；</w:t>
            </w:r>
          </w:p>
          <w:p w14:paraId="78B6E892">
            <w:pPr>
              <w:widowControl/>
              <w:snapToGrid w:val="0"/>
              <w:spacing w:line="360" w:lineRule="auto"/>
              <w:rPr>
                <w:rFonts w:hAnsi="宋体"/>
                <w:bCs/>
                <w:szCs w:val="21"/>
              </w:rPr>
            </w:pPr>
            <w:r>
              <w:rPr>
                <w:rFonts w:hint="eastAsia" w:hAnsi="宋体"/>
                <w:bCs/>
                <w:szCs w:val="21"/>
              </w:rPr>
              <w:t>2、投标人具有ISO20000信息技术服务管理体系认证证书得1分（须提供有效的认证证书复印件并加盖投标人公章）；</w:t>
            </w:r>
          </w:p>
          <w:p w14:paraId="39572B11">
            <w:pPr>
              <w:widowControl/>
              <w:snapToGrid w:val="0"/>
              <w:spacing w:line="360" w:lineRule="auto"/>
              <w:rPr>
                <w:rFonts w:hAnsi="宋体"/>
                <w:bCs/>
                <w:szCs w:val="21"/>
              </w:rPr>
            </w:pPr>
            <w:r>
              <w:rPr>
                <w:rFonts w:hint="eastAsia" w:hAnsi="宋体"/>
                <w:bCs/>
                <w:szCs w:val="21"/>
              </w:rPr>
              <w:t>3、投标人具有ISO27001信息安全管理体系认证证书得1分（须提供有效的认证证书复印件并加盖投标人公章）；</w:t>
            </w:r>
          </w:p>
          <w:p w14:paraId="41181187">
            <w:pPr>
              <w:widowControl/>
              <w:snapToGrid w:val="0"/>
              <w:spacing w:line="360" w:lineRule="auto"/>
              <w:rPr>
                <w:rFonts w:hAnsi="宋体"/>
                <w:bCs/>
                <w:szCs w:val="21"/>
              </w:rPr>
            </w:pPr>
            <w:r>
              <w:rPr>
                <w:rFonts w:hint="eastAsia" w:hAnsi="宋体"/>
                <w:bCs/>
                <w:szCs w:val="21"/>
              </w:rPr>
              <w:t>4、投标人提供由中华人民共和国国家版权局颁发的与分标采购内容有关的交通运输类或驾培服务行业的计算机软件著作权登记证书，每提供1项得1分，满分3分。(须提供有效的证书复印件并加盖投标人公章)</w:t>
            </w:r>
          </w:p>
          <w:p w14:paraId="4405AAC0">
            <w:pPr>
              <w:widowControl/>
              <w:snapToGrid w:val="0"/>
              <w:spacing w:line="360" w:lineRule="auto"/>
              <w:rPr>
                <w:rFonts w:hAnsi="宋体" w:cs="Courier New"/>
                <w:bCs/>
              </w:rPr>
            </w:pPr>
            <w:r>
              <w:rPr>
                <w:rFonts w:hint="eastAsia" w:hAnsi="宋体"/>
                <w:bCs/>
                <w:szCs w:val="21"/>
              </w:rPr>
              <w:t>注：不提供不得分。</w:t>
            </w:r>
          </w:p>
        </w:tc>
      </w:tr>
      <w:tr w14:paraId="35FE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6" w:type="dxa"/>
            <w:gridSpan w:val="5"/>
            <w:vAlign w:val="center"/>
          </w:tcPr>
          <w:p w14:paraId="796CC7AC">
            <w:pPr>
              <w:pStyle w:val="23"/>
              <w:spacing w:line="360" w:lineRule="auto"/>
              <w:rPr>
                <w:rFonts w:hAnsi="宋体" w:cs="Courier New"/>
                <w:bCs/>
                <w:kern w:val="2"/>
                <w:sz w:val="21"/>
              </w:rPr>
            </w:pPr>
            <w:r>
              <w:rPr>
                <w:rFonts w:hint="eastAsia" w:hAnsi="宋体" w:cs="Courier New"/>
                <w:b/>
                <w:bCs/>
                <w:kern w:val="2"/>
                <w:sz w:val="21"/>
              </w:rPr>
              <w:t>总得分=1+2+3。</w:t>
            </w:r>
          </w:p>
        </w:tc>
      </w:tr>
    </w:tbl>
    <w:p w14:paraId="788A554F">
      <w:pPr>
        <w:rPr>
          <w:rFonts w:hAnsi="宋体"/>
          <w:bCs/>
          <w:color w:val="auto"/>
          <w:highlight w:val="none"/>
        </w:rPr>
      </w:pPr>
      <w:r>
        <w:rPr>
          <w:rFonts w:hint="eastAsia" w:hAnsi="宋体"/>
          <w:bCs/>
          <w:color w:val="auto"/>
          <w:highlight w:val="none"/>
        </w:rPr>
        <w:br w:type="page"/>
      </w:r>
    </w:p>
    <w:tbl>
      <w:tblPr>
        <w:tblStyle w:val="4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0D53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633" w:type="dxa"/>
            <w:gridSpan w:val="5"/>
            <w:vAlign w:val="center"/>
          </w:tcPr>
          <w:p w14:paraId="0C145283">
            <w:pPr>
              <w:adjustRightInd w:val="0"/>
              <w:spacing w:line="360" w:lineRule="auto"/>
              <w:jc w:val="left"/>
              <w:textAlignment w:val="baseline"/>
              <w:rPr>
                <w:rFonts w:ascii="宋体" w:hAnsi="宋体"/>
                <w:b/>
                <w:color w:val="auto"/>
                <w:szCs w:val="21"/>
                <w:highlight w:val="none"/>
              </w:rPr>
            </w:pPr>
            <w:r>
              <w:rPr>
                <w:rFonts w:hint="eastAsia" w:ascii="宋体" w:hAnsi="宋体"/>
                <w:b/>
                <w:color w:val="auto"/>
                <w:sz w:val="28"/>
                <w:szCs w:val="28"/>
                <w:highlight w:val="none"/>
              </w:rPr>
              <w:t>适用于8分标</w:t>
            </w:r>
          </w:p>
        </w:tc>
      </w:tr>
      <w:tr w14:paraId="4B95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05E88DF5">
            <w:pPr>
              <w:rPr>
                <w:b/>
                <w:bCs/>
                <w:color w:val="auto"/>
                <w:highlight w:val="none"/>
              </w:rPr>
            </w:pPr>
            <w:r>
              <w:rPr>
                <w:rFonts w:hint="eastAsia"/>
                <w:b/>
                <w:bCs/>
                <w:color w:val="auto"/>
                <w:highlight w:val="none"/>
              </w:rPr>
              <w:t>1</w:t>
            </w:r>
          </w:p>
        </w:tc>
        <w:tc>
          <w:tcPr>
            <w:tcW w:w="1145" w:type="dxa"/>
            <w:vAlign w:val="center"/>
          </w:tcPr>
          <w:p w14:paraId="4DCB2008">
            <w:pPr>
              <w:rPr>
                <w:b/>
                <w:bCs/>
                <w:color w:val="auto"/>
                <w:highlight w:val="none"/>
              </w:rPr>
            </w:pPr>
            <w:r>
              <w:rPr>
                <w:rFonts w:hint="eastAsia"/>
                <w:b/>
                <w:bCs/>
                <w:color w:val="auto"/>
                <w:highlight w:val="none"/>
              </w:rPr>
              <w:t>报价</w:t>
            </w:r>
          </w:p>
        </w:tc>
        <w:tc>
          <w:tcPr>
            <w:tcW w:w="668" w:type="dxa"/>
            <w:vAlign w:val="center"/>
          </w:tcPr>
          <w:p w14:paraId="470AA9E5">
            <w:pPr>
              <w:rPr>
                <w:b/>
                <w:bCs/>
                <w:color w:val="auto"/>
                <w:highlight w:val="none"/>
              </w:rPr>
            </w:pPr>
            <w:r>
              <w:rPr>
                <w:rFonts w:hint="eastAsia"/>
                <w:b/>
                <w:bCs/>
                <w:color w:val="auto"/>
                <w:highlight w:val="none"/>
              </w:rPr>
              <w:t>10分</w:t>
            </w:r>
          </w:p>
        </w:tc>
        <w:tc>
          <w:tcPr>
            <w:tcW w:w="7090" w:type="dxa"/>
            <w:gridSpan w:val="2"/>
            <w:vAlign w:val="center"/>
          </w:tcPr>
          <w:p w14:paraId="386EDFDF">
            <w:pPr>
              <w:rPr>
                <w:color w:val="auto"/>
                <w:highlight w:val="none"/>
              </w:rPr>
            </w:pPr>
            <w:r>
              <w:rPr>
                <w:rFonts w:hint="eastAsia"/>
                <w:color w:val="auto"/>
                <w:highlight w:val="none"/>
              </w:rPr>
              <w:t>1.本项目为专门面向中小企业采购项目，按照《政府采购促进中小企业发展管理办法》（财库〔2020〕46号）的规定，对供应商最后报价不再执行价格评审优惠的扶持政策。</w:t>
            </w:r>
          </w:p>
          <w:p w14:paraId="3F3565FB">
            <w:pPr>
              <w:rPr>
                <w:color w:val="auto"/>
                <w:highlight w:val="none"/>
              </w:rPr>
            </w:pPr>
            <w:r>
              <w:rPr>
                <w:rFonts w:hint="eastAsia"/>
                <w:color w:val="auto"/>
                <w:highlight w:val="none"/>
              </w:rPr>
              <w:t>（1）评审价为供应商的最后报价进行政策性扣除后的价格，评审价只是作为评审时使用。最终成交供应商的成交金额等于最后报价（如有修正，以确认修正后的最后报价为准）。</w:t>
            </w:r>
          </w:p>
          <w:p w14:paraId="1D0DEF84">
            <w:pPr>
              <w:rPr>
                <w:color w:val="auto"/>
                <w:highlight w:val="none"/>
              </w:rPr>
            </w:pPr>
            <w:r>
              <w:rPr>
                <w:rFonts w:hint="eastAsia"/>
                <w:color w:val="auto"/>
                <w:highlight w:val="none"/>
              </w:rPr>
              <w:t>（2）以进入比较与评价环节的最低的评审价为基准价，基准价得分为10分。</w:t>
            </w:r>
          </w:p>
          <w:p w14:paraId="112251D9">
            <w:pPr>
              <w:rPr>
                <w:color w:val="auto"/>
                <w:highlight w:val="none"/>
              </w:rPr>
            </w:pPr>
            <w:r>
              <w:rPr>
                <w:rFonts w:hint="eastAsia"/>
                <w:color w:val="auto"/>
                <w:highlight w:val="none"/>
              </w:rPr>
              <w:t>（3）价格分计算公式：报价得分=（基准价/最后报价）×10分</w:t>
            </w:r>
          </w:p>
        </w:tc>
      </w:tr>
      <w:tr w14:paraId="53B0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326F514D">
            <w:pPr>
              <w:rPr>
                <w:b/>
                <w:bCs/>
                <w:color w:val="auto"/>
                <w:highlight w:val="none"/>
              </w:rPr>
            </w:pPr>
            <w:r>
              <w:rPr>
                <w:rFonts w:hint="eastAsia"/>
                <w:b/>
                <w:bCs/>
                <w:color w:val="auto"/>
                <w:highlight w:val="none"/>
              </w:rPr>
              <w:t>2</w:t>
            </w:r>
          </w:p>
        </w:tc>
        <w:tc>
          <w:tcPr>
            <w:tcW w:w="1145" w:type="dxa"/>
            <w:vMerge w:val="restart"/>
            <w:vAlign w:val="center"/>
          </w:tcPr>
          <w:p w14:paraId="7F5ABDEA">
            <w:pPr>
              <w:rPr>
                <w:b/>
                <w:bCs/>
                <w:color w:val="auto"/>
                <w:highlight w:val="none"/>
              </w:rPr>
            </w:pPr>
            <w:r>
              <w:rPr>
                <w:rFonts w:hint="eastAsia"/>
                <w:b/>
                <w:bCs/>
                <w:color w:val="auto"/>
                <w:highlight w:val="none"/>
              </w:rPr>
              <w:t>技术分</w:t>
            </w:r>
          </w:p>
        </w:tc>
        <w:tc>
          <w:tcPr>
            <w:tcW w:w="668" w:type="dxa"/>
            <w:vMerge w:val="restart"/>
            <w:vAlign w:val="center"/>
          </w:tcPr>
          <w:p w14:paraId="62382764">
            <w:pPr>
              <w:rPr>
                <w:b/>
                <w:bCs/>
                <w:color w:val="auto"/>
                <w:highlight w:val="none"/>
              </w:rPr>
            </w:pPr>
            <w:r>
              <w:rPr>
                <w:rFonts w:hint="eastAsia"/>
                <w:b/>
                <w:bCs/>
                <w:color w:val="auto"/>
                <w:highlight w:val="none"/>
              </w:rPr>
              <w:t>60分</w:t>
            </w:r>
          </w:p>
        </w:tc>
        <w:tc>
          <w:tcPr>
            <w:tcW w:w="1740" w:type="dxa"/>
            <w:vAlign w:val="center"/>
          </w:tcPr>
          <w:p w14:paraId="576A631C">
            <w:pPr>
              <w:rPr>
                <w:b/>
                <w:bCs/>
                <w:color w:val="auto"/>
                <w:highlight w:val="none"/>
              </w:rPr>
            </w:pPr>
            <w:r>
              <w:rPr>
                <w:rFonts w:hint="eastAsia"/>
                <w:b/>
                <w:bCs/>
                <w:color w:val="auto"/>
                <w:highlight w:val="none"/>
              </w:rPr>
              <w:t>管理阶段方案分（满分20分）</w:t>
            </w:r>
          </w:p>
        </w:tc>
        <w:tc>
          <w:tcPr>
            <w:tcW w:w="5350" w:type="dxa"/>
            <w:vAlign w:val="center"/>
          </w:tcPr>
          <w:p w14:paraId="4978BBC1">
            <w:pPr>
              <w:rPr>
                <w:color w:val="auto"/>
                <w:highlight w:val="none"/>
              </w:rPr>
            </w:pPr>
            <w:r>
              <w:rPr>
                <w:rFonts w:hint="eastAsia"/>
                <w:color w:val="auto"/>
                <w:highlight w:val="none"/>
              </w:rPr>
              <w:t>一档（5分）：供应商提供有项目管理范围、工作内容等描述简单；</w:t>
            </w:r>
          </w:p>
          <w:p w14:paraId="5F9BAF33">
            <w:pPr>
              <w:rPr>
                <w:color w:val="auto"/>
                <w:highlight w:val="none"/>
              </w:rPr>
            </w:pPr>
            <w:r>
              <w:rPr>
                <w:rFonts w:hint="eastAsia"/>
                <w:color w:val="auto"/>
                <w:highlight w:val="none"/>
              </w:rPr>
              <w:t>二档（10分）：在一档的基础上，供应商能根据项目采购的各项服务提供有项目组织计划、进度计划及工程进度保障方法等内容描述清晰，方案合理、可行、完整。</w:t>
            </w:r>
          </w:p>
          <w:p w14:paraId="77ACE26E">
            <w:pPr>
              <w:rPr>
                <w:color w:val="auto"/>
                <w:highlight w:val="none"/>
              </w:rPr>
            </w:pPr>
            <w:r>
              <w:rPr>
                <w:rFonts w:hint="eastAsia"/>
                <w:color w:val="auto"/>
                <w:highlight w:val="none"/>
              </w:rPr>
              <w:t>三档（15分）：在二档的基础上，供应商提供有合同管理、沟通管理等内容描述清晰、完整、合理。</w:t>
            </w:r>
          </w:p>
          <w:p w14:paraId="4165E2BA">
            <w:pPr>
              <w:rPr>
                <w:color w:val="auto"/>
                <w:highlight w:val="none"/>
              </w:rPr>
            </w:pPr>
            <w:r>
              <w:rPr>
                <w:rFonts w:hint="eastAsia"/>
                <w:color w:val="auto"/>
                <w:highlight w:val="none"/>
              </w:rPr>
              <w:t>四档（20分）：在三档的基础上，供应商提供的方案涵盖成本管理、风险管理等内容，能针对项目变更管理提出原因、分类以及控制措施等内容，且具备可行性、可靠性，吻合项目实际。</w:t>
            </w:r>
          </w:p>
          <w:p w14:paraId="65DB559E">
            <w:pPr>
              <w:rPr>
                <w:color w:val="auto"/>
                <w:highlight w:val="none"/>
              </w:rPr>
            </w:pPr>
            <w:r>
              <w:rPr>
                <w:rFonts w:hint="eastAsia"/>
                <w:color w:val="auto"/>
                <w:sz w:val="18"/>
                <w:szCs w:val="18"/>
                <w:highlight w:val="none"/>
              </w:rPr>
              <w:t>注：不提供不得分。</w:t>
            </w:r>
          </w:p>
        </w:tc>
      </w:tr>
      <w:tr w14:paraId="5801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285B369F">
            <w:pPr>
              <w:rPr>
                <w:b/>
                <w:bCs/>
                <w:color w:val="auto"/>
                <w:highlight w:val="none"/>
              </w:rPr>
            </w:pPr>
          </w:p>
        </w:tc>
        <w:tc>
          <w:tcPr>
            <w:tcW w:w="1145" w:type="dxa"/>
            <w:vMerge w:val="continue"/>
            <w:vAlign w:val="center"/>
          </w:tcPr>
          <w:p w14:paraId="69BF6738">
            <w:pPr>
              <w:rPr>
                <w:b/>
                <w:bCs/>
                <w:color w:val="auto"/>
                <w:highlight w:val="none"/>
              </w:rPr>
            </w:pPr>
          </w:p>
        </w:tc>
        <w:tc>
          <w:tcPr>
            <w:tcW w:w="668" w:type="dxa"/>
            <w:vMerge w:val="continue"/>
            <w:vAlign w:val="center"/>
          </w:tcPr>
          <w:p w14:paraId="60A50F8F">
            <w:pPr>
              <w:rPr>
                <w:b/>
                <w:bCs/>
                <w:color w:val="auto"/>
                <w:highlight w:val="none"/>
              </w:rPr>
            </w:pPr>
          </w:p>
        </w:tc>
        <w:tc>
          <w:tcPr>
            <w:tcW w:w="1740" w:type="dxa"/>
            <w:vAlign w:val="center"/>
          </w:tcPr>
          <w:p w14:paraId="05A3B685">
            <w:pPr>
              <w:rPr>
                <w:b/>
                <w:bCs/>
                <w:color w:val="auto"/>
                <w:highlight w:val="none"/>
              </w:rPr>
            </w:pPr>
            <w:r>
              <w:rPr>
                <w:rFonts w:hint="eastAsia"/>
                <w:b/>
                <w:bCs/>
                <w:color w:val="auto"/>
                <w:highlight w:val="none"/>
              </w:rPr>
              <w:t>验收阶段服务方案分（满分20分）</w:t>
            </w:r>
          </w:p>
        </w:tc>
        <w:tc>
          <w:tcPr>
            <w:tcW w:w="5350" w:type="dxa"/>
            <w:vAlign w:val="center"/>
          </w:tcPr>
          <w:p w14:paraId="1D530923">
            <w:pPr>
              <w:rPr>
                <w:color w:val="auto"/>
                <w:highlight w:val="none"/>
              </w:rPr>
            </w:pPr>
            <w:r>
              <w:rPr>
                <w:rFonts w:hint="eastAsia"/>
                <w:color w:val="auto"/>
                <w:highlight w:val="none"/>
              </w:rPr>
              <w:t>一档（5分）：供应商提供的验收阶段服务方案符合国家、自治区要求的。</w:t>
            </w:r>
          </w:p>
          <w:p w14:paraId="261688E2">
            <w:pPr>
              <w:rPr>
                <w:color w:val="auto"/>
                <w:highlight w:val="none"/>
              </w:rPr>
            </w:pPr>
            <w:r>
              <w:rPr>
                <w:rFonts w:hint="eastAsia"/>
                <w:color w:val="auto"/>
                <w:highlight w:val="none"/>
              </w:rPr>
              <w:t>二档（10分）：在一档基础上，供应商提供的方案具有项目验收阶段主要内容、管理目标，且符合项目实际需求。</w:t>
            </w:r>
          </w:p>
          <w:p w14:paraId="7B2251A3">
            <w:pPr>
              <w:rPr>
                <w:color w:val="auto"/>
                <w:highlight w:val="none"/>
              </w:rPr>
            </w:pPr>
            <w:r>
              <w:rPr>
                <w:rFonts w:hint="eastAsia"/>
                <w:color w:val="auto"/>
                <w:highlight w:val="none"/>
              </w:rPr>
              <w:t>三档（15分）：在二档基础上，项目验收阶段的服务范围、项目验收阶段主要内容理解描述全面。</w:t>
            </w:r>
          </w:p>
          <w:p w14:paraId="675DDC3F">
            <w:pPr>
              <w:rPr>
                <w:color w:val="auto"/>
                <w:highlight w:val="none"/>
              </w:rPr>
            </w:pPr>
            <w:r>
              <w:rPr>
                <w:rFonts w:hint="eastAsia"/>
                <w:color w:val="auto"/>
                <w:highlight w:val="none"/>
              </w:rPr>
              <w:t>四档（20分）：在三档基础上，供应商提供的方案具有针对项目验收阶段服务的技术重点、难点和服务要点有具体的措施，且内容详实、具备可操作性。</w:t>
            </w:r>
          </w:p>
          <w:p w14:paraId="69D1465F">
            <w:pPr>
              <w:rPr>
                <w:color w:val="auto"/>
                <w:highlight w:val="none"/>
              </w:rPr>
            </w:pPr>
            <w:r>
              <w:rPr>
                <w:rFonts w:hint="eastAsia"/>
                <w:color w:val="auto"/>
                <w:highlight w:val="none"/>
              </w:rPr>
              <w:t>注：不提供不得分。</w:t>
            </w:r>
          </w:p>
        </w:tc>
      </w:tr>
      <w:tr w14:paraId="27A8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654679E8">
            <w:pPr>
              <w:rPr>
                <w:color w:val="auto"/>
                <w:highlight w:val="none"/>
              </w:rPr>
            </w:pPr>
          </w:p>
        </w:tc>
        <w:tc>
          <w:tcPr>
            <w:tcW w:w="1145" w:type="dxa"/>
            <w:vMerge w:val="continue"/>
            <w:vAlign w:val="center"/>
          </w:tcPr>
          <w:p w14:paraId="4A283C30">
            <w:pPr>
              <w:rPr>
                <w:color w:val="auto"/>
                <w:highlight w:val="none"/>
              </w:rPr>
            </w:pPr>
          </w:p>
        </w:tc>
        <w:tc>
          <w:tcPr>
            <w:tcW w:w="668" w:type="dxa"/>
            <w:vMerge w:val="continue"/>
            <w:vAlign w:val="center"/>
          </w:tcPr>
          <w:p w14:paraId="2B90FA17">
            <w:pPr>
              <w:rPr>
                <w:color w:val="auto"/>
                <w:highlight w:val="none"/>
              </w:rPr>
            </w:pPr>
          </w:p>
        </w:tc>
        <w:tc>
          <w:tcPr>
            <w:tcW w:w="1740" w:type="dxa"/>
            <w:vAlign w:val="center"/>
          </w:tcPr>
          <w:p w14:paraId="3F71873C">
            <w:pPr>
              <w:rPr>
                <w:color w:val="auto"/>
                <w:highlight w:val="none"/>
              </w:rPr>
            </w:pPr>
            <w:r>
              <w:rPr>
                <w:rFonts w:hint="eastAsia"/>
                <w:b/>
                <w:bCs/>
                <w:color w:val="auto"/>
                <w:highlight w:val="none"/>
              </w:rPr>
              <w:t>后续服务方案分（满分20分）</w:t>
            </w:r>
          </w:p>
        </w:tc>
        <w:tc>
          <w:tcPr>
            <w:tcW w:w="5350" w:type="dxa"/>
            <w:vAlign w:val="center"/>
          </w:tcPr>
          <w:p w14:paraId="08B1608E">
            <w:pPr>
              <w:rPr>
                <w:color w:val="auto"/>
                <w:highlight w:val="none"/>
              </w:rPr>
            </w:pPr>
            <w:r>
              <w:rPr>
                <w:rFonts w:hint="eastAsia"/>
                <w:color w:val="auto"/>
                <w:highlight w:val="none"/>
              </w:rPr>
              <w:t>一档（5分）：供应商提供有后续服务承诺、服务内容等内容描述简单、符合项目采购需求。</w:t>
            </w:r>
          </w:p>
          <w:p w14:paraId="2A0F8DC4">
            <w:pPr>
              <w:rPr>
                <w:color w:val="auto"/>
                <w:highlight w:val="none"/>
              </w:rPr>
            </w:pPr>
            <w:r>
              <w:rPr>
                <w:rFonts w:hint="eastAsia"/>
                <w:color w:val="auto"/>
                <w:highlight w:val="none"/>
              </w:rPr>
              <w:t>二档（10分）：在一档的基础上，供应商提供的方案有服务流程、响应与处置等内容描述清晰、合理，具备可行性。</w:t>
            </w:r>
          </w:p>
          <w:p w14:paraId="3CD28EBD">
            <w:pPr>
              <w:rPr>
                <w:color w:val="auto"/>
                <w:highlight w:val="none"/>
              </w:rPr>
            </w:pPr>
            <w:r>
              <w:rPr>
                <w:rFonts w:hint="eastAsia"/>
                <w:color w:val="auto"/>
                <w:highlight w:val="none"/>
              </w:rPr>
              <w:t>三档（15分）：在二档的基础上，供应商提供的方案有本地化服务、应急预案等内容详实、具备可操作性强。</w:t>
            </w:r>
          </w:p>
          <w:p w14:paraId="49D461C7">
            <w:pPr>
              <w:rPr>
                <w:color w:val="auto"/>
                <w:highlight w:val="none"/>
              </w:rPr>
            </w:pPr>
            <w:r>
              <w:rPr>
                <w:rFonts w:hint="eastAsia"/>
                <w:color w:val="auto"/>
                <w:highlight w:val="none"/>
              </w:rPr>
              <w:t>四档（20分）：在三档的基础上，供应商提供的方案能针对本项目实际情况提出后续服务内容的各项保障方法及措施，方案的投诉、回访等内容齐全、详实、可操作性强，吻合实际。</w:t>
            </w:r>
          </w:p>
          <w:p w14:paraId="7E697351">
            <w:pPr>
              <w:rPr>
                <w:color w:val="auto"/>
                <w:highlight w:val="none"/>
              </w:rPr>
            </w:pPr>
            <w:r>
              <w:rPr>
                <w:rFonts w:hint="eastAsia"/>
                <w:color w:val="auto"/>
                <w:highlight w:val="none"/>
              </w:rPr>
              <w:t>注：不提供不得分。</w:t>
            </w:r>
          </w:p>
        </w:tc>
      </w:tr>
      <w:tr w14:paraId="44ED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4AABD8DD">
            <w:pPr>
              <w:rPr>
                <w:b/>
                <w:bCs/>
                <w:color w:val="auto"/>
                <w:highlight w:val="none"/>
              </w:rPr>
            </w:pPr>
            <w:r>
              <w:rPr>
                <w:rFonts w:hint="eastAsia"/>
                <w:b/>
                <w:bCs/>
                <w:color w:val="auto"/>
                <w:highlight w:val="none"/>
              </w:rPr>
              <w:t>3</w:t>
            </w:r>
          </w:p>
        </w:tc>
        <w:tc>
          <w:tcPr>
            <w:tcW w:w="1145" w:type="dxa"/>
            <w:vMerge w:val="restart"/>
            <w:vAlign w:val="center"/>
          </w:tcPr>
          <w:p w14:paraId="10157392">
            <w:pPr>
              <w:rPr>
                <w:b/>
                <w:bCs/>
                <w:color w:val="auto"/>
                <w:highlight w:val="none"/>
              </w:rPr>
            </w:pPr>
            <w:r>
              <w:rPr>
                <w:rFonts w:hint="eastAsia"/>
                <w:b/>
                <w:bCs/>
                <w:color w:val="auto"/>
                <w:highlight w:val="none"/>
              </w:rPr>
              <w:t>商务分</w:t>
            </w:r>
          </w:p>
        </w:tc>
        <w:tc>
          <w:tcPr>
            <w:tcW w:w="668" w:type="dxa"/>
            <w:vMerge w:val="restart"/>
            <w:vAlign w:val="center"/>
          </w:tcPr>
          <w:p w14:paraId="476CC638">
            <w:pPr>
              <w:rPr>
                <w:b/>
                <w:bCs/>
                <w:color w:val="auto"/>
                <w:highlight w:val="none"/>
              </w:rPr>
            </w:pPr>
            <w:r>
              <w:rPr>
                <w:rFonts w:hint="eastAsia"/>
                <w:b/>
                <w:bCs/>
                <w:color w:val="auto"/>
                <w:highlight w:val="none"/>
              </w:rPr>
              <w:t>38分</w:t>
            </w:r>
          </w:p>
        </w:tc>
        <w:tc>
          <w:tcPr>
            <w:tcW w:w="1740" w:type="dxa"/>
            <w:vAlign w:val="center"/>
          </w:tcPr>
          <w:p w14:paraId="27F81F3A">
            <w:pPr>
              <w:rPr>
                <w:b/>
                <w:bCs/>
                <w:color w:val="auto"/>
                <w:highlight w:val="none"/>
              </w:rPr>
            </w:pPr>
            <w:r>
              <w:rPr>
                <w:rFonts w:hint="eastAsia"/>
                <w:b/>
                <w:bCs/>
                <w:color w:val="auto"/>
                <w:highlight w:val="none"/>
              </w:rPr>
              <w:t>项目人员配备分（满分12分）</w:t>
            </w:r>
          </w:p>
        </w:tc>
        <w:tc>
          <w:tcPr>
            <w:tcW w:w="5350" w:type="dxa"/>
          </w:tcPr>
          <w:p w14:paraId="1919C33C">
            <w:pPr>
              <w:rPr>
                <w:color w:val="auto"/>
                <w:highlight w:val="none"/>
              </w:rPr>
            </w:pPr>
            <w:r>
              <w:rPr>
                <w:rFonts w:hint="eastAsia"/>
                <w:color w:val="auto"/>
                <w:highlight w:val="none"/>
              </w:rPr>
              <w:t>1.供应商拟投入本项目的项目经理持有以下证书的，每个证书得1分，满分3分：</w:t>
            </w:r>
          </w:p>
          <w:p w14:paraId="4CD512D6">
            <w:pPr>
              <w:rPr>
                <w:color w:val="auto"/>
                <w:highlight w:val="none"/>
              </w:rPr>
            </w:pPr>
            <w:r>
              <w:rPr>
                <w:rFonts w:hint="eastAsia"/>
                <w:color w:val="auto"/>
                <w:highlight w:val="none"/>
              </w:rPr>
              <w:t>（1）咨询工程师（投资）证书；</w:t>
            </w:r>
          </w:p>
          <w:p w14:paraId="76AFD9B9">
            <w:pPr>
              <w:rPr>
                <w:color w:val="auto"/>
                <w:highlight w:val="none"/>
              </w:rPr>
            </w:pPr>
            <w:r>
              <w:rPr>
                <w:rFonts w:hint="eastAsia"/>
                <w:color w:val="auto"/>
                <w:highlight w:val="none"/>
              </w:rPr>
              <w:t>（2）信息安全工程师证书；</w:t>
            </w:r>
          </w:p>
          <w:p w14:paraId="79961D09">
            <w:pPr>
              <w:rPr>
                <w:color w:val="auto"/>
                <w:highlight w:val="none"/>
              </w:rPr>
            </w:pPr>
            <w:r>
              <w:rPr>
                <w:rFonts w:hint="eastAsia"/>
                <w:color w:val="auto"/>
                <w:highlight w:val="none"/>
              </w:rPr>
              <w:t>（3）数据库管理工程师证书；</w:t>
            </w:r>
          </w:p>
          <w:p w14:paraId="1ABC9EDE">
            <w:pPr>
              <w:rPr>
                <w:color w:val="auto"/>
                <w:highlight w:val="none"/>
              </w:rPr>
            </w:pPr>
            <w:r>
              <w:rPr>
                <w:rFonts w:hint="eastAsia"/>
                <w:color w:val="auto"/>
                <w:highlight w:val="none"/>
              </w:rPr>
              <w:t>（4）通信工程相关专业或计算机相关专业高级工程师或以上职称证书。</w:t>
            </w:r>
          </w:p>
          <w:p w14:paraId="635A6128">
            <w:pPr>
              <w:rPr>
                <w:color w:val="auto"/>
                <w:highlight w:val="none"/>
              </w:rPr>
            </w:pPr>
            <w:r>
              <w:rPr>
                <w:rFonts w:hint="eastAsia"/>
                <w:color w:val="auto"/>
                <w:highlight w:val="none"/>
              </w:rPr>
              <w:t>2.供应商拟投入本项目的技术负责人持有以下证书的，每个证书得1分，满分3分：</w:t>
            </w:r>
          </w:p>
          <w:p w14:paraId="591F7306">
            <w:pPr>
              <w:rPr>
                <w:color w:val="auto"/>
                <w:highlight w:val="none"/>
              </w:rPr>
            </w:pPr>
            <w:r>
              <w:rPr>
                <w:rFonts w:hint="eastAsia"/>
                <w:color w:val="auto"/>
                <w:highlight w:val="none"/>
              </w:rPr>
              <w:t>（1）软件设计师证书；</w:t>
            </w:r>
          </w:p>
          <w:p w14:paraId="02F1CB5F">
            <w:pPr>
              <w:rPr>
                <w:color w:val="auto"/>
                <w:highlight w:val="none"/>
              </w:rPr>
            </w:pPr>
            <w:r>
              <w:rPr>
                <w:rFonts w:hint="eastAsia"/>
                <w:color w:val="auto"/>
                <w:highlight w:val="none"/>
              </w:rPr>
              <w:t>（2）程序员证书；</w:t>
            </w:r>
          </w:p>
          <w:p w14:paraId="6DE973D7">
            <w:pPr>
              <w:rPr>
                <w:color w:val="auto"/>
                <w:highlight w:val="none"/>
              </w:rPr>
            </w:pPr>
            <w:r>
              <w:rPr>
                <w:rFonts w:hint="eastAsia"/>
                <w:color w:val="auto"/>
                <w:highlight w:val="none"/>
              </w:rPr>
              <w:t>（3）网络技术工程师证书；</w:t>
            </w:r>
          </w:p>
          <w:p w14:paraId="7853C840">
            <w:pPr>
              <w:rPr>
                <w:color w:val="auto"/>
                <w:highlight w:val="none"/>
              </w:rPr>
            </w:pPr>
            <w:r>
              <w:rPr>
                <w:rFonts w:hint="eastAsia"/>
                <w:color w:val="auto"/>
                <w:highlight w:val="none"/>
              </w:rPr>
              <w:t>（4）通信工程相关专业或计算机相关专业高级工程师或以上职称证书。</w:t>
            </w:r>
          </w:p>
          <w:p w14:paraId="7B87CFFD">
            <w:pPr>
              <w:rPr>
                <w:color w:val="auto"/>
                <w:highlight w:val="none"/>
              </w:rPr>
            </w:pPr>
            <w:r>
              <w:rPr>
                <w:rFonts w:hint="eastAsia"/>
                <w:color w:val="auto"/>
                <w:highlight w:val="none"/>
              </w:rPr>
              <w:t>3.供应商拟投入本项目的团队设计人员（不包括项目经理、技术负责人）持有以下证书的，每个证书得1分，同一人证书最多得2分，本项满分6分：</w:t>
            </w:r>
          </w:p>
          <w:p w14:paraId="749CEC68">
            <w:pPr>
              <w:rPr>
                <w:color w:val="auto"/>
                <w:highlight w:val="none"/>
              </w:rPr>
            </w:pPr>
            <w:r>
              <w:rPr>
                <w:rFonts w:hint="eastAsia"/>
                <w:color w:val="auto"/>
                <w:highlight w:val="none"/>
              </w:rPr>
              <w:t>（1）网络技术工程师证书；</w:t>
            </w:r>
          </w:p>
          <w:p w14:paraId="74CEA734">
            <w:pPr>
              <w:rPr>
                <w:color w:val="auto"/>
                <w:highlight w:val="none"/>
              </w:rPr>
            </w:pPr>
            <w:r>
              <w:rPr>
                <w:rFonts w:hint="eastAsia"/>
                <w:color w:val="auto"/>
                <w:highlight w:val="none"/>
              </w:rPr>
              <w:t>（2）网络信息安全工程师证书；</w:t>
            </w:r>
          </w:p>
          <w:p w14:paraId="3D916AA4">
            <w:pPr>
              <w:rPr>
                <w:color w:val="auto"/>
                <w:highlight w:val="none"/>
              </w:rPr>
            </w:pPr>
            <w:r>
              <w:rPr>
                <w:rFonts w:hint="eastAsia"/>
                <w:color w:val="auto"/>
                <w:highlight w:val="none"/>
              </w:rPr>
              <w:t>（3）系统架构设计师证书；</w:t>
            </w:r>
          </w:p>
          <w:p w14:paraId="1E2FEB2F">
            <w:pPr>
              <w:rPr>
                <w:color w:val="auto"/>
                <w:highlight w:val="none"/>
              </w:rPr>
            </w:pPr>
            <w:r>
              <w:rPr>
                <w:rFonts w:hint="eastAsia"/>
                <w:color w:val="auto"/>
                <w:highlight w:val="none"/>
              </w:rPr>
              <w:t>（4）数据库管理工程师证书；</w:t>
            </w:r>
          </w:p>
          <w:p w14:paraId="0F08D437">
            <w:pPr>
              <w:rPr>
                <w:color w:val="auto"/>
                <w:highlight w:val="none"/>
              </w:rPr>
            </w:pPr>
            <w:r>
              <w:rPr>
                <w:rFonts w:hint="eastAsia"/>
                <w:color w:val="auto"/>
                <w:highlight w:val="none"/>
              </w:rPr>
              <w:t>（5）软件评测师证书；</w:t>
            </w:r>
          </w:p>
          <w:p w14:paraId="64FF2932">
            <w:pPr>
              <w:rPr>
                <w:color w:val="auto"/>
                <w:highlight w:val="none"/>
              </w:rPr>
            </w:pPr>
            <w:r>
              <w:rPr>
                <w:rFonts w:hint="eastAsia"/>
                <w:color w:val="auto"/>
                <w:highlight w:val="none"/>
              </w:rPr>
              <w:t>（6）IT服务项目经理证书；</w:t>
            </w:r>
          </w:p>
          <w:p w14:paraId="0BC1E92B">
            <w:pPr>
              <w:rPr>
                <w:color w:val="auto"/>
                <w:highlight w:val="none"/>
              </w:rPr>
            </w:pPr>
            <w:r>
              <w:rPr>
                <w:rFonts w:hint="eastAsia"/>
                <w:color w:val="auto"/>
                <w:highlight w:val="none"/>
              </w:rPr>
              <w:t>（7）系统集成项目管理工程师证书。</w:t>
            </w:r>
          </w:p>
          <w:p w14:paraId="50A5C07B">
            <w:pPr>
              <w:rPr>
                <w:color w:val="auto"/>
                <w:highlight w:val="none"/>
              </w:rPr>
            </w:pPr>
            <w:r>
              <w:rPr>
                <w:rFonts w:hint="eastAsia"/>
                <w:color w:val="auto"/>
                <w:highlight w:val="none"/>
              </w:rPr>
              <w:t>注：所列人员必须提供相关资格证明文件，并且提供人员劳动合同复印件或事业单位编制证明复印件或供应商为其发放的近半年内任意一个月的工资流水复印件等，未提供证明文件不得分。</w:t>
            </w:r>
          </w:p>
        </w:tc>
      </w:tr>
      <w:tr w14:paraId="3372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3B8C80F1">
            <w:pPr>
              <w:rPr>
                <w:color w:val="auto"/>
                <w:highlight w:val="none"/>
              </w:rPr>
            </w:pPr>
          </w:p>
        </w:tc>
        <w:tc>
          <w:tcPr>
            <w:tcW w:w="1145" w:type="dxa"/>
            <w:vMerge w:val="continue"/>
            <w:vAlign w:val="center"/>
          </w:tcPr>
          <w:p w14:paraId="0C81E307">
            <w:pPr>
              <w:rPr>
                <w:color w:val="auto"/>
                <w:highlight w:val="none"/>
              </w:rPr>
            </w:pPr>
          </w:p>
        </w:tc>
        <w:tc>
          <w:tcPr>
            <w:tcW w:w="668" w:type="dxa"/>
            <w:vMerge w:val="continue"/>
            <w:vAlign w:val="center"/>
          </w:tcPr>
          <w:p w14:paraId="7BDB294A">
            <w:pPr>
              <w:rPr>
                <w:color w:val="auto"/>
                <w:highlight w:val="none"/>
              </w:rPr>
            </w:pPr>
          </w:p>
        </w:tc>
        <w:tc>
          <w:tcPr>
            <w:tcW w:w="1740" w:type="dxa"/>
            <w:vAlign w:val="center"/>
          </w:tcPr>
          <w:p w14:paraId="15141116">
            <w:pPr>
              <w:rPr>
                <w:b/>
                <w:bCs/>
                <w:color w:val="auto"/>
                <w:highlight w:val="none"/>
              </w:rPr>
            </w:pPr>
            <w:r>
              <w:rPr>
                <w:rFonts w:hint="eastAsia"/>
                <w:b/>
                <w:bCs/>
                <w:color w:val="auto"/>
                <w:highlight w:val="none"/>
              </w:rPr>
              <w:t>业绩分（满分6分）</w:t>
            </w:r>
          </w:p>
        </w:tc>
        <w:tc>
          <w:tcPr>
            <w:tcW w:w="5350" w:type="dxa"/>
          </w:tcPr>
          <w:p w14:paraId="3BA09415">
            <w:pPr>
              <w:rPr>
                <w:color w:val="auto"/>
                <w:highlight w:val="none"/>
              </w:rPr>
            </w:pPr>
            <w:r>
              <w:rPr>
                <w:rFonts w:hint="eastAsia"/>
                <w:color w:val="auto"/>
                <w:highlight w:val="none"/>
              </w:rPr>
              <w:t>投标人自2021年01月01日以来完成过类似项目业绩的，每提供1项得2分，满分</w:t>
            </w:r>
            <w:r>
              <w:rPr>
                <w:color w:val="auto"/>
                <w:highlight w:val="none"/>
              </w:rPr>
              <w:t>6</w:t>
            </w:r>
            <w:r>
              <w:rPr>
                <w:rFonts w:hint="eastAsia"/>
                <w:color w:val="auto"/>
                <w:highlight w:val="none"/>
              </w:rPr>
              <w:t>分；不提供不得分。（须提供项目合同</w:t>
            </w:r>
            <w:r>
              <w:rPr>
                <w:rFonts w:hint="eastAsia"/>
                <w:color w:val="auto"/>
                <w:highlight w:val="none"/>
                <w:lang w:val="en-US" w:eastAsia="zh-CN"/>
              </w:rPr>
              <w:t>或</w:t>
            </w:r>
            <w:r>
              <w:rPr>
                <w:rFonts w:hint="eastAsia"/>
                <w:color w:val="auto"/>
                <w:highlight w:val="none"/>
              </w:rPr>
              <w:t>中标（成交）通知书复印件并加盖投标人公章）</w:t>
            </w:r>
          </w:p>
        </w:tc>
      </w:tr>
      <w:tr w14:paraId="3249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9AB2562">
            <w:pPr>
              <w:rPr>
                <w:color w:val="auto"/>
                <w:highlight w:val="none"/>
              </w:rPr>
            </w:pPr>
          </w:p>
        </w:tc>
        <w:tc>
          <w:tcPr>
            <w:tcW w:w="1145" w:type="dxa"/>
            <w:vMerge w:val="continue"/>
            <w:vAlign w:val="center"/>
          </w:tcPr>
          <w:p w14:paraId="37AE1C10">
            <w:pPr>
              <w:rPr>
                <w:color w:val="auto"/>
                <w:highlight w:val="none"/>
              </w:rPr>
            </w:pPr>
          </w:p>
        </w:tc>
        <w:tc>
          <w:tcPr>
            <w:tcW w:w="668" w:type="dxa"/>
            <w:vMerge w:val="continue"/>
            <w:vAlign w:val="center"/>
          </w:tcPr>
          <w:p w14:paraId="5A674ADE">
            <w:pPr>
              <w:rPr>
                <w:color w:val="auto"/>
                <w:highlight w:val="none"/>
              </w:rPr>
            </w:pPr>
          </w:p>
        </w:tc>
        <w:tc>
          <w:tcPr>
            <w:tcW w:w="1740" w:type="dxa"/>
            <w:vAlign w:val="center"/>
          </w:tcPr>
          <w:p w14:paraId="27E93D16">
            <w:pPr>
              <w:rPr>
                <w:b/>
                <w:bCs/>
                <w:color w:val="auto"/>
                <w:highlight w:val="none"/>
              </w:rPr>
            </w:pPr>
            <w:r>
              <w:rPr>
                <w:rFonts w:hint="eastAsia"/>
                <w:b/>
                <w:bCs/>
                <w:color w:val="auto"/>
                <w:highlight w:val="none"/>
              </w:rPr>
              <w:t>服务能力（满分12分）</w:t>
            </w:r>
          </w:p>
        </w:tc>
        <w:tc>
          <w:tcPr>
            <w:tcW w:w="5350" w:type="dxa"/>
          </w:tcPr>
          <w:p w14:paraId="2120BBCE">
            <w:pPr>
              <w:rPr>
                <w:color w:val="auto"/>
                <w:highlight w:val="none"/>
              </w:rPr>
            </w:pPr>
            <w:r>
              <w:rPr>
                <w:rFonts w:hint="eastAsia"/>
                <w:color w:val="auto"/>
                <w:highlight w:val="none"/>
              </w:rPr>
              <w:t>1.供应商通过ISO 9001质量管理体系认证，且认证范围涵盖计算机软件系统类、或信息系统类、或网络安全工程类、或信息工程类、或信息安全工程类等内容的，证书符合1个认证范围的得2分，满分2分。（投标响应文件中提供证书复印件）</w:t>
            </w:r>
          </w:p>
          <w:p w14:paraId="03315D72">
            <w:pPr>
              <w:rPr>
                <w:color w:val="auto"/>
                <w:highlight w:val="none"/>
              </w:rPr>
            </w:pPr>
            <w:r>
              <w:rPr>
                <w:rFonts w:hint="eastAsia"/>
                <w:color w:val="auto"/>
                <w:highlight w:val="none"/>
              </w:rPr>
              <w:t>2.供应商通过ISO/IEC 27001信息安全管理体系认证，且认证范围涵盖计算机软件系统类、或信息系统类、或网络安全工程类、或信息工程类、或信息安全工程类等内容的，每符合1个认证范围的得2分，满分2分。（投标响应文件中提供证书复印件）</w:t>
            </w:r>
          </w:p>
          <w:p w14:paraId="22C47844">
            <w:pPr>
              <w:rPr>
                <w:color w:val="auto"/>
                <w:highlight w:val="none"/>
              </w:rPr>
            </w:pPr>
            <w:r>
              <w:rPr>
                <w:rFonts w:hint="eastAsia"/>
                <w:color w:val="auto"/>
                <w:highlight w:val="none"/>
              </w:rPr>
              <w:t>3.供应商通过ISO/IEC 20000信息技术服务管理体系认证证书的，且证书认证范围包含向外部客户提供信息系统咨询、或信息技术咨询、或信息系统测试、或信息系统工程监理业务等内容的，得2分，满分2分。（投标响应文件中提供证书复印件）</w:t>
            </w:r>
          </w:p>
          <w:p w14:paraId="08B44827">
            <w:pPr>
              <w:rPr>
                <w:color w:val="auto"/>
                <w:highlight w:val="none"/>
              </w:rPr>
            </w:pPr>
            <w:r>
              <w:rPr>
                <w:rFonts w:hint="eastAsia"/>
                <w:color w:val="auto"/>
                <w:highlight w:val="none"/>
              </w:rPr>
              <w:t>4.供应商通过GB/T 35770合规管理体系认证、GB/T 27922-2011 售后服务认证的，且认证范围涵盖计算机软件系统类、或信息系统类、或网络安全工程类、或信息工程类、或信息安全工程类、或信息系统工程监理业务等内容的，每个证书符合1个认证范围的得2分，每个证书满分2分。本项满分4分。（投标响应文件中提供证书复印件）</w:t>
            </w:r>
          </w:p>
          <w:p w14:paraId="2F3B31DB">
            <w:pPr>
              <w:rPr>
                <w:color w:val="auto"/>
                <w:highlight w:val="none"/>
              </w:rPr>
            </w:pPr>
            <w:r>
              <w:rPr>
                <w:rFonts w:hint="eastAsia"/>
                <w:color w:val="auto"/>
                <w:highlight w:val="none"/>
              </w:rPr>
              <w:t>5.供应商通过GB/T36463.1-2018信息技术服务 咨询设计 第1部分:通用要求评估，具有ITSS信息技术服务咨询设计标准符合性证书，或提供2021年1月1日至今完成过2个及以上信息技术服务项目业绩的得2分，满分2分。（投标响应文件中提供证书复印件）</w:t>
            </w:r>
          </w:p>
        </w:tc>
      </w:tr>
      <w:tr w14:paraId="1138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6EE6BF99">
            <w:pPr>
              <w:pStyle w:val="23"/>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5F0B64B8">
      <w:pPr>
        <w:pStyle w:val="3"/>
        <w:keepNext w:val="0"/>
        <w:keepLines w:val="0"/>
        <w:rPr>
          <w:color w:val="auto"/>
          <w:sz w:val="30"/>
          <w:szCs w:val="30"/>
          <w:highlight w:val="none"/>
        </w:rPr>
      </w:pPr>
      <w:r>
        <w:rPr>
          <w:rFonts w:hint="eastAsia"/>
          <w:color w:val="auto"/>
          <w:sz w:val="30"/>
          <w:szCs w:val="30"/>
          <w:highlight w:val="none"/>
        </w:rPr>
        <w:t>四、中标候选人推荐原则</w:t>
      </w:r>
    </w:p>
    <w:p w14:paraId="486DE35B">
      <w:pPr>
        <w:pStyle w:val="23"/>
        <w:spacing w:line="420" w:lineRule="exact"/>
        <w:contextualSpacing/>
        <w:rPr>
          <w:rFonts w:hAnsi="宋体"/>
          <w:b/>
          <w:bCs/>
          <w:color w:val="auto"/>
          <w:sz w:val="24"/>
          <w:szCs w:val="24"/>
          <w:highlight w:val="none"/>
        </w:rPr>
      </w:pPr>
      <w:r>
        <w:rPr>
          <w:rFonts w:hint="eastAsia" w:hAnsi="宋体"/>
          <w:b/>
          <w:bCs/>
          <w:color w:val="auto"/>
          <w:sz w:val="24"/>
          <w:szCs w:val="24"/>
          <w:highlight w:val="none"/>
        </w:rPr>
        <w:t>综合评分法</w:t>
      </w:r>
    </w:p>
    <w:p w14:paraId="526D45D3">
      <w:pPr>
        <w:pStyle w:val="23"/>
        <w:spacing w:line="420" w:lineRule="exact"/>
        <w:ind w:firstLine="398"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28A9ADCF">
      <w:pPr>
        <w:pStyle w:val="23"/>
        <w:spacing w:line="420" w:lineRule="exact"/>
        <w:ind w:firstLine="398"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73B44D8">
      <w:pPr>
        <w:jc w:val="both"/>
        <w:rPr>
          <w:color w:val="auto"/>
          <w:highlight w:val="none"/>
        </w:rPr>
      </w:pPr>
      <w:bookmarkStart w:id="149" w:name="_Toc25250"/>
    </w:p>
    <w:p w14:paraId="77E2BBBB">
      <w:pPr>
        <w:jc w:val="center"/>
        <w:rPr>
          <w:color w:val="auto"/>
          <w:highlight w:val="none"/>
        </w:rPr>
      </w:pPr>
    </w:p>
    <w:p w14:paraId="1EB6BBB9">
      <w:pPr>
        <w:jc w:val="center"/>
        <w:rPr>
          <w:color w:val="auto"/>
          <w:highlight w:val="none"/>
        </w:rPr>
      </w:pPr>
    </w:p>
    <w:p w14:paraId="20B7FF18">
      <w:pPr>
        <w:jc w:val="center"/>
        <w:rPr>
          <w:color w:val="auto"/>
          <w:highlight w:val="none"/>
        </w:rPr>
      </w:pPr>
    </w:p>
    <w:p w14:paraId="757F292A">
      <w:pPr>
        <w:jc w:val="center"/>
        <w:rPr>
          <w:color w:val="auto"/>
          <w:highlight w:val="none"/>
        </w:rPr>
      </w:pPr>
    </w:p>
    <w:p w14:paraId="2676F5CD">
      <w:pPr>
        <w:jc w:val="center"/>
        <w:rPr>
          <w:color w:val="auto"/>
          <w:highlight w:val="none"/>
        </w:rPr>
      </w:pPr>
    </w:p>
    <w:p w14:paraId="7225E025">
      <w:pPr>
        <w:jc w:val="center"/>
        <w:rPr>
          <w:color w:val="auto"/>
          <w:highlight w:val="none"/>
        </w:rPr>
      </w:pPr>
    </w:p>
    <w:p w14:paraId="0F26418D">
      <w:pPr>
        <w:jc w:val="center"/>
        <w:rPr>
          <w:color w:val="auto"/>
          <w:highlight w:val="none"/>
        </w:rPr>
      </w:pPr>
    </w:p>
    <w:p w14:paraId="576D32F2">
      <w:pPr>
        <w:jc w:val="center"/>
        <w:rPr>
          <w:color w:val="auto"/>
          <w:highlight w:val="none"/>
        </w:rPr>
      </w:pPr>
    </w:p>
    <w:p w14:paraId="4F6DD1B1">
      <w:pPr>
        <w:pStyle w:val="2"/>
        <w:jc w:val="center"/>
        <w:rPr>
          <w:color w:val="auto"/>
          <w:highlight w:val="none"/>
        </w:rPr>
      </w:pPr>
      <w:r>
        <w:rPr>
          <w:rFonts w:hint="eastAsia"/>
          <w:color w:val="auto"/>
          <w:highlight w:val="none"/>
        </w:rPr>
        <w:t>第五章  拟签订的合同文本</w:t>
      </w:r>
      <w:bookmarkEnd w:id="149"/>
    </w:p>
    <w:p w14:paraId="5E96F5D7">
      <w:pPr>
        <w:snapToGrid w:val="0"/>
        <w:jc w:val="center"/>
        <w:rPr>
          <w:rFonts w:ascii="宋体" w:hAnsi="宋体"/>
          <w:bCs/>
          <w:color w:val="auto"/>
          <w:sz w:val="32"/>
          <w:szCs w:val="32"/>
          <w:highlight w:val="none"/>
        </w:rPr>
      </w:pPr>
    </w:p>
    <w:p w14:paraId="4594A0DC">
      <w:pPr>
        <w:snapToGrid w:val="0"/>
        <w:jc w:val="center"/>
        <w:rPr>
          <w:rFonts w:ascii="宋体" w:hAnsi="宋体"/>
          <w:bCs/>
          <w:color w:val="auto"/>
          <w:sz w:val="32"/>
          <w:szCs w:val="32"/>
          <w:highlight w:val="none"/>
        </w:rPr>
      </w:pPr>
    </w:p>
    <w:p w14:paraId="304BAEB9">
      <w:pPr>
        <w:snapToGrid w:val="0"/>
        <w:jc w:val="center"/>
        <w:rPr>
          <w:rFonts w:ascii="宋体" w:hAnsi="宋体"/>
          <w:bCs/>
          <w:color w:val="auto"/>
          <w:sz w:val="32"/>
          <w:szCs w:val="32"/>
          <w:highlight w:val="none"/>
        </w:rPr>
      </w:pPr>
    </w:p>
    <w:p w14:paraId="11A63BF1">
      <w:pPr>
        <w:snapToGrid w:val="0"/>
        <w:jc w:val="center"/>
        <w:rPr>
          <w:rFonts w:ascii="宋体" w:hAnsi="宋体"/>
          <w:bCs/>
          <w:color w:val="auto"/>
          <w:sz w:val="32"/>
          <w:szCs w:val="32"/>
          <w:highlight w:val="none"/>
        </w:rPr>
      </w:pPr>
    </w:p>
    <w:p w14:paraId="1F9C1EF7">
      <w:pPr>
        <w:snapToGrid w:val="0"/>
        <w:jc w:val="center"/>
        <w:rPr>
          <w:rFonts w:ascii="宋体" w:hAnsi="宋体"/>
          <w:bCs/>
          <w:color w:val="auto"/>
          <w:sz w:val="32"/>
          <w:szCs w:val="32"/>
          <w:highlight w:val="none"/>
        </w:rPr>
      </w:pPr>
    </w:p>
    <w:p w14:paraId="21E0DB45">
      <w:pPr>
        <w:snapToGrid w:val="0"/>
        <w:jc w:val="center"/>
        <w:rPr>
          <w:rFonts w:ascii="宋体" w:hAnsi="宋体"/>
          <w:bCs/>
          <w:color w:val="auto"/>
          <w:sz w:val="32"/>
          <w:szCs w:val="32"/>
          <w:highlight w:val="none"/>
        </w:rPr>
      </w:pPr>
    </w:p>
    <w:p w14:paraId="69B73BE3">
      <w:pPr>
        <w:snapToGrid w:val="0"/>
        <w:jc w:val="center"/>
        <w:rPr>
          <w:rFonts w:ascii="宋体" w:hAnsi="宋体"/>
          <w:bCs/>
          <w:color w:val="auto"/>
          <w:sz w:val="32"/>
          <w:szCs w:val="32"/>
          <w:highlight w:val="none"/>
        </w:rPr>
      </w:pPr>
    </w:p>
    <w:p w14:paraId="306EC43E">
      <w:pPr>
        <w:snapToGrid w:val="0"/>
        <w:jc w:val="center"/>
        <w:rPr>
          <w:rFonts w:ascii="宋体" w:hAnsi="宋体"/>
          <w:bCs/>
          <w:color w:val="auto"/>
          <w:sz w:val="32"/>
          <w:szCs w:val="32"/>
          <w:highlight w:val="none"/>
        </w:rPr>
      </w:pPr>
    </w:p>
    <w:p w14:paraId="479F7581">
      <w:pPr>
        <w:snapToGrid w:val="0"/>
        <w:jc w:val="center"/>
        <w:rPr>
          <w:rFonts w:ascii="宋体" w:hAnsi="宋体"/>
          <w:bCs/>
          <w:color w:val="auto"/>
          <w:sz w:val="32"/>
          <w:szCs w:val="32"/>
          <w:highlight w:val="none"/>
        </w:rPr>
      </w:pPr>
    </w:p>
    <w:p w14:paraId="623A2FB3">
      <w:pPr>
        <w:snapToGrid w:val="0"/>
        <w:jc w:val="center"/>
        <w:rPr>
          <w:rFonts w:ascii="宋体" w:hAnsi="宋体"/>
          <w:bCs/>
          <w:color w:val="auto"/>
          <w:sz w:val="32"/>
          <w:szCs w:val="32"/>
          <w:highlight w:val="none"/>
        </w:rPr>
      </w:pPr>
    </w:p>
    <w:p w14:paraId="75F74695">
      <w:pPr>
        <w:snapToGrid w:val="0"/>
        <w:jc w:val="center"/>
        <w:rPr>
          <w:rFonts w:ascii="宋体" w:hAnsi="宋体"/>
          <w:bCs/>
          <w:color w:val="auto"/>
          <w:sz w:val="32"/>
          <w:szCs w:val="32"/>
          <w:highlight w:val="none"/>
        </w:rPr>
      </w:pPr>
    </w:p>
    <w:p w14:paraId="36E2D248">
      <w:pPr>
        <w:snapToGrid w:val="0"/>
        <w:spacing w:line="360" w:lineRule="auto"/>
        <w:rPr>
          <w:rFonts w:ascii="宋体" w:hAnsi="宋体"/>
          <w:color w:val="auto"/>
          <w:szCs w:val="21"/>
          <w:highlight w:val="none"/>
        </w:rPr>
      </w:pPr>
    </w:p>
    <w:p w14:paraId="45A492C5">
      <w:pPr>
        <w:rPr>
          <w:rFonts w:ascii="宋体" w:hAnsi="宋体" w:cs="宋体"/>
          <w:b/>
          <w:bCs/>
          <w:color w:val="auto"/>
          <w:sz w:val="30"/>
          <w:highlight w:val="none"/>
        </w:rPr>
      </w:pPr>
      <w:r>
        <w:rPr>
          <w:rFonts w:hint="eastAsia" w:ascii="宋体" w:hAnsi="宋体"/>
          <w:b/>
          <w:bCs/>
          <w:color w:val="auto"/>
          <w:sz w:val="32"/>
          <w:szCs w:val="32"/>
          <w:highlight w:val="none"/>
        </w:rPr>
        <w:br w:type="page"/>
      </w:r>
      <w:r>
        <w:rPr>
          <w:rFonts w:hint="eastAsia" w:ascii="宋体" w:hAnsi="宋体" w:cs="宋体"/>
          <w:b/>
          <w:bCs/>
          <w:color w:val="auto"/>
          <w:sz w:val="30"/>
          <w:highlight w:val="none"/>
        </w:rPr>
        <w:t>合同编号：</w:t>
      </w:r>
    </w:p>
    <w:p w14:paraId="7491B9EE">
      <w:pPr>
        <w:rPr>
          <w:rFonts w:ascii="宋体" w:hAnsi="宋体" w:cs="宋体"/>
          <w:color w:val="auto"/>
          <w:highlight w:val="none"/>
        </w:rPr>
      </w:pPr>
    </w:p>
    <w:p w14:paraId="759749C5">
      <w:pPr>
        <w:rPr>
          <w:rFonts w:ascii="宋体" w:hAnsi="宋体" w:cs="宋体"/>
          <w:color w:val="auto"/>
          <w:highlight w:val="none"/>
        </w:rPr>
      </w:pPr>
    </w:p>
    <w:p w14:paraId="797E4E57">
      <w:pPr>
        <w:jc w:val="center"/>
        <w:rPr>
          <w:rFonts w:ascii="宋体" w:hAnsi="宋体" w:cs="宋体"/>
          <w:b/>
          <w:bCs/>
          <w:color w:val="auto"/>
          <w:sz w:val="52"/>
          <w:highlight w:val="none"/>
        </w:rPr>
      </w:pPr>
      <w:r>
        <w:rPr>
          <w:rFonts w:hint="eastAsia" w:ascii="宋体" w:hAnsi="宋体" w:cs="宋体"/>
          <w:b/>
          <w:bCs/>
          <w:color w:val="auto"/>
          <w:sz w:val="52"/>
          <w:highlight w:val="none"/>
        </w:rPr>
        <w:t xml:space="preserve"> 服 务 采 购 合 同</w:t>
      </w:r>
    </w:p>
    <w:p w14:paraId="3B23CE9D">
      <w:pPr>
        <w:rPr>
          <w:rFonts w:ascii="宋体" w:hAnsi="宋体" w:cs="宋体"/>
          <w:color w:val="auto"/>
          <w:highlight w:val="none"/>
        </w:rPr>
      </w:pPr>
    </w:p>
    <w:p w14:paraId="11691424">
      <w:pPr>
        <w:spacing w:line="520" w:lineRule="exact"/>
        <w:ind w:left="1552" w:hanging="1550" w:hangingChars="444"/>
        <w:jc w:val="left"/>
        <w:rPr>
          <w:rFonts w:ascii="宋体" w:hAnsi="宋体" w:cs="宋体"/>
          <w:b/>
          <w:bCs/>
          <w:color w:val="auto"/>
          <w:sz w:val="36"/>
          <w:highlight w:val="none"/>
        </w:rPr>
      </w:pPr>
    </w:p>
    <w:p w14:paraId="3536C28D">
      <w:pPr>
        <w:spacing w:line="520" w:lineRule="exact"/>
        <w:ind w:left="1552" w:hanging="1550" w:hangingChars="444"/>
        <w:jc w:val="left"/>
        <w:rPr>
          <w:rFonts w:ascii="宋体" w:hAnsi="宋体" w:cs="宋体"/>
          <w:b/>
          <w:bCs/>
          <w:color w:val="auto"/>
          <w:sz w:val="36"/>
          <w:szCs w:val="36"/>
          <w:highlight w:val="none"/>
          <w:u w:val="thick"/>
        </w:rPr>
      </w:pPr>
      <w:r>
        <w:rPr>
          <w:rFonts w:hint="eastAsia" w:ascii="宋体" w:hAnsi="宋体" w:cs="宋体"/>
          <w:b/>
          <w:bCs/>
          <w:color w:val="auto"/>
          <w:sz w:val="36"/>
          <w:highlight w:val="none"/>
        </w:rPr>
        <w:t>项目名称：</w:t>
      </w:r>
      <w:r>
        <w:rPr>
          <w:rFonts w:hint="eastAsia" w:ascii="宋体" w:hAnsi="宋体" w:cs="宋体"/>
          <w:b/>
          <w:bCs/>
          <w:color w:val="auto"/>
          <w:sz w:val="36"/>
          <w:highlight w:val="none"/>
          <w:u w:val="single"/>
        </w:rPr>
        <w:t xml:space="preserve">                                   </w:t>
      </w:r>
      <w:r>
        <w:rPr>
          <w:rFonts w:hint="eastAsia" w:ascii="宋体" w:hAnsi="宋体" w:cs="宋体"/>
          <w:b/>
          <w:bCs/>
          <w:color w:val="auto"/>
          <w:sz w:val="36"/>
          <w:highlight w:val="none"/>
        </w:rPr>
        <w:t xml:space="preserve">   </w:t>
      </w:r>
    </w:p>
    <w:p w14:paraId="2E143E49">
      <w:pPr>
        <w:spacing w:line="520" w:lineRule="exact"/>
        <w:ind w:left="1552" w:hanging="1550" w:hangingChars="444"/>
        <w:rPr>
          <w:rFonts w:ascii="宋体" w:hAnsi="宋体" w:cs="宋体"/>
          <w:b/>
          <w:bCs/>
          <w:color w:val="auto"/>
          <w:sz w:val="36"/>
          <w:szCs w:val="36"/>
          <w:highlight w:val="none"/>
          <w:u w:val="thick"/>
        </w:rPr>
      </w:pPr>
    </w:p>
    <w:p w14:paraId="72AA3004">
      <w:pPr>
        <w:pStyle w:val="17"/>
        <w:rPr>
          <w:rFonts w:ascii="宋体" w:hAnsi="宋体" w:cs="宋体"/>
          <w:b/>
          <w:bCs/>
          <w:color w:val="auto"/>
          <w:kern w:val="2"/>
          <w:sz w:val="36"/>
          <w:highlight w:val="none"/>
        </w:rPr>
      </w:pPr>
      <w:r>
        <w:rPr>
          <w:rFonts w:hint="eastAsia" w:ascii="宋体" w:hAnsi="宋体" w:cs="宋体"/>
          <w:b/>
          <w:bCs/>
          <w:color w:val="auto"/>
          <w:kern w:val="2"/>
          <w:sz w:val="36"/>
          <w:highlight w:val="none"/>
        </w:rPr>
        <w:t>项目编号：</w:t>
      </w:r>
      <w:r>
        <w:rPr>
          <w:rFonts w:hint="eastAsia" w:ascii="宋体" w:hAnsi="宋体" w:cs="宋体"/>
          <w:b/>
          <w:bCs/>
          <w:color w:val="auto"/>
          <w:kern w:val="2"/>
          <w:sz w:val="36"/>
          <w:highlight w:val="none"/>
          <w:u w:val="single"/>
        </w:rPr>
        <w:t xml:space="preserve">                                   </w:t>
      </w:r>
    </w:p>
    <w:p w14:paraId="2573ABFA">
      <w:pPr>
        <w:pStyle w:val="17"/>
        <w:rPr>
          <w:rFonts w:ascii="宋体" w:hAnsi="宋体" w:cs="宋体"/>
          <w:color w:val="auto"/>
          <w:highlight w:val="none"/>
        </w:rPr>
      </w:pPr>
    </w:p>
    <w:p w14:paraId="0AE96EE4">
      <w:pPr>
        <w:pStyle w:val="17"/>
        <w:rPr>
          <w:rFonts w:ascii="宋体" w:hAnsi="宋体" w:cs="宋体"/>
          <w:color w:val="auto"/>
          <w:highlight w:val="none"/>
        </w:rPr>
      </w:pPr>
    </w:p>
    <w:p w14:paraId="2C2B9FE7">
      <w:pPr>
        <w:pStyle w:val="17"/>
        <w:rPr>
          <w:rFonts w:ascii="宋体" w:hAnsi="宋体" w:cs="宋体"/>
          <w:color w:val="auto"/>
          <w:highlight w:val="none"/>
        </w:rPr>
      </w:pPr>
    </w:p>
    <w:p w14:paraId="095D9814">
      <w:pPr>
        <w:spacing w:line="800" w:lineRule="exact"/>
        <w:rPr>
          <w:rFonts w:ascii="宋体" w:hAnsi="宋体" w:cs="宋体"/>
          <w:b/>
          <w:bCs/>
          <w:color w:val="auto"/>
          <w:sz w:val="36"/>
          <w:highlight w:val="none"/>
          <w:u w:val="thick"/>
        </w:rPr>
      </w:pPr>
      <w:r>
        <w:rPr>
          <w:rFonts w:hint="eastAsia" w:ascii="宋体" w:hAnsi="宋体" w:cs="宋体"/>
          <w:b/>
          <w:bCs/>
          <w:color w:val="auto"/>
          <w:sz w:val="36"/>
          <w:highlight w:val="none"/>
        </w:rPr>
        <w:t>甲    方：</w:t>
      </w:r>
      <w:r>
        <w:rPr>
          <w:rFonts w:hint="eastAsia" w:ascii="宋体" w:hAnsi="宋体" w:cs="宋体"/>
          <w:b/>
          <w:bCs/>
          <w:color w:val="auto"/>
          <w:sz w:val="36"/>
          <w:highlight w:val="none"/>
          <w:u w:val="single"/>
        </w:rPr>
        <w:t xml:space="preserve">   广西壮族自治区道路运输发展中心  </w:t>
      </w:r>
    </w:p>
    <w:p w14:paraId="45E46617">
      <w:pPr>
        <w:spacing w:line="800" w:lineRule="exact"/>
        <w:rPr>
          <w:rFonts w:ascii="宋体" w:hAnsi="宋体" w:cs="宋体"/>
          <w:b/>
          <w:bCs/>
          <w:color w:val="auto"/>
          <w:sz w:val="36"/>
          <w:highlight w:val="none"/>
        </w:rPr>
      </w:pPr>
      <w:r>
        <w:rPr>
          <w:rFonts w:hint="eastAsia" w:ascii="宋体" w:hAnsi="宋体" w:cs="宋体"/>
          <w:b/>
          <w:bCs/>
          <w:color w:val="auto"/>
          <w:sz w:val="36"/>
          <w:highlight w:val="none"/>
        </w:rPr>
        <w:t>乙    方：</w:t>
      </w:r>
      <w:r>
        <w:rPr>
          <w:rFonts w:hint="eastAsia" w:ascii="宋体" w:hAnsi="宋体" w:cs="宋体"/>
          <w:b/>
          <w:bCs/>
          <w:color w:val="auto"/>
          <w:sz w:val="36"/>
          <w:highlight w:val="none"/>
          <w:u w:val="single"/>
        </w:rPr>
        <w:t xml:space="preserve">                                   </w:t>
      </w:r>
    </w:p>
    <w:p w14:paraId="24F52CC2">
      <w:pPr>
        <w:spacing w:line="800" w:lineRule="exact"/>
        <w:rPr>
          <w:rFonts w:ascii="宋体" w:hAnsi="宋体" w:cs="宋体"/>
          <w:b/>
          <w:bCs/>
          <w:color w:val="auto"/>
          <w:sz w:val="36"/>
          <w:highlight w:val="none"/>
          <w:u w:val="single"/>
        </w:rPr>
      </w:pPr>
      <w:r>
        <w:rPr>
          <w:rFonts w:hint="eastAsia" w:ascii="宋体" w:hAnsi="宋体" w:cs="宋体"/>
          <w:b/>
          <w:bCs/>
          <w:color w:val="auto"/>
          <w:sz w:val="36"/>
          <w:highlight w:val="none"/>
        </w:rPr>
        <w:t>签订时间：</w:t>
      </w:r>
      <w:r>
        <w:rPr>
          <w:rFonts w:hint="eastAsia" w:ascii="宋体" w:hAnsi="宋体" w:cs="宋体"/>
          <w:b/>
          <w:bCs/>
          <w:color w:val="auto"/>
          <w:sz w:val="36"/>
          <w:highlight w:val="none"/>
          <w:u w:val="single"/>
        </w:rPr>
        <w:t xml:space="preserve">                                   </w:t>
      </w:r>
    </w:p>
    <w:p w14:paraId="7C13ED6A">
      <w:pPr>
        <w:spacing w:line="800" w:lineRule="exact"/>
        <w:rPr>
          <w:rFonts w:ascii="宋体" w:hAnsi="宋体" w:cs="宋体"/>
          <w:b/>
          <w:bCs/>
          <w:color w:val="auto"/>
          <w:sz w:val="36"/>
          <w:highlight w:val="none"/>
          <w:u w:val="single"/>
        </w:rPr>
      </w:pPr>
      <w:r>
        <w:rPr>
          <w:rFonts w:hint="eastAsia" w:ascii="宋体" w:hAnsi="宋体" w:cs="宋体"/>
          <w:b/>
          <w:bCs/>
          <w:color w:val="auto"/>
          <w:sz w:val="36"/>
          <w:highlight w:val="none"/>
        </w:rPr>
        <w:t>签订地点：</w:t>
      </w:r>
      <w:r>
        <w:rPr>
          <w:rFonts w:hint="eastAsia" w:ascii="宋体" w:hAnsi="宋体" w:cs="宋体"/>
          <w:b/>
          <w:bCs/>
          <w:color w:val="auto"/>
          <w:sz w:val="36"/>
          <w:highlight w:val="none"/>
          <w:u w:val="single"/>
        </w:rPr>
        <w:t xml:space="preserve">                                   </w:t>
      </w:r>
    </w:p>
    <w:p w14:paraId="28839817">
      <w:pPr>
        <w:pStyle w:val="17"/>
        <w:rPr>
          <w:rFonts w:ascii="宋体" w:hAnsi="宋体" w:cs="宋体"/>
          <w:color w:val="auto"/>
          <w:highlight w:val="none"/>
        </w:rPr>
        <w:sectPr>
          <w:headerReference r:id="rId7" w:type="first"/>
          <w:headerReference r:id="rId6" w:type="default"/>
          <w:footerReference r:id="rId8" w:type="default"/>
          <w:footerReference r:id="rId9" w:type="even"/>
          <w:pgSz w:w="11907" w:h="16840"/>
          <w:pgMar w:top="1134" w:right="1247" w:bottom="1134" w:left="1304" w:header="1134" w:footer="850" w:gutter="284"/>
          <w:paperSrc w:first="7" w:other="7"/>
          <w:cols w:space="720" w:num="1"/>
          <w:titlePg/>
          <w:docGrid w:type="linesAndChars" w:linePitch="517" w:charSpace="-2432"/>
        </w:sectPr>
      </w:pPr>
    </w:p>
    <w:p w14:paraId="3EA27311">
      <w:pPr>
        <w:spacing w:line="360" w:lineRule="auto"/>
        <w:ind w:right="80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广西壮族自治区政府采购合同</w:t>
      </w:r>
    </w:p>
    <w:p w14:paraId="30567515">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BCD649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343651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3F64266A">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6CBB9C3">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45B5CFC">
      <w:pPr>
        <w:widowControl/>
        <w:adjustRightInd w:val="0"/>
        <w:snapToGrid w:val="0"/>
        <w:spacing w:line="41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根据《中华人民共和国政府采购法》、《中华人民共和国民法典》等法律、法规规定，按照招标文件规定条款和乙方投标文件及其承诺，甲乙双方签订本合同。</w:t>
      </w:r>
    </w:p>
    <w:p w14:paraId="2364C258">
      <w:pPr>
        <w:snapToGrid w:val="0"/>
        <w:spacing w:before="120"/>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6C3DEA2B">
      <w:pPr>
        <w:snapToGrid w:val="0"/>
        <w:spacing w:before="120"/>
        <w:ind w:firstLine="420" w:firstLineChars="200"/>
        <w:rPr>
          <w:rFonts w:ascii="宋体" w:hAnsi="宋体" w:cs="宋体"/>
          <w:color w:val="auto"/>
          <w:szCs w:val="21"/>
          <w:highlight w:val="none"/>
        </w:rPr>
      </w:pPr>
      <w:r>
        <w:rPr>
          <w:rFonts w:hint="eastAsia" w:ascii="宋体" w:hAnsi="宋体" w:cs="宋体"/>
          <w:color w:val="auto"/>
          <w:szCs w:val="21"/>
          <w:highlight w:val="none"/>
        </w:rPr>
        <w:t>1、服务内容一览表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14:paraId="4C6C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14:paraId="7C52D7E3">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31" w:type="dxa"/>
            <w:vAlign w:val="center"/>
          </w:tcPr>
          <w:p w14:paraId="1CB53364">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2506" w:type="dxa"/>
            <w:vAlign w:val="center"/>
          </w:tcPr>
          <w:p w14:paraId="309BF489">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服务内容</w:t>
            </w:r>
          </w:p>
        </w:tc>
        <w:tc>
          <w:tcPr>
            <w:tcW w:w="850" w:type="dxa"/>
            <w:vAlign w:val="center"/>
          </w:tcPr>
          <w:p w14:paraId="58463F63">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760" w:type="dxa"/>
            <w:vAlign w:val="center"/>
          </w:tcPr>
          <w:p w14:paraId="6C5FF7CF">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1275" w:type="dxa"/>
            <w:vAlign w:val="center"/>
          </w:tcPr>
          <w:p w14:paraId="6F3793C8">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单价（元）</w:t>
            </w:r>
          </w:p>
        </w:tc>
        <w:tc>
          <w:tcPr>
            <w:tcW w:w="1295" w:type="dxa"/>
            <w:vAlign w:val="center"/>
          </w:tcPr>
          <w:p w14:paraId="052B2757">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金额（元）</w:t>
            </w:r>
          </w:p>
        </w:tc>
      </w:tr>
      <w:tr w14:paraId="4BA0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0ADFA60B">
            <w:pPr>
              <w:snapToGrid w:val="0"/>
              <w:spacing w:before="12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31" w:type="dxa"/>
            <w:vAlign w:val="center"/>
          </w:tcPr>
          <w:p w14:paraId="4FD34902">
            <w:pPr>
              <w:snapToGrid w:val="0"/>
              <w:spacing w:before="120"/>
              <w:jc w:val="center"/>
              <w:rPr>
                <w:rFonts w:ascii="宋体" w:hAnsi="宋体" w:cs="宋体"/>
                <w:color w:val="auto"/>
                <w:szCs w:val="21"/>
                <w:highlight w:val="none"/>
              </w:rPr>
            </w:pPr>
          </w:p>
        </w:tc>
        <w:tc>
          <w:tcPr>
            <w:tcW w:w="2506" w:type="dxa"/>
            <w:vAlign w:val="center"/>
          </w:tcPr>
          <w:p w14:paraId="4722C364">
            <w:pPr>
              <w:snapToGrid w:val="0"/>
              <w:spacing w:before="120"/>
              <w:jc w:val="center"/>
              <w:rPr>
                <w:rFonts w:ascii="宋体" w:hAnsi="宋体" w:cs="宋体"/>
                <w:color w:val="auto"/>
                <w:szCs w:val="21"/>
                <w:highlight w:val="none"/>
              </w:rPr>
            </w:pPr>
          </w:p>
        </w:tc>
        <w:tc>
          <w:tcPr>
            <w:tcW w:w="850" w:type="dxa"/>
            <w:vAlign w:val="center"/>
          </w:tcPr>
          <w:p w14:paraId="0E3EBEF1">
            <w:pPr>
              <w:snapToGrid w:val="0"/>
              <w:spacing w:before="120"/>
              <w:jc w:val="center"/>
              <w:rPr>
                <w:rFonts w:ascii="宋体" w:hAnsi="宋体" w:cs="宋体"/>
                <w:color w:val="auto"/>
                <w:szCs w:val="21"/>
                <w:highlight w:val="none"/>
              </w:rPr>
            </w:pPr>
          </w:p>
        </w:tc>
        <w:tc>
          <w:tcPr>
            <w:tcW w:w="760" w:type="dxa"/>
            <w:vAlign w:val="center"/>
          </w:tcPr>
          <w:p w14:paraId="5BDA9A14">
            <w:pPr>
              <w:snapToGrid w:val="0"/>
              <w:spacing w:before="120"/>
              <w:jc w:val="center"/>
              <w:rPr>
                <w:rFonts w:ascii="宋体" w:hAnsi="宋体" w:cs="宋体"/>
                <w:color w:val="auto"/>
                <w:szCs w:val="21"/>
                <w:highlight w:val="none"/>
              </w:rPr>
            </w:pPr>
          </w:p>
        </w:tc>
        <w:tc>
          <w:tcPr>
            <w:tcW w:w="1275" w:type="dxa"/>
            <w:vAlign w:val="center"/>
          </w:tcPr>
          <w:p w14:paraId="48E88828">
            <w:pPr>
              <w:snapToGrid w:val="0"/>
              <w:spacing w:before="120"/>
              <w:jc w:val="center"/>
              <w:rPr>
                <w:rFonts w:ascii="宋体" w:hAnsi="宋体" w:cs="宋体"/>
                <w:color w:val="auto"/>
                <w:szCs w:val="21"/>
                <w:highlight w:val="none"/>
              </w:rPr>
            </w:pPr>
          </w:p>
        </w:tc>
        <w:tc>
          <w:tcPr>
            <w:tcW w:w="1295" w:type="dxa"/>
            <w:vAlign w:val="center"/>
          </w:tcPr>
          <w:p w14:paraId="375068E4">
            <w:pPr>
              <w:snapToGrid w:val="0"/>
              <w:spacing w:before="120"/>
              <w:jc w:val="center"/>
              <w:rPr>
                <w:rFonts w:ascii="宋体" w:hAnsi="宋体" w:cs="宋体"/>
                <w:color w:val="auto"/>
                <w:szCs w:val="21"/>
                <w:highlight w:val="none"/>
              </w:rPr>
            </w:pPr>
          </w:p>
        </w:tc>
      </w:tr>
      <w:tr w14:paraId="1FBC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1CCFCD76">
            <w:pPr>
              <w:snapToGrid w:val="0"/>
              <w:spacing w:before="120"/>
              <w:jc w:val="center"/>
              <w:rPr>
                <w:rFonts w:ascii="宋体" w:hAnsi="宋体" w:cs="宋体"/>
                <w:color w:val="auto"/>
                <w:szCs w:val="21"/>
                <w:highlight w:val="none"/>
              </w:rPr>
            </w:pPr>
            <w:r>
              <w:rPr>
                <w:rFonts w:hint="eastAsia" w:ascii="宋体" w:hAnsi="宋体" w:cs="宋体"/>
                <w:color w:val="auto"/>
                <w:szCs w:val="21"/>
                <w:highlight w:val="none"/>
              </w:rPr>
              <w:t>...</w:t>
            </w:r>
          </w:p>
        </w:tc>
        <w:tc>
          <w:tcPr>
            <w:tcW w:w="1731" w:type="dxa"/>
            <w:vAlign w:val="center"/>
          </w:tcPr>
          <w:p w14:paraId="471C2F54">
            <w:pPr>
              <w:snapToGrid w:val="0"/>
              <w:spacing w:before="120"/>
              <w:jc w:val="center"/>
              <w:rPr>
                <w:rFonts w:ascii="宋体" w:hAnsi="宋体" w:cs="宋体"/>
                <w:color w:val="auto"/>
                <w:szCs w:val="21"/>
                <w:highlight w:val="none"/>
              </w:rPr>
            </w:pPr>
          </w:p>
        </w:tc>
        <w:tc>
          <w:tcPr>
            <w:tcW w:w="2506" w:type="dxa"/>
            <w:vAlign w:val="center"/>
          </w:tcPr>
          <w:p w14:paraId="3A2E11B9">
            <w:pPr>
              <w:snapToGrid w:val="0"/>
              <w:spacing w:before="120"/>
              <w:jc w:val="center"/>
              <w:rPr>
                <w:rFonts w:ascii="宋体" w:hAnsi="宋体" w:cs="宋体"/>
                <w:color w:val="auto"/>
                <w:szCs w:val="21"/>
                <w:highlight w:val="none"/>
              </w:rPr>
            </w:pPr>
          </w:p>
        </w:tc>
        <w:tc>
          <w:tcPr>
            <w:tcW w:w="850" w:type="dxa"/>
            <w:vAlign w:val="center"/>
          </w:tcPr>
          <w:p w14:paraId="679656CA">
            <w:pPr>
              <w:snapToGrid w:val="0"/>
              <w:spacing w:before="120"/>
              <w:jc w:val="center"/>
              <w:rPr>
                <w:rFonts w:ascii="宋体" w:hAnsi="宋体" w:cs="宋体"/>
                <w:color w:val="auto"/>
                <w:szCs w:val="21"/>
                <w:highlight w:val="none"/>
              </w:rPr>
            </w:pPr>
          </w:p>
        </w:tc>
        <w:tc>
          <w:tcPr>
            <w:tcW w:w="760" w:type="dxa"/>
            <w:vAlign w:val="center"/>
          </w:tcPr>
          <w:p w14:paraId="723CC7E0">
            <w:pPr>
              <w:snapToGrid w:val="0"/>
              <w:spacing w:before="120"/>
              <w:jc w:val="center"/>
              <w:rPr>
                <w:rFonts w:ascii="宋体" w:hAnsi="宋体" w:cs="宋体"/>
                <w:color w:val="auto"/>
                <w:szCs w:val="21"/>
                <w:highlight w:val="none"/>
              </w:rPr>
            </w:pPr>
          </w:p>
        </w:tc>
        <w:tc>
          <w:tcPr>
            <w:tcW w:w="1275" w:type="dxa"/>
            <w:vAlign w:val="center"/>
          </w:tcPr>
          <w:p w14:paraId="6BB64992">
            <w:pPr>
              <w:snapToGrid w:val="0"/>
              <w:spacing w:before="120"/>
              <w:jc w:val="center"/>
              <w:rPr>
                <w:rFonts w:ascii="宋体" w:hAnsi="宋体" w:cs="宋体"/>
                <w:color w:val="auto"/>
                <w:szCs w:val="21"/>
                <w:highlight w:val="none"/>
              </w:rPr>
            </w:pPr>
          </w:p>
        </w:tc>
        <w:tc>
          <w:tcPr>
            <w:tcW w:w="1295" w:type="dxa"/>
            <w:vAlign w:val="center"/>
          </w:tcPr>
          <w:p w14:paraId="67D1DD81">
            <w:pPr>
              <w:snapToGrid w:val="0"/>
              <w:spacing w:before="120"/>
              <w:jc w:val="center"/>
              <w:rPr>
                <w:rFonts w:ascii="宋体" w:hAnsi="宋体" w:cs="宋体"/>
                <w:color w:val="auto"/>
                <w:szCs w:val="21"/>
                <w:highlight w:val="none"/>
              </w:rPr>
            </w:pPr>
          </w:p>
        </w:tc>
      </w:tr>
      <w:tr w14:paraId="406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14:paraId="2DE19F01">
            <w:pPr>
              <w:snapToGrid w:val="0"/>
              <w:spacing w:before="120"/>
              <w:jc w:val="left"/>
              <w:rPr>
                <w:rFonts w:ascii="宋体" w:hAnsi="宋体" w:cs="宋体"/>
                <w:color w:val="auto"/>
                <w:szCs w:val="21"/>
                <w:highlight w:val="none"/>
              </w:rPr>
            </w:pPr>
            <w:r>
              <w:rPr>
                <w:rFonts w:hint="eastAsia" w:ascii="宋体" w:hAnsi="宋体" w:cs="宋体"/>
                <w:color w:val="auto"/>
                <w:szCs w:val="21"/>
                <w:highlight w:val="none"/>
              </w:rPr>
              <w:t>合计：</w:t>
            </w:r>
          </w:p>
        </w:tc>
      </w:tr>
    </w:tbl>
    <w:p w14:paraId="478F11B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14:paraId="01FE24B7">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第二条 质量保证</w:t>
      </w:r>
    </w:p>
    <w:p w14:paraId="3C0BEE1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乙方所提供的服务及服务内容必须与投标文件承诺相一致，有</w:t>
      </w:r>
      <w:r>
        <w:rPr>
          <w:rFonts w:hint="eastAsia" w:ascii="宋体" w:hAnsi="宋体" w:cs="宋体"/>
          <w:color w:val="auto"/>
          <w:kern w:val="0"/>
          <w:szCs w:val="21"/>
          <w:highlight w:val="none"/>
        </w:rPr>
        <w:t>研发、开发等相关实施团队驻场进行开发实施服务，</w:t>
      </w:r>
      <w:r>
        <w:rPr>
          <w:rFonts w:hint="eastAsia" w:ascii="宋体" w:hAnsi="宋体"/>
          <w:color w:val="auto"/>
          <w:kern w:val="0"/>
          <w:szCs w:val="21"/>
          <w:highlight w:val="none"/>
        </w:rPr>
        <w:t>有国家强制性标准的，还必须符合国家强制性标准的规定，没有国家强制性标准但有其他强制性标准的，必须符合其他强制性标准的规定。</w:t>
      </w:r>
    </w:p>
    <w:p w14:paraId="4EC6C575">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第三条 权利保证</w:t>
      </w:r>
    </w:p>
    <w:p w14:paraId="071AF3AE">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1、乙方应保证所提供服务在使用时不会侵犯任何第三方的专利权、商标权、工业设计权等知识产权及其他合法权利，且所有权、处分权等没有受到任何限制。</w:t>
      </w:r>
    </w:p>
    <w:p w14:paraId="560ED177">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617FBE6">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统一，乙方不得私自将在甲方工作期间的项目任务进行分包、转包。</w:t>
      </w:r>
    </w:p>
    <w:p w14:paraId="560D591F">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服务期间涉及的政务数据和其他数据须分开处理，不得私自将工作中处理的数据进行变更处理。乙方在服务期间处理数据，涉及到个人信息时，须按照国家个人信息保护相关管理规定，做好数据处理存储工作。甲方具有所有权、使用权和访问权，甲方不得私自更改、访问、利用和销毁服务期间涉及到的政务数据信息。</w:t>
      </w:r>
    </w:p>
    <w:p w14:paraId="37CB6BA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5、做好网络安全漏洞检查，发现安全漏洞、缺陷及安全风险须及时通报甲方，并形成报告向区网信、公安部门报告，安全漏洞未经网信、公安部门同意，不得向第三人公开。</w:t>
      </w:r>
    </w:p>
    <w:p w14:paraId="41206F5C">
      <w:pPr>
        <w:widowControl/>
        <w:adjustRightInd w:val="0"/>
        <w:snapToGrid w:val="0"/>
        <w:spacing w:line="410" w:lineRule="exact"/>
        <w:ind w:firstLine="525" w:firstLineChars="250"/>
        <w:jc w:val="left"/>
        <w:rPr>
          <w:rFonts w:ascii="仿宋_GB2312" w:hAnsi="宋体" w:eastAsia="仿宋_GB2312"/>
          <w:color w:val="auto"/>
          <w:highlight w:val="none"/>
        </w:rPr>
      </w:pPr>
      <w:r>
        <w:rPr>
          <w:rFonts w:hint="eastAsia" w:ascii="宋体" w:hAnsi="宋体"/>
          <w:color w:val="auto"/>
          <w:kern w:val="0"/>
          <w:szCs w:val="21"/>
          <w:highlight w:val="none"/>
        </w:rPr>
        <w:t>6、处理数据时优先使用国产安全可信的硬件软件产品，硬软件信息系统须按照国家密码管理要求设置不限于数字字母特殊字符组合的强口令的密码。</w:t>
      </w:r>
    </w:p>
    <w:p w14:paraId="25F96C98">
      <w:pPr>
        <w:pStyle w:val="29"/>
        <w:rPr>
          <w:color w:val="auto"/>
          <w:highlight w:val="none"/>
        </w:rPr>
      </w:pPr>
    </w:p>
    <w:p w14:paraId="090CBDA9">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第四条 交付和验收</w:t>
      </w:r>
    </w:p>
    <w:p w14:paraId="55E5CCD8">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1、服务期限：</w:t>
      </w:r>
      <w:r>
        <w:rPr>
          <w:rFonts w:hint="eastAsia" w:hAnsi="宋体" w:cs="宋体"/>
          <w:color w:val="auto"/>
          <w:szCs w:val="21"/>
          <w:highlight w:val="none"/>
          <w:u w:val="single"/>
        </w:rPr>
        <w:t xml:space="preserve">                                        </w:t>
      </w:r>
    </w:p>
    <w:p w14:paraId="5CFDDEE7">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2、服务地点：</w:t>
      </w:r>
      <w:r>
        <w:rPr>
          <w:rFonts w:hint="eastAsia" w:ascii="宋体" w:hAnsi="宋体"/>
          <w:color w:val="auto"/>
          <w:szCs w:val="21"/>
          <w:highlight w:val="none"/>
          <w:u w:val="single"/>
        </w:rPr>
        <w:t xml:space="preserve">                                        </w:t>
      </w:r>
    </w:p>
    <w:p w14:paraId="4D1D8BF9">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3、乙方应按投标文件的承诺向甲方提供相应的服务，并提供所服务内容的相关技术资料。</w:t>
      </w:r>
    </w:p>
    <w:p w14:paraId="2F206E81">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4、乙方提供不符合投标文件和本合同规定的服务成果，甲方有权拒绝接受。</w:t>
      </w:r>
    </w:p>
    <w:p w14:paraId="532E1B51">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10032B7">
      <w:pPr>
        <w:widowControl/>
        <w:adjustRightInd w:val="0"/>
        <w:snapToGrid w:val="0"/>
        <w:spacing w:line="410" w:lineRule="exact"/>
        <w:ind w:firstLine="638" w:firstLineChars="304"/>
        <w:jc w:val="left"/>
        <w:rPr>
          <w:rFonts w:ascii="宋体" w:hAnsi="宋体"/>
          <w:color w:val="auto"/>
          <w:kern w:val="0"/>
          <w:szCs w:val="21"/>
          <w:highlight w:val="none"/>
        </w:rPr>
      </w:pPr>
      <w:r>
        <w:rPr>
          <w:rFonts w:hint="eastAsia" w:ascii="宋体" w:hAnsi="宋体"/>
          <w:color w:val="auto"/>
          <w:kern w:val="0"/>
          <w:szCs w:val="21"/>
          <w:highlight w:val="none"/>
        </w:rPr>
        <w:t>6、甲乙双方应按照双方合同、投标文件验收。</w:t>
      </w:r>
    </w:p>
    <w:p w14:paraId="5CF5B628">
      <w:pPr>
        <w:widowControl/>
        <w:adjustRightInd w:val="0"/>
        <w:snapToGrid w:val="0"/>
        <w:spacing w:line="410" w:lineRule="exact"/>
        <w:ind w:firstLine="638" w:firstLineChars="304"/>
        <w:jc w:val="left"/>
        <w:rPr>
          <w:rFonts w:ascii="宋体" w:hAnsi="宋体"/>
          <w:color w:val="auto"/>
          <w:kern w:val="0"/>
          <w:szCs w:val="21"/>
          <w:highlight w:val="none"/>
        </w:rPr>
      </w:pPr>
      <w:r>
        <w:rPr>
          <w:rFonts w:hint="eastAsia" w:ascii="宋体" w:hAnsi="宋体"/>
          <w:color w:val="auto"/>
          <w:kern w:val="0"/>
          <w:szCs w:val="21"/>
          <w:highlight w:val="none"/>
        </w:rPr>
        <w:t>7、甲方在初步验收或者最终验收过程中如发现乙方提供的服务成果不满足投标文件及本合同规定的，可暂缓向乙方付款，直到乙方及时完善并提交相应的服务成果且经甲方验收合格后，方可办理付款。</w:t>
      </w:r>
    </w:p>
    <w:p w14:paraId="25A6DA30">
      <w:pPr>
        <w:widowControl/>
        <w:adjustRightInd w:val="0"/>
        <w:snapToGrid w:val="0"/>
        <w:spacing w:line="410" w:lineRule="exact"/>
        <w:ind w:firstLine="638" w:firstLineChars="304"/>
        <w:jc w:val="left"/>
        <w:rPr>
          <w:rFonts w:ascii="宋体" w:hAnsi="宋体"/>
          <w:color w:val="auto"/>
          <w:kern w:val="0"/>
          <w:szCs w:val="21"/>
          <w:highlight w:val="none"/>
        </w:rPr>
      </w:pPr>
      <w:r>
        <w:rPr>
          <w:rFonts w:hint="eastAsia" w:ascii="宋体" w:hAnsi="宋体"/>
          <w:color w:val="auto"/>
          <w:kern w:val="0"/>
          <w:szCs w:val="21"/>
          <w:highlight w:val="none"/>
        </w:rPr>
        <w:t>8、甲方验收时以书面形式提出异议的，乙方应自收到甲方书面异议后五个工作日内及时予以解决，否则甲方有权不出具服务验收合格单。</w:t>
      </w:r>
    </w:p>
    <w:p w14:paraId="66C9426C">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9、甲方可对系统平台对接、接口互通、数据上报、数据校验等功能进行验证，验证结果达不到招标文件预期效果及功能不满足的，经双方协商无效后按违约处理，同时甲方有权上报相关监督管理部门，由此造成甲方损失的由乙方负责承担全部赔偿责任。</w:t>
      </w:r>
    </w:p>
    <w:p w14:paraId="4D27C84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10、乙方交付物应包含但不限于平台系统开发的源代码、系统管理员账号、配置或操作文档、标准接口文档、数据库表结构等内容 。</w:t>
      </w:r>
    </w:p>
    <w:p w14:paraId="2A85A9AE">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第五条  售后服务及培训</w:t>
      </w:r>
    </w:p>
    <w:p w14:paraId="4597D7F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1、乙方应按照国家有关法律法规和本合同所附的《售后服务承诺》要求为甲方提供相应的售后服务。</w:t>
      </w:r>
    </w:p>
    <w:p w14:paraId="7D60E96B">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2、甲方应提供必要测试条件（如场地、电源、水源等）。</w:t>
      </w:r>
    </w:p>
    <w:p w14:paraId="2C4367A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3、乙方负责甲方有关人员的培训。培训时间、地点：</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34CFD9E2">
      <w:pPr>
        <w:widowControl/>
        <w:adjustRightInd w:val="0"/>
        <w:snapToGrid w:val="0"/>
        <w:spacing w:line="410" w:lineRule="exact"/>
        <w:jc w:val="left"/>
        <w:rPr>
          <w:rFonts w:ascii="宋体" w:hAnsi="宋体"/>
          <w:color w:val="auto"/>
          <w:kern w:val="0"/>
          <w:szCs w:val="21"/>
          <w:highlight w:val="none"/>
          <w:u w:val="single"/>
        </w:rPr>
      </w:pPr>
      <w:r>
        <w:rPr>
          <w:rFonts w:hint="eastAsia" w:ascii="宋体" w:hAnsi="宋体"/>
          <w:color w:val="auto"/>
          <w:kern w:val="0"/>
          <w:szCs w:val="21"/>
          <w:highlight w:val="none"/>
        </w:rPr>
        <w:t>第六条 付款方式</w:t>
      </w:r>
    </w:p>
    <w:p w14:paraId="02636E19">
      <w:pPr>
        <w:widowControl/>
        <w:adjustRightInd w:val="0"/>
        <w:snapToGrid w:val="0"/>
        <w:spacing w:line="410" w:lineRule="exact"/>
        <w:ind w:firstLine="525" w:firstLineChars="250"/>
        <w:jc w:val="left"/>
        <w:outlineLvl w:val="0"/>
        <w:rPr>
          <w:rFonts w:ascii="宋体" w:hAnsi="宋体"/>
          <w:color w:val="auto"/>
          <w:kern w:val="0"/>
          <w:szCs w:val="21"/>
          <w:highlight w:val="none"/>
          <w:u w:val="single"/>
        </w:rPr>
      </w:pPr>
      <w:r>
        <w:rPr>
          <w:rFonts w:hint="eastAsia" w:ascii="宋体" w:hAnsi="宋体"/>
          <w:color w:val="auto"/>
          <w:kern w:val="0"/>
          <w:szCs w:val="21"/>
          <w:highlight w:val="none"/>
        </w:rPr>
        <w:t>付款方式：</w:t>
      </w:r>
    </w:p>
    <w:p w14:paraId="12B420AF">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第七条 履约保证金</w:t>
      </w:r>
    </w:p>
    <w:p w14:paraId="26823386">
      <w:pPr>
        <w:spacing w:line="360" w:lineRule="auto"/>
        <w:ind w:firstLine="420" w:firstLineChars="200"/>
        <w:contextualSpacing/>
        <w:rPr>
          <w:rFonts w:hAnsi="宋体"/>
          <w:color w:val="auto"/>
          <w:szCs w:val="21"/>
          <w:highlight w:val="none"/>
        </w:rPr>
      </w:pPr>
      <w:r>
        <w:rPr>
          <w:rFonts w:hint="eastAsia"/>
          <w:color w:val="auto"/>
          <w:highlight w:val="none"/>
        </w:rPr>
        <w:t>履约保证金：乙方向甲方指定账户交纳合同金额的</w:t>
      </w:r>
      <w:r>
        <w:rPr>
          <w:rFonts w:hint="eastAsia"/>
          <w:color w:val="auto"/>
          <w:highlight w:val="none"/>
          <w:u w:val="single"/>
        </w:rPr>
        <w:t xml:space="preserve">   %</w:t>
      </w:r>
      <w:r>
        <w:rPr>
          <w:rFonts w:hint="eastAsia"/>
          <w:color w:val="auto"/>
          <w:highlight w:val="none"/>
        </w:rPr>
        <w:t>作为本项目的履约保证金。</w:t>
      </w:r>
      <w:r>
        <w:rPr>
          <w:rFonts w:hint="eastAsia" w:hAnsi="宋体"/>
          <w:color w:val="auto"/>
          <w:szCs w:val="21"/>
          <w:highlight w:val="none"/>
        </w:rPr>
        <w:t>合同签订前支付到甲方指定账户。</w:t>
      </w:r>
    </w:p>
    <w:p w14:paraId="700B2F2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0DD924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广西壮族自治区道路运输发展中心</w:t>
      </w:r>
    </w:p>
    <w:p w14:paraId="1FCC1C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银行账户：</w:t>
      </w:r>
      <w:r>
        <w:rPr>
          <w:rFonts w:hint="eastAsia" w:ascii="宋体" w:hAnsi="宋体" w:cs="宋体"/>
          <w:color w:val="auto"/>
          <w:szCs w:val="21"/>
          <w:highlight w:val="none"/>
          <w:u w:val="single"/>
        </w:rPr>
        <w:t>2102101109221017081</w:t>
      </w:r>
    </w:p>
    <w:p w14:paraId="5F42FC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工行南宁市公园支行</w:t>
      </w:r>
    </w:p>
    <w:p w14:paraId="2C5BBD4B">
      <w:pPr>
        <w:pStyle w:val="23"/>
        <w:spacing w:line="300" w:lineRule="exact"/>
        <w:ind w:firstLine="400" w:firstLineChars="200"/>
        <w:jc w:val="left"/>
        <w:rPr>
          <w:color w:val="auto"/>
          <w:highlight w:val="none"/>
        </w:rPr>
      </w:pPr>
      <w:r>
        <w:rPr>
          <w:rFonts w:hint="eastAsia" w:hAnsi="宋体" w:cs="宋体"/>
          <w:color w:val="auto"/>
          <w:highlight w:val="none"/>
        </w:rPr>
        <w:t>行号：</w:t>
      </w:r>
      <w:r>
        <w:rPr>
          <w:rFonts w:hint="eastAsia" w:hAnsi="宋体" w:cs="宋体"/>
          <w:color w:val="auto"/>
          <w:highlight w:val="none"/>
          <w:u w:val="single"/>
        </w:rPr>
        <w:t>102611010117</w:t>
      </w:r>
    </w:p>
    <w:p w14:paraId="3F78186D">
      <w:pPr>
        <w:widowControl/>
        <w:adjustRightInd w:val="0"/>
        <w:snapToGrid w:val="0"/>
        <w:spacing w:line="410" w:lineRule="exact"/>
        <w:ind w:firstLine="420" w:firstLineChars="200"/>
        <w:jc w:val="left"/>
        <w:rPr>
          <w:rFonts w:ascii="宋体" w:hAnsi="宋体" w:cs="宋体"/>
          <w:color w:val="auto"/>
          <w:szCs w:val="21"/>
          <w:highlight w:val="none"/>
        </w:rPr>
      </w:pPr>
      <w:r>
        <w:rPr>
          <w:rFonts w:hint="eastAsia"/>
          <w:color w:val="auto"/>
          <w:highlight w:val="none"/>
        </w:rPr>
        <w:t>履约保证金退付方式、时间及条件：本项目服务期结束后三十个工作日内，由乙方向甲方提供《广西壮族自治区政府采购项目合同验收书》（详见桂财采〔2015〕22号）及付款申请，甲方在收到合格材料后十五个工作日内办理退还手续（不计利息）。</w:t>
      </w:r>
    </w:p>
    <w:p w14:paraId="69D2DBBB">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第八条  税费</w:t>
      </w:r>
    </w:p>
    <w:p w14:paraId="383ACDD4">
      <w:pPr>
        <w:widowControl/>
        <w:adjustRightInd w:val="0"/>
        <w:snapToGrid w:val="0"/>
        <w:spacing w:line="41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本合同执行中相关的一切税费均由乙方负担，合同另有约定的除外。</w:t>
      </w:r>
    </w:p>
    <w:p w14:paraId="7D6B9F0F">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第九条 违约责任</w:t>
      </w:r>
    </w:p>
    <w:p w14:paraId="7481F8D0">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5DB7E147">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2、乙方提供的服务如侵犯了第三方合法权益而引发的任何纠纷或者诉讼，均由乙方负责交涉并承担全部责任。</w:t>
      </w:r>
    </w:p>
    <w:p w14:paraId="39D31F5A">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3、甲方延期付款的，每天向乙方偿付延期款额3‰滞纳金，但滞纳金累计不得超过延期款额5%。</w:t>
      </w:r>
    </w:p>
    <w:p w14:paraId="7F6E238A">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第十条  不可抗力事件处理</w:t>
      </w:r>
    </w:p>
    <w:p w14:paraId="3E79C26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6D6CD59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2、不可抗力事件发生后，应立即通知对方，并寄送有关权威机构出具的证明。</w:t>
      </w:r>
    </w:p>
    <w:p w14:paraId="11897E6B">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3、不可抗力事件延续一百二十天以上，双方应通过友好协商，确定是否继续履行合同。</w:t>
      </w:r>
    </w:p>
    <w:p w14:paraId="1DA3AB89">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第十一条  合同争议解决</w:t>
      </w:r>
    </w:p>
    <w:p w14:paraId="364559EC">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1、因服务质量问题发生争议的，应邀请国家认可的质量检测机构进行鉴定。服务符合标准的，鉴定费由甲方承担；服务不符合标准的，鉴定费由乙方承担。</w:t>
      </w:r>
    </w:p>
    <w:p w14:paraId="0513BAB8">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2、因履行本合同引起的或者与本合同有关的争议，甲乙双方应首先通过友好协商解决，如果协商不能解决，向甲方所在地有管辖权人民法院提起诉讼。</w:t>
      </w:r>
    </w:p>
    <w:p w14:paraId="5B75CAC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3、诉讼期间，本合同继续履行。</w:t>
      </w:r>
    </w:p>
    <w:p w14:paraId="52722909">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第十二条  合同生效及其它</w:t>
      </w:r>
    </w:p>
    <w:p w14:paraId="533B381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1、合同自双方法定代表人或者授权代表签字并加盖单位公章之日起生效（委托代理人签字的需后附法定代表人授权委托书，格式自拟）。</w:t>
      </w:r>
    </w:p>
    <w:p w14:paraId="5F49DFFB">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2、合同执行中涉及采购资金和采购内容修改或者补充的，最终具体支付金额以自治区审核备案结果为准，并签订补充协议，方可作为主合同不可分割的一部分。</w:t>
      </w:r>
    </w:p>
    <w:p w14:paraId="161628F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highlight w:val="none"/>
        </w:rPr>
        <w:t>3、乙方按照合同规定开发的系统知识产权归甲乙双方共有。</w:t>
      </w:r>
    </w:p>
    <w:p w14:paraId="22AD9F4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4、本合同未尽事宜，遵照《中华人民共和国政府采购法》、《中华人民共和国民法典》有关条文执行。</w:t>
      </w:r>
    </w:p>
    <w:p w14:paraId="753F08CB">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第十三条 合同的变更、终止与转让</w:t>
      </w:r>
    </w:p>
    <w:p w14:paraId="775E2892">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1、除采购文件规定的情形外，本合同一经签订，甲乙双方不得擅自变更、中止或者终止。</w:t>
      </w:r>
    </w:p>
    <w:p w14:paraId="323C4387">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2、乙方不得擅自转让其应履行的合同义务。</w:t>
      </w:r>
    </w:p>
    <w:p w14:paraId="20D6B735">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第十四条 签订本合同依据</w:t>
      </w:r>
    </w:p>
    <w:p w14:paraId="165E52ED">
      <w:pPr>
        <w:widowControl/>
        <w:adjustRightInd w:val="0"/>
        <w:snapToGrid w:val="0"/>
        <w:spacing w:line="410" w:lineRule="exact"/>
        <w:ind w:firstLine="525" w:firstLineChars="250"/>
        <w:jc w:val="left"/>
        <w:rPr>
          <w:rFonts w:ascii="宋体" w:hAnsi="宋体"/>
          <w:color w:val="auto"/>
          <w:kern w:val="0"/>
          <w:szCs w:val="21"/>
          <w:highlight w:val="none"/>
        </w:rPr>
      </w:pPr>
      <w:bookmarkStart w:id="150" w:name="_Toc9541_WPSOffice_Level2"/>
      <w:bookmarkStart w:id="151" w:name="_Toc9624_WPSOffice_Level2"/>
      <w:r>
        <w:rPr>
          <w:rFonts w:hint="eastAsia" w:ascii="宋体" w:hAnsi="宋体"/>
          <w:color w:val="auto"/>
          <w:kern w:val="0"/>
          <w:szCs w:val="21"/>
          <w:highlight w:val="none"/>
        </w:rPr>
        <w:t>1、政府采购招标文件；</w:t>
      </w:r>
      <w:bookmarkEnd w:id="150"/>
      <w:bookmarkEnd w:id="151"/>
    </w:p>
    <w:p w14:paraId="396672EB">
      <w:pPr>
        <w:widowControl/>
        <w:adjustRightInd w:val="0"/>
        <w:snapToGrid w:val="0"/>
        <w:spacing w:line="410" w:lineRule="exact"/>
        <w:ind w:firstLine="525" w:firstLineChars="250"/>
        <w:jc w:val="left"/>
        <w:rPr>
          <w:rFonts w:ascii="宋体" w:hAnsi="宋体"/>
          <w:color w:val="auto"/>
          <w:kern w:val="0"/>
          <w:szCs w:val="21"/>
          <w:highlight w:val="none"/>
        </w:rPr>
      </w:pPr>
      <w:bookmarkStart w:id="152" w:name="_Toc16872_WPSOffice_Level2"/>
      <w:bookmarkStart w:id="153" w:name="_Toc25725_WPSOffice_Level2"/>
      <w:r>
        <w:rPr>
          <w:rFonts w:hint="eastAsia" w:ascii="宋体" w:hAnsi="宋体"/>
          <w:color w:val="auto"/>
          <w:kern w:val="0"/>
          <w:szCs w:val="21"/>
          <w:highlight w:val="none"/>
        </w:rPr>
        <w:t>2、乙方提供的采购投标（或应答）文件；</w:t>
      </w:r>
      <w:bookmarkEnd w:id="152"/>
      <w:bookmarkEnd w:id="153"/>
    </w:p>
    <w:p w14:paraId="07B5441D">
      <w:pPr>
        <w:widowControl/>
        <w:adjustRightInd w:val="0"/>
        <w:snapToGrid w:val="0"/>
        <w:spacing w:line="410" w:lineRule="exact"/>
        <w:ind w:firstLine="525" w:firstLineChars="250"/>
        <w:jc w:val="left"/>
        <w:rPr>
          <w:rFonts w:ascii="宋体" w:hAnsi="宋体"/>
          <w:color w:val="auto"/>
          <w:kern w:val="0"/>
          <w:szCs w:val="21"/>
          <w:highlight w:val="none"/>
        </w:rPr>
      </w:pPr>
      <w:bookmarkStart w:id="154" w:name="_Toc11025_WPSOffice_Level2"/>
      <w:bookmarkStart w:id="155" w:name="_Toc32077_WPSOffice_Level2"/>
      <w:r>
        <w:rPr>
          <w:rFonts w:hint="eastAsia" w:ascii="宋体" w:hAnsi="宋体"/>
          <w:color w:val="auto"/>
          <w:kern w:val="0"/>
          <w:szCs w:val="21"/>
          <w:highlight w:val="none"/>
        </w:rPr>
        <w:t>3、中标通知书。</w:t>
      </w:r>
      <w:bookmarkEnd w:id="154"/>
      <w:bookmarkEnd w:id="155"/>
    </w:p>
    <w:p w14:paraId="1ABAF240">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4、上述合同文件互相补充和解释。如果合同文件之间存在矛盾或者不一致之处，以上述文件的排列顺序在先者为准。</w:t>
      </w:r>
    </w:p>
    <w:p w14:paraId="42D0AB80">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第十五条 本合同一式五份，具有同等法律效力，采购代理机构一份，甲乙双方各两份（可根据需要另增加）。</w:t>
      </w:r>
    </w:p>
    <w:p w14:paraId="0329A9D9">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本合同甲乙双方签字盖章后生效。</w:t>
      </w:r>
    </w:p>
    <w:tbl>
      <w:tblPr>
        <w:tblStyle w:val="4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743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4582" w:type="dxa"/>
            <w:tcBorders>
              <w:top w:val="single" w:color="auto" w:sz="4" w:space="0"/>
              <w:left w:val="single" w:color="auto" w:sz="4" w:space="0"/>
              <w:bottom w:val="single" w:color="auto" w:sz="4" w:space="0"/>
              <w:right w:val="single" w:color="auto" w:sz="4" w:space="0"/>
            </w:tcBorders>
            <w:vAlign w:val="center"/>
          </w:tcPr>
          <w:p w14:paraId="733FA642">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甲方：（章）</w:t>
            </w:r>
          </w:p>
          <w:p w14:paraId="08A0B172">
            <w:pPr>
              <w:widowControl/>
              <w:adjustRightInd w:val="0"/>
              <w:snapToGrid w:val="0"/>
              <w:spacing w:line="410" w:lineRule="exact"/>
              <w:jc w:val="left"/>
              <w:rPr>
                <w:rFonts w:ascii="宋体" w:hAnsi="宋体"/>
                <w:color w:val="auto"/>
                <w:szCs w:val="21"/>
                <w:highlight w:val="none"/>
              </w:rPr>
            </w:pPr>
          </w:p>
          <w:p w14:paraId="69330809">
            <w:pPr>
              <w:widowControl/>
              <w:adjustRightInd w:val="0"/>
              <w:snapToGrid w:val="0"/>
              <w:spacing w:line="410" w:lineRule="exact"/>
              <w:jc w:val="right"/>
              <w:rPr>
                <w:rFonts w:ascii="宋体" w:hAnsi="宋体"/>
                <w:color w:val="auto"/>
                <w:szCs w:val="21"/>
                <w:highlight w:val="none"/>
              </w:rPr>
            </w:pPr>
            <w:r>
              <w:rPr>
                <w:rFonts w:hint="eastAsia" w:ascii="宋体" w:hAnsi="宋体"/>
                <w:color w:val="auto"/>
                <w:szCs w:val="21"/>
                <w:highlight w:val="none"/>
              </w:rPr>
              <w:t>年   月   日</w:t>
            </w:r>
          </w:p>
        </w:tc>
        <w:tc>
          <w:tcPr>
            <w:tcW w:w="4583" w:type="dxa"/>
            <w:tcBorders>
              <w:top w:val="single" w:color="auto" w:sz="4" w:space="0"/>
              <w:left w:val="nil"/>
              <w:bottom w:val="single" w:color="auto" w:sz="4" w:space="0"/>
              <w:right w:val="single" w:color="auto" w:sz="4" w:space="0"/>
            </w:tcBorders>
            <w:vAlign w:val="center"/>
          </w:tcPr>
          <w:p w14:paraId="0D2509B6">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乙方：（章）       </w:t>
            </w:r>
          </w:p>
          <w:p w14:paraId="408C507D">
            <w:pPr>
              <w:widowControl/>
              <w:adjustRightInd w:val="0"/>
              <w:snapToGrid w:val="0"/>
              <w:spacing w:line="410" w:lineRule="exact"/>
              <w:jc w:val="left"/>
              <w:rPr>
                <w:rFonts w:ascii="宋体" w:hAnsi="宋体"/>
                <w:color w:val="auto"/>
                <w:szCs w:val="21"/>
                <w:highlight w:val="none"/>
              </w:rPr>
            </w:pPr>
          </w:p>
          <w:p w14:paraId="6C7FD16B">
            <w:pPr>
              <w:widowControl/>
              <w:adjustRightInd w:val="0"/>
              <w:snapToGrid w:val="0"/>
              <w:spacing w:line="41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2B63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45C9680">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单位地址： </w:t>
            </w:r>
          </w:p>
        </w:tc>
        <w:tc>
          <w:tcPr>
            <w:tcW w:w="4583" w:type="dxa"/>
            <w:tcBorders>
              <w:top w:val="single" w:color="auto" w:sz="4" w:space="0"/>
              <w:left w:val="nil"/>
              <w:bottom w:val="single" w:color="auto" w:sz="4" w:space="0"/>
              <w:right w:val="single" w:color="auto" w:sz="4" w:space="0"/>
            </w:tcBorders>
            <w:vAlign w:val="center"/>
          </w:tcPr>
          <w:p w14:paraId="10363F82">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单位地址： </w:t>
            </w:r>
          </w:p>
        </w:tc>
      </w:tr>
      <w:tr w14:paraId="109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AF59C80">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法定代表人：</w:t>
            </w:r>
          </w:p>
        </w:tc>
        <w:tc>
          <w:tcPr>
            <w:tcW w:w="4583" w:type="dxa"/>
            <w:tcBorders>
              <w:top w:val="single" w:color="auto" w:sz="4" w:space="0"/>
              <w:left w:val="nil"/>
              <w:bottom w:val="single" w:color="auto" w:sz="4" w:space="0"/>
              <w:right w:val="single" w:color="auto" w:sz="4" w:space="0"/>
            </w:tcBorders>
            <w:vAlign w:val="center"/>
          </w:tcPr>
          <w:p w14:paraId="738EA3BC">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法定代表人：</w:t>
            </w:r>
          </w:p>
        </w:tc>
      </w:tr>
      <w:tr w14:paraId="6F9C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E932644">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委托代理人：</w:t>
            </w:r>
          </w:p>
        </w:tc>
        <w:tc>
          <w:tcPr>
            <w:tcW w:w="4583" w:type="dxa"/>
            <w:tcBorders>
              <w:top w:val="single" w:color="auto" w:sz="4" w:space="0"/>
              <w:left w:val="nil"/>
              <w:bottom w:val="single" w:color="auto" w:sz="4" w:space="0"/>
              <w:right w:val="single" w:color="auto" w:sz="4" w:space="0"/>
            </w:tcBorders>
            <w:vAlign w:val="center"/>
          </w:tcPr>
          <w:p w14:paraId="3B61713C">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委托代理人：</w:t>
            </w:r>
          </w:p>
        </w:tc>
      </w:tr>
      <w:tr w14:paraId="0C3F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DC34EE2">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电话：</w:t>
            </w:r>
          </w:p>
        </w:tc>
        <w:tc>
          <w:tcPr>
            <w:tcW w:w="4583" w:type="dxa"/>
            <w:tcBorders>
              <w:top w:val="single" w:color="auto" w:sz="4" w:space="0"/>
              <w:left w:val="nil"/>
              <w:bottom w:val="single" w:color="auto" w:sz="4" w:space="0"/>
              <w:right w:val="single" w:color="auto" w:sz="4" w:space="0"/>
            </w:tcBorders>
            <w:vAlign w:val="center"/>
          </w:tcPr>
          <w:p w14:paraId="73D54405">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电话：</w:t>
            </w:r>
          </w:p>
        </w:tc>
      </w:tr>
      <w:tr w14:paraId="5500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64BE093">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开户银行： </w:t>
            </w:r>
          </w:p>
        </w:tc>
        <w:tc>
          <w:tcPr>
            <w:tcW w:w="4583" w:type="dxa"/>
            <w:tcBorders>
              <w:top w:val="single" w:color="auto" w:sz="4" w:space="0"/>
              <w:left w:val="nil"/>
              <w:bottom w:val="single" w:color="auto" w:sz="4" w:space="0"/>
              <w:right w:val="single" w:color="auto" w:sz="4" w:space="0"/>
            </w:tcBorders>
            <w:vAlign w:val="center"/>
          </w:tcPr>
          <w:p w14:paraId="05F8374C">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开户银行： </w:t>
            </w:r>
          </w:p>
        </w:tc>
      </w:tr>
      <w:tr w14:paraId="33FA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F3D2619">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账号：</w:t>
            </w:r>
          </w:p>
        </w:tc>
        <w:tc>
          <w:tcPr>
            <w:tcW w:w="4583" w:type="dxa"/>
            <w:tcBorders>
              <w:top w:val="single" w:color="auto" w:sz="4" w:space="0"/>
              <w:left w:val="nil"/>
              <w:bottom w:val="single" w:color="auto" w:sz="4" w:space="0"/>
              <w:right w:val="single" w:color="auto" w:sz="4" w:space="0"/>
            </w:tcBorders>
            <w:vAlign w:val="center"/>
          </w:tcPr>
          <w:p w14:paraId="5E267D97">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账号：</w:t>
            </w:r>
          </w:p>
        </w:tc>
      </w:tr>
      <w:tr w14:paraId="1151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0E272E5">
            <w:pPr>
              <w:widowControl/>
              <w:adjustRightInd w:val="0"/>
              <w:snapToGrid w:val="0"/>
              <w:spacing w:line="410" w:lineRule="exact"/>
              <w:jc w:val="left"/>
              <w:rPr>
                <w:rFonts w:ascii="宋体" w:hAnsi="宋体"/>
                <w:color w:val="auto"/>
                <w:szCs w:val="21"/>
                <w:highlight w:val="none"/>
              </w:rPr>
            </w:pPr>
            <w:r>
              <w:rPr>
                <w:rFonts w:hint="eastAsia" w:ascii="宋体" w:hAnsi="宋体" w:cs="宋体"/>
                <w:color w:val="auto"/>
                <w:szCs w:val="21"/>
                <w:highlight w:val="none"/>
              </w:rPr>
              <w:t>纳税人识别号或统一社会信用代码：</w:t>
            </w:r>
          </w:p>
        </w:tc>
        <w:tc>
          <w:tcPr>
            <w:tcW w:w="4583" w:type="dxa"/>
            <w:tcBorders>
              <w:top w:val="single" w:color="auto" w:sz="4" w:space="0"/>
              <w:left w:val="nil"/>
              <w:bottom w:val="single" w:color="auto" w:sz="4" w:space="0"/>
              <w:right w:val="single" w:color="auto" w:sz="4" w:space="0"/>
            </w:tcBorders>
            <w:vAlign w:val="center"/>
          </w:tcPr>
          <w:p w14:paraId="1224B15B">
            <w:pPr>
              <w:widowControl/>
              <w:adjustRightInd w:val="0"/>
              <w:snapToGrid w:val="0"/>
              <w:spacing w:line="410" w:lineRule="exact"/>
              <w:jc w:val="left"/>
              <w:rPr>
                <w:rFonts w:ascii="宋体" w:hAnsi="宋体"/>
                <w:color w:val="auto"/>
                <w:szCs w:val="21"/>
                <w:highlight w:val="none"/>
              </w:rPr>
            </w:pPr>
            <w:r>
              <w:rPr>
                <w:rFonts w:hint="eastAsia" w:ascii="宋体" w:hAnsi="宋体" w:cs="宋体"/>
                <w:color w:val="auto"/>
                <w:szCs w:val="21"/>
                <w:highlight w:val="none"/>
              </w:rPr>
              <w:t>纳税人识别号或统一社会信用代码：</w:t>
            </w:r>
          </w:p>
        </w:tc>
      </w:tr>
      <w:tr w14:paraId="5F6D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81F839B">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邮政编码：</w:t>
            </w:r>
          </w:p>
        </w:tc>
        <w:tc>
          <w:tcPr>
            <w:tcW w:w="4583" w:type="dxa"/>
            <w:tcBorders>
              <w:top w:val="single" w:color="auto" w:sz="4" w:space="0"/>
              <w:left w:val="nil"/>
              <w:bottom w:val="single" w:color="auto" w:sz="4" w:space="0"/>
              <w:right w:val="single" w:color="auto" w:sz="4" w:space="0"/>
            </w:tcBorders>
            <w:vAlign w:val="center"/>
          </w:tcPr>
          <w:p w14:paraId="027D93F3">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邮政编码：</w:t>
            </w:r>
          </w:p>
        </w:tc>
      </w:tr>
    </w:tbl>
    <w:p w14:paraId="74701C11">
      <w:pPr>
        <w:pStyle w:val="2"/>
        <w:jc w:val="center"/>
        <w:rPr>
          <w:color w:val="auto"/>
          <w:highlight w:val="none"/>
        </w:rPr>
      </w:pPr>
      <w:bookmarkStart w:id="156" w:name="_Toc25289"/>
    </w:p>
    <w:p w14:paraId="28299A6B">
      <w:pPr>
        <w:widowControl/>
        <w:jc w:val="left"/>
        <w:rPr>
          <w:b/>
          <w:bCs/>
          <w:color w:val="auto"/>
          <w:kern w:val="44"/>
          <w:sz w:val="44"/>
          <w:szCs w:val="44"/>
          <w:highlight w:val="none"/>
        </w:rPr>
      </w:pPr>
      <w:r>
        <w:rPr>
          <w:color w:val="auto"/>
          <w:highlight w:val="none"/>
        </w:rPr>
        <w:br w:type="page"/>
      </w:r>
    </w:p>
    <w:p w14:paraId="7B3421D0">
      <w:pPr>
        <w:pStyle w:val="2"/>
        <w:jc w:val="center"/>
        <w:rPr>
          <w:color w:val="auto"/>
          <w:highlight w:val="none"/>
        </w:rPr>
      </w:pPr>
    </w:p>
    <w:p w14:paraId="66D4F132">
      <w:pPr>
        <w:pStyle w:val="2"/>
        <w:jc w:val="center"/>
        <w:rPr>
          <w:color w:val="auto"/>
          <w:highlight w:val="none"/>
        </w:rPr>
      </w:pPr>
    </w:p>
    <w:p w14:paraId="3E9C2829">
      <w:pPr>
        <w:pStyle w:val="2"/>
        <w:jc w:val="center"/>
        <w:rPr>
          <w:color w:val="auto"/>
          <w:highlight w:val="none"/>
        </w:rPr>
      </w:pPr>
    </w:p>
    <w:p w14:paraId="5374BD85">
      <w:pPr>
        <w:pStyle w:val="2"/>
        <w:jc w:val="center"/>
        <w:rPr>
          <w:color w:val="auto"/>
          <w:highlight w:val="none"/>
        </w:rPr>
      </w:pPr>
      <w:r>
        <w:rPr>
          <w:rFonts w:hint="eastAsia"/>
          <w:color w:val="auto"/>
          <w:highlight w:val="none"/>
        </w:rPr>
        <w:t>第六章  投标文件格式</w:t>
      </w:r>
      <w:bookmarkEnd w:id="156"/>
    </w:p>
    <w:p w14:paraId="2135F39B">
      <w:pPr>
        <w:snapToGrid w:val="0"/>
        <w:spacing w:before="50" w:after="50"/>
        <w:rPr>
          <w:rFonts w:ascii="宋体" w:hAnsi="宋体"/>
          <w:color w:val="auto"/>
          <w:sz w:val="32"/>
          <w:szCs w:val="20"/>
          <w:highlight w:val="none"/>
        </w:rPr>
      </w:pPr>
    </w:p>
    <w:p w14:paraId="3D0A23C4">
      <w:pPr>
        <w:snapToGrid w:val="0"/>
        <w:spacing w:before="50" w:after="50"/>
        <w:rPr>
          <w:rFonts w:ascii="宋体" w:hAnsi="宋体"/>
          <w:color w:val="auto"/>
          <w:sz w:val="32"/>
          <w:szCs w:val="20"/>
          <w:highlight w:val="none"/>
        </w:rPr>
      </w:pPr>
    </w:p>
    <w:p w14:paraId="6E9AF4BE">
      <w:pPr>
        <w:snapToGrid w:val="0"/>
        <w:spacing w:before="50" w:after="50"/>
        <w:rPr>
          <w:rFonts w:ascii="宋体" w:hAnsi="宋体"/>
          <w:color w:val="auto"/>
          <w:sz w:val="32"/>
          <w:szCs w:val="20"/>
          <w:highlight w:val="none"/>
        </w:rPr>
      </w:pPr>
    </w:p>
    <w:p w14:paraId="299B7C3C">
      <w:pPr>
        <w:snapToGrid w:val="0"/>
        <w:spacing w:before="50" w:after="50"/>
        <w:rPr>
          <w:rFonts w:ascii="宋体" w:hAnsi="宋体"/>
          <w:color w:val="auto"/>
          <w:sz w:val="32"/>
          <w:szCs w:val="20"/>
          <w:highlight w:val="none"/>
        </w:rPr>
      </w:pPr>
    </w:p>
    <w:p w14:paraId="4C9B2E32">
      <w:pPr>
        <w:snapToGrid w:val="0"/>
        <w:spacing w:before="50" w:after="50"/>
        <w:rPr>
          <w:rFonts w:ascii="宋体" w:hAnsi="宋体"/>
          <w:color w:val="auto"/>
          <w:sz w:val="32"/>
          <w:szCs w:val="20"/>
          <w:highlight w:val="none"/>
        </w:rPr>
      </w:pPr>
    </w:p>
    <w:p w14:paraId="57C4B19B">
      <w:pPr>
        <w:snapToGrid w:val="0"/>
        <w:spacing w:before="50" w:after="50"/>
        <w:rPr>
          <w:rFonts w:ascii="宋体" w:hAnsi="宋体"/>
          <w:color w:val="auto"/>
          <w:sz w:val="32"/>
          <w:szCs w:val="20"/>
          <w:highlight w:val="none"/>
        </w:rPr>
      </w:pPr>
    </w:p>
    <w:p w14:paraId="65CDF22B">
      <w:pPr>
        <w:snapToGrid w:val="0"/>
        <w:spacing w:before="50" w:after="50"/>
        <w:rPr>
          <w:rFonts w:ascii="宋体" w:hAnsi="宋体"/>
          <w:color w:val="auto"/>
          <w:sz w:val="32"/>
          <w:szCs w:val="20"/>
          <w:highlight w:val="none"/>
        </w:rPr>
      </w:pPr>
    </w:p>
    <w:p w14:paraId="67D35590">
      <w:pPr>
        <w:snapToGrid w:val="0"/>
        <w:spacing w:before="50" w:after="50"/>
        <w:rPr>
          <w:rFonts w:ascii="宋体" w:hAnsi="宋体"/>
          <w:color w:val="auto"/>
          <w:sz w:val="32"/>
          <w:szCs w:val="20"/>
          <w:highlight w:val="none"/>
        </w:rPr>
      </w:pPr>
    </w:p>
    <w:p w14:paraId="47E4360D">
      <w:pPr>
        <w:snapToGrid w:val="0"/>
        <w:spacing w:before="50" w:after="50"/>
        <w:rPr>
          <w:rFonts w:ascii="宋体" w:hAnsi="宋体"/>
          <w:color w:val="auto"/>
          <w:sz w:val="32"/>
          <w:szCs w:val="20"/>
          <w:highlight w:val="none"/>
        </w:rPr>
      </w:pPr>
    </w:p>
    <w:p w14:paraId="6691FADD">
      <w:pPr>
        <w:snapToGrid w:val="0"/>
        <w:spacing w:before="50" w:after="50"/>
        <w:rPr>
          <w:rFonts w:ascii="宋体" w:hAnsi="宋体"/>
          <w:color w:val="auto"/>
          <w:sz w:val="32"/>
          <w:szCs w:val="20"/>
          <w:highlight w:val="none"/>
        </w:rPr>
      </w:pPr>
    </w:p>
    <w:p w14:paraId="4913FE3F">
      <w:pPr>
        <w:snapToGrid w:val="0"/>
        <w:spacing w:before="50" w:after="50"/>
        <w:rPr>
          <w:rFonts w:ascii="宋体" w:hAnsi="宋体"/>
          <w:color w:val="auto"/>
          <w:sz w:val="32"/>
          <w:szCs w:val="20"/>
          <w:highlight w:val="none"/>
        </w:rPr>
      </w:pPr>
    </w:p>
    <w:p w14:paraId="7D9B1813">
      <w:pPr>
        <w:outlineLvl w:val="1"/>
        <w:rPr>
          <w:b/>
          <w:color w:val="auto"/>
          <w:sz w:val="28"/>
          <w:szCs w:val="28"/>
          <w:highlight w:val="none"/>
        </w:rPr>
      </w:pPr>
      <w:r>
        <w:rPr>
          <w:color w:val="auto"/>
          <w:sz w:val="32"/>
          <w:szCs w:val="20"/>
          <w:highlight w:val="none"/>
        </w:rPr>
        <w:br w:type="page"/>
      </w:r>
      <w:bookmarkStart w:id="157" w:name="_Toc19686836"/>
      <w:bookmarkStart w:id="158" w:name="_Toc254970557"/>
      <w:bookmarkStart w:id="159" w:name="_Toc254970698"/>
      <w:r>
        <w:rPr>
          <w:rFonts w:hint="eastAsia"/>
          <w:b/>
          <w:color w:val="auto"/>
          <w:sz w:val="28"/>
          <w:szCs w:val="28"/>
          <w:highlight w:val="none"/>
        </w:rPr>
        <w:t>一、报价文件格式</w:t>
      </w:r>
      <w:bookmarkEnd w:id="157"/>
    </w:p>
    <w:p w14:paraId="16F3455A">
      <w:pPr>
        <w:snapToGrid w:val="0"/>
        <w:spacing w:before="120" w:beforeLines="50" w:after="50" w:line="360" w:lineRule="auto"/>
        <w:ind w:left="142"/>
        <w:jc w:val="left"/>
        <w:outlineLvl w:val="2"/>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3ADBCFE1">
      <w:pPr>
        <w:snapToGrid w:val="0"/>
        <w:spacing w:before="120"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29A6277">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490298F6">
      <w:pPr>
        <w:snapToGrid w:val="0"/>
        <w:spacing w:before="120" w:beforeLines="50" w:after="50" w:line="400" w:lineRule="exact"/>
        <w:jc w:val="center"/>
        <w:rPr>
          <w:rFonts w:ascii="宋体" w:hAnsi="宋体"/>
          <w:bCs/>
          <w:color w:val="auto"/>
          <w:sz w:val="24"/>
          <w:szCs w:val="20"/>
          <w:highlight w:val="none"/>
        </w:rPr>
      </w:pPr>
    </w:p>
    <w:p w14:paraId="0C192778">
      <w:pPr>
        <w:snapToGrid w:val="0"/>
        <w:spacing w:before="120"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7A7D9BE1">
      <w:pPr>
        <w:snapToGrid w:val="0"/>
        <w:spacing w:before="120" w:beforeLines="50" w:after="50" w:line="400" w:lineRule="exact"/>
        <w:rPr>
          <w:rFonts w:ascii="宋体" w:hAnsi="宋体"/>
          <w:bCs/>
          <w:color w:val="auto"/>
          <w:sz w:val="24"/>
          <w:szCs w:val="20"/>
          <w:highlight w:val="none"/>
        </w:rPr>
      </w:pPr>
    </w:p>
    <w:p w14:paraId="7DDE1DCD">
      <w:pPr>
        <w:snapToGrid w:val="0"/>
        <w:spacing w:before="120" w:beforeLines="50" w:after="50" w:line="400" w:lineRule="exact"/>
        <w:rPr>
          <w:rFonts w:ascii="宋体" w:hAnsi="宋体"/>
          <w:bCs/>
          <w:color w:val="auto"/>
          <w:sz w:val="24"/>
          <w:szCs w:val="20"/>
          <w:highlight w:val="none"/>
        </w:rPr>
      </w:pPr>
    </w:p>
    <w:p w14:paraId="7BD34FEF">
      <w:pPr>
        <w:snapToGrid w:val="0"/>
        <w:spacing w:before="120" w:beforeLines="50" w:after="50" w:line="400" w:lineRule="exact"/>
        <w:rPr>
          <w:rFonts w:ascii="宋体" w:hAnsi="宋体"/>
          <w:bCs/>
          <w:color w:val="auto"/>
          <w:sz w:val="24"/>
          <w:szCs w:val="20"/>
          <w:highlight w:val="none"/>
        </w:rPr>
      </w:pPr>
    </w:p>
    <w:p w14:paraId="57115336">
      <w:pPr>
        <w:snapToGrid w:val="0"/>
        <w:spacing w:before="120" w:beforeLines="50" w:after="50" w:line="400" w:lineRule="exact"/>
        <w:rPr>
          <w:rFonts w:ascii="宋体" w:hAnsi="宋体"/>
          <w:bCs/>
          <w:color w:val="auto"/>
          <w:sz w:val="24"/>
          <w:szCs w:val="20"/>
          <w:highlight w:val="none"/>
        </w:rPr>
      </w:pPr>
    </w:p>
    <w:p w14:paraId="76AFDE00">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2CC8FBB2">
      <w:pPr>
        <w:snapToGrid w:val="0"/>
        <w:spacing w:before="120" w:beforeLines="50" w:after="50" w:line="400" w:lineRule="exact"/>
        <w:ind w:firstLine="360" w:firstLineChars="150"/>
        <w:rPr>
          <w:rFonts w:ascii="宋体" w:hAnsi="宋体"/>
          <w:bCs/>
          <w:color w:val="auto"/>
          <w:sz w:val="24"/>
          <w:highlight w:val="none"/>
        </w:rPr>
      </w:pPr>
    </w:p>
    <w:p w14:paraId="13D0A47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7BD1C9C">
      <w:pPr>
        <w:snapToGrid w:val="0"/>
        <w:spacing w:before="120" w:beforeLines="50" w:after="50" w:line="400" w:lineRule="exact"/>
        <w:ind w:firstLine="360" w:firstLineChars="150"/>
        <w:rPr>
          <w:rFonts w:ascii="宋体" w:hAnsi="宋体"/>
          <w:bCs/>
          <w:color w:val="auto"/>
          <w:sz w:val="24"/>
          <w:highlight w:val="none"/>
        </w:rPr>
      </w:pPr>
    </w:p>
    <w:p w14:paraId="123E2E1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DD7C538">
      <w:pPr>
        <w:snapToGrid w:val="0"/>
        <w:spacing w:before="120" w:beforeLines="50" w:after="50" w:line="400" w:lineRule="exact"/>
        <w:ind w:firstLine="360" w:firstLineChars="150"/>
        <w:rPr>
          <w:rFonts w:ascii="宋体" w:hAnsi="宋体"/>
          <w:bCs/>
          <w:color w:val="auto"/>
          <w:sz w:val="24"/>
          <w:highlight w:val="none"/>
        </w:rPr>
      </w:pPr>
    </w:p>
    <w:p w14:paraId="1343E65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1F3CFF2">
      <w:pPr>
        <w:snapToGrid w:val="0"/>
        <w:spacing w:before="120" w:beforeLines="50" w:after="50" w:line="400" w:lineRule="exact"/>
        <w:ind w:firstLine="360" w:firstLineChars="150"/>
        <w:rPr>
          <w:rFonts w:ascii="宋体" w:hAnsi="宋体"/>
          <w:bCs/>
          <w:color w:val="auto"/>
          <w:sz w:val="24"/>
          <w:highlight w:val="none"/>
        </w:rPr>
      </w:pPr>
    </w:p>
    <w:p w14:paraId="166A83E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BBF0792">
      <w:pPr>
        <w:pStyle w:val="7"/>
        <w:snapToGrid w:val="0"/>
        <w:spacing w:before="50" w:after="50" w:line="400" w:lineRule="exact"/>
        <w:ind w:firstLine="960" w:firstLineChars="400"/>
        <w:rPr>
          <w:rFonts w:ascii="宋体" w:hAnsi="宋体"/>
          <w:bCs/>
          <w:color w:val="auto"/>
          <w:sz w:val="24"/>
          <w:szCs w:val="24"/>
          <w:highlight w:val="none"/>
        </w:rPr>
      </w:pPr>
    </w:p>
    <w:p w14:paraId="55E476B1">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35C0F631">
      <w:pPr>
        <w:snapToGrid w:val="0"/>
        <w:spacing w:before="120" w:beforeLines="50" w:after="50" w:line="360" w:lineRule="auto"/>
        <w:jc w:val="left"/>
        <w:outlineLvl w:val="2"/>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647E28DD">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F687C6F">
      <w:pPr>
        <w:snapToGrid w:val="0"/>
        <w:spacing w:before="120" w:beforeLines="50" w:after="50"/>
        <w:rPr>
          <w:rFonts w:ascii="宋体" w:hAnsi="宋体"/>
          <w:b/>
          <w:color w:val="auto"/>
          <w:sz w:val="24"/>
          <w:highlight w:val="none"/>
        </w:rPr>
      </w:pPr>
    </w:p>
    <w:p w14:paraId="1FFA54C8">
      <w:pPr>
        <w:snapToGrid w:val="0"/>
        <w:spacing w:before="120" w:beforeLines="50" w:after="50"/>
        <w:rPr>
          <w:rFonts w:ascii="宋体" w:hAnsi="宋体"/>
          <w:b/>
          <w:color w:val="auto"/>
          <w:sz w:val="24"/>
          <w:highlight w:val="none"/>
        </w:rPr>
      </w:pPr>
    </w:p>
    <w:p w14:paraId="2EC198DB">
      <w:pPr>
        <w:snapToGrid w:val="0"/>
        <w:spacing w:before="120" w:beforeLines="50" w:after="50"/>
        <w:rPr>
          <w:rFonts w:ascii="宋体" w:hAnsi="宋体"/>
          <w:b/>
          <w:color w:val="auto"/>
          <w:sz w:val="24"/>
          <w:highlight w:val="none"/>
        </w:rPr>
      </w:pPr>
    </w:p>
    <w:p w14:paraId="41939EBB">
      <w:pPr>
        <w:snapToGrid w:val="0"/>
        <w:spacing w:before="120" w:beforeLines="50" w:after="50"/>
        <w:ind w:left="142"/>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85EDAFB">
      <w:pPr>
        <w:snapToGrid w:val="0"/>
        <w:spacing w:before="120" w:beforeLines="50" w:after="50" w:line="320" w:lineRule="exact"/>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12188381">
      <w:pPr>
        <w:snapToGrid w:val="0"/>
        <w:spacing w:before="120" w:beforeLines="50" w:after="50" w:line="320" w:lineRule="exact"/>
        <w:jc w:val="center"/>
        <w:rPr>
          <w:rFonts w:ascii="宋体" w:hAnsi="宋体"/>
          <w:b/>
          <w:color w:val="auto"/>
          <w:sz w:val="24"/>
          <w:szCs w:val="20"/>
          <w:highlight w:val="none"/>
        </w:rPr>
      </w:pPr>
    </w:p>
    <w:p w14:paraId="77A90661">
      <w:pPr>
        <w:snapToGrid w:val="0"/>
        <w:spacing w:before="120" w:beforeLines="50" w:after="50" w:line="320" w:lineRule="exact"/>
        <w:jc w:val="center"/>
        <w:rPr>
          <w:rFonts w:ascii="宋体" w:hAnsi="宋体"/>
          <w:b/>
          <w:color w:val="auto"/>
          <w:sz w:val="24"/>
          <w:szCs w:val="20"/>
          <w:highlight w:val="none"/>
        </w:rPr>
      </w:pPr>
    </w:p>
    <w:p w14:paraId="7B86ABA1">
      <w:pPr>
        <w:snapToGrid w:val="0"/>
        <w:spacing w:before="120" w:beforeLines="50" w:after="50" w:line="320" w:lineRule="exact"/>
        <w:jc w:val="center"/>
        <w:rPr>
          <w:rFonts w:ascii="宋体" w:hAnsi="宋体"/>
          <w:b/>
          <w:color w:val="auto"/>
          <w:sz w:val="24"/>
          <w:szCs w:val="20"/>
          <w:highlight w:val="none"/>
        </w:rPr>
      </w:pPr>
    </w:p>
    <w:p w14:paraId="1BAEE632">
      <w:pPr>
        <w:snapToGrid w:val="0"/>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1937AC8">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6574FF2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据此函，我方宣布同意如下：</w:t>
      </w:r>
    </w:p>
    <w:p w14:paraId="7436B0C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62A31A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48652C2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90</w:t>
      </w:r>
      <w:r>
        <w:rPr>
          <w:rFonts w:hint="eastAsia" w:ascii="宋体" w:hAnsi="宋体"/>
          <w:color w:val="auto"/>
          <w:sz w:val="24"/>
          <w:highlight w:val="none"/>
        </w:rPr>
        <w:t>日。</w:t>
      </w:r>
    </w:p>
    <w:p w14:paraId="284AEF2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40222B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F50BF0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2CB5E3C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6E4DD5C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334051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0A7B145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68C2F5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47BDF677">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F3615D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52BEFC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E7AD48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B6EE844">
      <w:pPr>
        <w:snapToGrid w:val="0"/>
        <w:spacing w:line="360" w:lineRule="auto"/>
        <w:ind w:firstLine="480" w:firstLineChars="200"/>
        <w:jc w:val="left"/>
        <w:rPr>
          <w:rFonts w:ascii="宋体" w:hAnsi="宋体"/>
          <w:color w:val="auto"/>
          <w:sz w:val="24"/>
          <w:highlight w:val="none"/>
        </w:rPr>
      </w:pPr>
    </w:p>
    <w:p w14:paraId="797423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75D8CC00">
      <w:pPr>
        <w:pStyle w:val="23"/>
        <w:snapToGrid w:val="0"/>
        <w:spacing w:before="295" w:after="295" w:line="360" w:lineRule="auto"/>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r>
        <w:rPr>
          <w:rFonts w:hint="eastAsia" w:hAnsi="宋体"/>
          <w:color w:val="auto"/>
          <w:sz w:val="24"/>
          <w:highlight w:val="none"/>
          <w:u w:val="single"/>
        </w:rPr>
        <w:t xml:space="preserve">          </w:t>
      </w:r>
    </w:p>
    <w:p w14:paraId="47E2F48B">
      <w:pPr>
        <w:pStyle w:val="23"/>
        <w:snapToGrid w:val="0"/>
        <w:spacing w:before="295" w:after="295" w:line="360" w:lineRule="auto"/>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0D0C20D7">
      <w:pPr>
        <w:snapToGrid w:val="0"/>
        <w:spacing w:before="120" w:beforeLines="50" w:after="50"/>
        <w:jc w:val="left"/>
        <w:outlineLvl w:val="2"/>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w:t>
      </w:r>
    </w:p>
    <w:p w14:paraId="1B3D69D5">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58751391">
      <w:pPr>
        <w:snapToGrid w:val="0"/>
        <w:spacing w:before="50" w:after="50"/>
        <w:jc w:val="center"/>
        <w:rPr>
          <w:rFonts w:ascii="宋体" w:hAnsi="宋体"/>
          <w:b/>
          <w:color w:val="auto"/>
          <w:sz w:val="30"/>
          <w:szCs w:val="20"/>
          <w:highlight w:val="none"/>
        </w:rPr>
      </w:pPr>
    </w:p>
    <w:p w14:paraId="38A75C63">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F445B6E">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152"/>
        <w:gridCol w:w="2147"/>
        <w:gridCol w:w="1054"/>
        <w:gridCol w:w="1054"/>
        <w:gridCol w:w="1064"/>
      </w:tblGrid>
      <w:tr w14:paraId="0719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4F7AB65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1262" w:type="pct"/>
            <w:tcBorders>
              <w:top w:val="single" w:color="auto" w:sz="4" w:space="0"/>
              <w:left w:val="single" w:color="auto" w:sz="4" w:space="0"/>
              <w:bottom w:val="single" w:color="auto" w:sz="4" w:space="0"/>
              <w:right w:val="single" w:color="auto" w:sz="4" w:space="0"/>
            </w:tcBorders>
            <w:vAlign w:val="center"/>
          </w:tcPr>
          <w:p w14:paraId="608D3D9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259" w:type="pct"/>
            <w:tcBorders>
              <w:top w:val="single" w:color="auto" w:sz="4" w:space="0"/>
              <w:left w:val="single" w:color="auto" w:sz="4" w:space="0"/>
              <w:bottom w:val="single" w:color="auto" w:sz="4" w:space="0"/>
              <w:right w:val="single" w:color="auto" w:sz="4" w:space="0"/>
            </w:tcBorders>
            <w:vAlign w:val="center"/>
          </w:tcPr>
          <w:p w14:paraId="12EB023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618" w:type="pct"/>
            <w:tcBorders>
              <w:top w:val="single" w:color="auto" w:sz="4" w:space="0"/>
              <w:left w:val="single" w:color="auto" w:sz="4" w:space="0"/>
              <w:bottom w:val="single" w:color="auto" w:sz="4" w:space="0"/>
              <w:right w:val="single" w:color="auto" w:sz="4" w:space="0"/>
            </w:tcBorders>
            <w:vAlign w:val="center"/>
          </w:tcPr>
          <w:p w14:paraId="4033444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618" w:type="pct"/>
            <w:tcBorders>
              <w:top w:val="single" w:color="auto" w:sz="4" w:space="0"/>
              <w:left w:val="single" w:color="auto" w:sz="4" w:space="0"/>
              <w:bottom w:val="single" w:color="auto" w:sz="4" w:space="0"/>
              <w:right w:val="single" w:color="auto" w:sz="4" w:space="0"/>
            </w:tcBorders>
            <w:vAlign w:val="center"/>
          </w:tcPr>
          <w:p w14:paraId="173C1AA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621" w:type="pct"/>
            <w:tcBorders>
              <w:top w:val="single" w:color="auto" w:sz="4" w:space="0"/>
              <w:left w:val="single" w:color="auto" w:sz="4" w:space="0"/>
              <w:bottom w:val="single" w:color="auto" w:sz="4" w:space="0"/>
              <w:right w:val="single" w:color="auto" w:sz="4" w:space="0"/>
            </w:tcBorders>
            <w:vAlign w:val="center"/>
          </w:tcPr>
          <w:p w14:paraId="5A4C3FA0">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0F9E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42BF4A1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1262" w:type="pct"/>
            <w:tcBorders>
              <w:top w:val="single" w:color="auto" w:sz="4" w:space="0"/>
              <w:left w:val="single" w:color="auto" w:sz="4" w:space="0"/>
              <w:bottom w:val="single" w:color="auto" w:sz="4" w:space="0"/>
              <w:right w:val="single" w:color="auto" w:sz="4" w:space="0"/>
            </w:tcBorders>
            <w:vAlign w:val="center"/>
          </w:tcPr>
          <w:p w14:paraId="237A9E17">
            <w:pPr>
              <w:spacing w:line="360" w:lineRule="auto"/>
              <w:jc w:val="center"/>
              <w:rPr>
                <w:rFonts w:ascii="宋体" w:hAnsi="宋体" w:cs="仿宋_GB2312"/>
                <w:color w:val="auto"/>
                <w:sz w:val="24"/>
                <w:highlight w:val="none"/>
              </w:rPr>
            </w:pPr>
          </w:p>
        </w:tc>
        <w:tc>
          <w:tcPr>
            <w:tcW w:w="1259" w:type="pct"/>
            <w:tcBorders>
              <w:top w:val="single" w:color="auto" w:sz="4" w:space="0"/>
              <w:left w:val="single" w:color="auto" w:sz="4" w:space="0"/>
              <w:bottom w:val="single" w:color="auto" w:sz="4" w:space="0"/>
              <w:right w:val="single" w:color="auto" w:sz="4" w:space="0"/>
            </w:tcBorders>
            <w:vAlign w:val="center"/>
          </w:tcPr>
          <w:p w14:paraId="699C7B3D">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590007AA">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6D2F4E19">
            <w:pPr>
              <w:spacing w:line="360" w:lineRule="auto"/>
              <w:rPr>
                <w:rFonts w:ascii="宋体" w:hAnsi="宋体" w:cs="仿宋_GB2312"/>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vAlign w:val="center"/>
          </w:tcPr>
          <w:p w14:paraId="686E1D5A">
            <w:pPr>
              <w:spacing w:line="360" w:lineRule="auto"/>
              <w:rPr>
                <w:rFonts w:ascii="宋体" w:hAnsi="宋体" w:cs="仿宋_GB2312"/>
                <w:color w:val="auto"/>
                <w:sz w:val="24"/>
                <w:highlight w:val="none"/>
              </w:rPr>
            </w:pPr>
          </w:p>
        </w:tc>
      </w:tr>
      <w:tr w14:paraId="586E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48E0C002">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262" w:type="pct"/>
            <w:tcBorders>
              <w:top w:val="single" w:color="auto" w:sz="4" w:space="0"/>
              <w:left w:val="single" w:color="auto" w:sz="4" w:space="0"/>
              <w:bottom w:val="single" w:color="auto" w:sz="4" w:space="0"/>
              <w:right w:val="single" w:color="auto" w:sz="4" w:space="0"/>
            </w:tcBorders>
            <w:vAlign w:val="center"/>
          </w:tcPr>
          <w:p w14:paraId="152EADE2">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259" w:type="pct"/>
            <w:tcBorders>
              <w:top w:val="single" w:color="auto" w:sz="4" w:space="0"/>
              <w:left w:val="single" w:color="auto" w:sz="4" w:space="0"/>
              <w:bottom w:val="single" w:color="auto" w:sz="4" w:space="0"/>
              <w:right w:val="single" w:color="auto" w:sz="4" w:space="0"/>
            </w:tcBorders>
            <w:vAlign w:val="center"/>
          </w:tcPr>
          <w:p w14:paraId="769A0246">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505BD760">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60607500">
            <w:pPr>
              <w:spacing w:line="360" w:lineRule="auto"/>
              <w:rPr>
                <w:rFonts w:ascii="宋体" w:hAnsi="宋体" w:cs="仿宋_GB2312"/>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vAlign w:val="center"/>
          </w:tcPr>
          <w:p w14:paraId="78970806">
            <w:pPr>
              <w:spacing w:line="360" w:lineRule="auto"/>
              <w:rPr>
                <w:rFonts w:ascii="宋体" w:hAnsi="宋体" w:cs="仿宋_GB2312"/>
                <w:color w:val="auto"/>
                <w:sz w:val="24"/>
                <w:highlight w:val="none"/>
              </w:rPr>
            </w:pPr>
          </w:p>
        </w:tc>
      </w:tr>
      <w:tr w14:paraId="6779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C1A0929">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544B284">
      <w:pPr>
        <w:snapToGrid w:val="0"/>
        <w:spacing w:before="50" w:after="50" w:line="360" w:lineRule="auto"/>
        <w:rPr>
          <w:rFonts w:ascii="宋体" w:hAnsi="宋体"/>
          <w:color w:val="auto"/>
          <w:sz w:val="24"/>
          <w:highlight w:val="none"/>
        </w:rPr>
      </w:pPr>
    </w:p>
    <w:p w14:paraId="423FA651">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0DAB867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1BD35CEB">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AF3D5DA">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3.</w:t>
      </w:r>
      <w:r>
        <w:rPr>
          <w:rFonts w:hint="eastAsia" w:ascii="宋体" w:hAnsi="宋体"/>
          <w:color w:val="auto"/>
          <w:sz w:val="24"/>
          <w:highlight w:val="none"/>
        </w:rPr>
        <w:t>如有多分标，按分标分别提供开标一览表，</w:t>
      </w:r>
      <w:r>
        <w:rPr>
          <w:rFonts w:hint="eastAsia" w:ascii="宋体" w:hAnsi="宋体"/>
          <w:b/>
          <w:color w:val="auto"/>
          <w:sz w:val="24"/>
          <w:highlight w:val="none"/>
        </w:rPr>
        <w:t>否则投标无效。</w:t>
      </w:r>
    </w:p>
    <w:p w14:paraId="59C69A54">
      <w:pPr>
        <w:spacing w:line="360" w:lineRule="auto"/>
        <w:rPr>
          <w:color w:val="auto"/>
          <w:kern w:val="0"/>
          <w:sz w:val="24"/>
          <w:highlight w:val="none"/>
        </w:rPr>
      </w:pPr>
    </w:p>
    <w:p w14:paraId="6B8FD0D2">
      <w:pPr>
        <w:pStyle w:val="29"/>
        <w:rPr>
          <w:rFonts w:ascii="宋体" w:hAnsi="宋体" w:cs="宋体"/>
          <w:color w:val="auto"/>
          <w:highlight w:val="none"/>
        </w:rPr>
      </w:pPr>
      <w:r>
        <w:rPr>
          <w:rFonts w:hint="eastAsia" w:ascii="宋体" w:hAnsi="宋体"/>
          <w:color w:val="auto"/>
          <w:sz w:val="24"/>
          <w:highlight w:val="none"/>
        </w:rPr>
        <w:t xml:space="preserve">                         </w:t>
      </w:r>
    </w:p>
    <w:p w14:paraId="4E9C90CF">
      <w:pPr>
        <w:snapToGrid w:val="0"/>
        <w:spacing w:line="360" w:lineRule="auto"/>
        <w:ind w:left="-2" w:leftChars="-1" w:right="-817" w:rightChars="-389"/>
        <w:rPr>
          <w:rFonts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p>
    <w:p w14:paraId="1CC26758">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5D81894">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7B6DBC20">
      <w:pPr>
        <w:snapToGrid w:val="0"/>
        <w:spacing w:line="360" w:lineRule="auto"/>
        <w:ind w:left="-6" w:leftChars="-15" w:right="-817" w:rightChars="-389" w:hanging="25" w:hangingChars="12"/>
        <w:rPr>
          <w:rFonts w:ascii="宋体" w:hAnsi="宋体"/>
          <w:color w:val="auto"/>
          <w:szCs w:val="21"/>
          <w:highlight w:val="none"/>
        </w:rPr>
      </w:pPr>
    </w:p>
    <w:p w14:paraId="22B352CE">
      <w:pPr>
        <w:rPr>
          <w:rFonts w:ascii="宋体" w:hAnsi="宋体"/>
          <w:color w:val="auto"/>
          <w:sz w:val="24"/>
          <w:highlight w:val="none"/>
        </w:rPr>
      </w:pPr>
      <w:r>
        <w:rPr>
          <w:rFonts w:ascii="宋体" w:hAnsi="宋体"/>
          <w:color w:val="auto"/>
          <w:sz w:val="24"/>
          <w:highlight w:val="none"/>
        </w:rPr>
        <w:br w:type="page"/>
      </w:r>
    </w:p>
    <w:p w14:paraId="3DA8B385">
      <w:pPr>
        <w:snapToGrid w:val="0"/>
        <w:spacing w:line="360" w:lineRule="auto"/>
        <w:ind w:left="3" w:leftChars="-15" w:right="-817" w:rightChars="-389" w:hanging="34" w:hangingChars="12"/>
        <w:rPr>
          <w:b/>
          <w:color w:val="auto"/>
          <w:sz w:val="28"/>
          <w:szCs w:val="28"/>
          <w:highlight w:val="none"/>
        </w:rPr>
      </w:pPr>
      <w:bookmarkStart w:id="160" w:name="_Toc19686837"/>
      <w:r>
        <w:rPr>
          <w:rFonts w:hint="eastAsia"/>
          <w:b/>
          <w:color w:val="auto"/>
          <w:sz w:val="28"/>
          <w:szCs w:val="28"/>
          <w:highlight w:val="none"/>
        </w:rPr>
        <w:t>二、资格证明文件格式</w:t>
      </w:r>
      <w:bookmarkEnd w:id="158"/>
      <w:bookmarkEnd w:id="159"/>
      <w:bookmarkEnd w:id="160"/>
    </w:p>
    <w:p w14:paraId="3A2D58A9">
      <w:pPr>
        <w:snapToGrid w:val="0"/>
        <w:spacing w:before="120" w:beforeLines="50" w:after="50" w:line="360" w:lineRule="auto"/>
        <w:jc w:val="left"/>
        <w:outlineLvl w:val="2"/>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2A48D3C3">
      <w:pPr>
        <w:snapToGrid w:val="0"/>
        <w:spacing w:before="120" w:beforeLines="5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2835174">
      <w:pPr>
        <w:snapToGrid w:val="0"/>
        <w:spacing w:before="120" w:beforeLines="50" w:after="50"/>
        <w:rPr>
          <w:rFonts w:ascii="宋体" w:hAnsi="宋体"/>
          <w:color w:val="auto"/>
          <w:sz w:val="24"/>
          <w:szCs w:val="20"/>
          <w:highlight w:val="none"/>
        </w:rPr>
      </w:pPr>
      <w:r>
        <w:rPr>
          <w:rFonts w:hint="eastAsia" w:ascii="宋体" w:hAnsi="宋体"/>
          <w:color w:val="auto"/>
          <w:sz w:val="24"/>
          <w:highlight w:val="none"/>
        </w:rPr>
        <w:t xml:space="preserve">                 </w:t>
      </w:r>
    </w:p>
    <w:p w14:paraId="524B06B5">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7A071195">
      <w:pPr>
        <w:snapToGrid w:val="0"/>
        <w:spacing w:before="120" w:beforeLines="50" w:after="50"/>
        <w:rPr>
          <w:rFonts w:ascii="宋体" w:hAnsi="宋体"/>
          <w:bCs/>
          <w:color w:val="auto"/>
          <w:sz w:val="24"/>
          <w:szCs w:val="20"/>
          <w:highlight w:val="none"/>
        </w:rPr>
      </w:pPr>
    </w:p>
    <w:p w14:paraId="268D9726">
      <w:pPr>
        <w:snapToGrid w:val="0"/>
        <w:spacing w:before="120" w:beforeLines="50" w:after="50"/>
        <w:rPr>
          <w:rFonts w:ascii="宋体" w:hAnsi="宋体"/>
          <w:bCs/>
          <w:color w:val="auto"/>
          <w:sz w:val="24"/>
          <w:szCs w:val="20"/>
          <w:highlight w:val="none"/>
        </w:rPr>
      </w:pPr>
    </w:p>
    <w:p w14:paraId="1621755F">
      <w:pPr>
        <w:snapToGrid w:val="0"/>
        <w:spacing w:before="120" w:beforeLines="50" w:after="50"/>
        <w:rPr>
          <w:rFonts w:ascii="宋体" w:hAnsi="宋体"/>
          <w:bCs/>
          <w:color w:val="auto"/>
          <w:sz w:val="24"/>
          <w:szCs w:val="20"/>
          <w:highlight w:val="none"/>
        </w:rPr>
      </w:pPr>
    </w:p>
    <w:p w14:paraId="012E01BA">
      <w:pPr>
        <w:snapToGrid w:val="0"/>
        <w:spacing w:before="120" w:beforeLines="50" w:after="50"/>
        <w:rPr>
          <w:rFonts w:ascii="宋体" w:hAnsi="宋体"/>
          <w:bCs/>
          <w:color w:val="auto"/>
          <w:sz w:val="24"/>
          <w:szCs w:val="20"/>
          <w:highlight w:val="none"/>
        </w:rPr>
      </w:pPr>
    </w:p>
    <w:p w14:paraId="4EE05E2C">
      <w:pPr>
        <w:snapToGrid w:val="0"/>
        <w:spacing w:before="120" w:beforeLines="50" w:after="50"/>
        <w:rPr>
          <w:rFonts w:ascii="宋体" w:hAnsi="宋体"/>
          <w:bCs/>
          <w:color w:val="auto"/>
          <w:sz w:val="24"/>
          <w:szCs w:val="20"/>
          <w:highlight w:val="none"/>
        </w:rPr>
      </w:pPr>
    </w:p>
    <w:p w14:paraId="014AFB93">
      <w:pPr>
        <w:snapToGrid w:val="0"/>
        <w:spacing w:before="120" w:beforeLines="50" w:after="50"/>
        <w:rPr>
          <w:rFonts w:ascii="宋体" w:hAnsi="宋体"/>
          <w:bCs/>
          <w:color w:val="auto"/>
          <w:sz w:val="24"/>
          <w:szCs w:val="20"/>
          <w:highlight w:val="none"/>
        </w:rPr>
      </w:pPr>
    </w:p>
    <w:p w14:paraId="60D95868">
      <w:pPr>
        <w:snapToGrid w:val="0"/>
        <w:spacing w:before="120" w:beforeLines="50" w:after="50"/>
        <w:rPr>
          <w:rFonts w:ascii="宋体" w:hAnsi="宋体"/>
          <w:bCs/>
          <w:color w:val="auto"/>
          <w:sz w:val="24"/>
          <w:szCs w:val="20"/>
          <w:highlight w:val="none"/>
        </w:rPr>
      </w:pPr>
    </w:p>
    <w:p w14:paraId="16FB24F4">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6983F6C6">
      <w:pPr>
        <w:snapToGrid w:val="0"/>
        <w:spacing w:before="120" w:beforeLines="50" w:after="50"/>
        <w:ind w:firstLine="540" w:firstLineChars="225"/>
        <w:rPr>
          <w:rFonts w:ascii="宋体" w:hAnsi="宋体"/>
          <w:bCs/>
          <w:color w:val="auto"/>
          <w:sz w:val="24"/>
          <w:szCs w:val="20"/>
          <w:highlight w:val="none"/>
        </w:rPr>
      </w:pPr>
    </w:p>
    <w:p w14:paraId="5A98460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57C9B3D1">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34568CED">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530308CA">
      <w:pPr>
        <w:pStyle w:val="7"/>
        <w:snapToGrid w:val="0"/>
        <w:spacing w:before="50" w:after="50"/>
        <w:ind w:firstLine="540" w:firstLineChars="225"/>
        <w:rPr>
          <w:rFonts w:ascii="宋体" w:hAnsi="宋体"/>
          <w:bCs/>
          <w:color w:val="auto"/>
          <w:sz w:val="24"/>
          <w:szCs w:val="24"/>
          <w:highlight w:val="none"/>
        </w:rPr>
      </w:pPr>
    </w:p>
    <w:p w14:paraId="6E35B392">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C76322F">
      <w:pPr>
        <w:pStyle w:val="7"/>
        <w:snapToGrid w:val="0"/>
        <w:spacing w:before="50" w:after="50"/>
        <w:ind w:firstLine="540" w:firstLineChars="225"/>
        <w:rPr>
          <w:rFonts w:ascii="宋体" w:hAnsi="宋体"/>
          <w:bCs/>
          <w:color w:val="auto"/>
          <w:sz w:val="24"/>
          <w:szCs w:val="24"/>
          <w:highlight w:val="none"/>
        </w:rPr>
      </w:pPr>
    </w:p>
    <w:p w14:paraId="44FB8D02">
      <w:pPr>
        <w:pStyle w:val="7"/>
        <w:snapToGrid w:val="0"/>
        <w:spacing w:before="50" w:after="50"/>
        <w:ind w:firstLine="960" w:firstLineChars="400"/>
        <w:rPr>
          <w:rFonts w:ascii="宋体" w:hAnsi="宋体"/>
          <w:bCs/>
          <w:color w:val="auto"/>
          <w:sz w:val="24"/>
          <w:szCs w:val="24"/>
          <w:highlight w:val="none"/>
        </w:rPr>
      </w:pPr>
    </w:p>
    <w:p w14:paraId="2032BEC4">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1FEAAE4D">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BB6CC5D">
      <w:pPr>
        <w:snapToGrid w:val="0"/>
        <w:spacing w:before="120" w:beforeLines="50" w:after="50"/>
        <w:rPr>
          <w:rFonts w:ascii="宋体" w:hAnsi="宋体"/>
          <w:color w:val="auto"/>
          <w:sz w:val="24"/>
          <w:szCs w:val="20"/>
          <w:highlight w:val="none"/>
        </w:rPr>
      </w:pPr>
    </w:p>
    <w:p w14:paraId="3371D01E">
      <w:pPr>
        <w:snapToGrid w:val="0"/>
        <w:spacing w:before="120" w:beforeLines="50" w:after="50" w:line="360" w:lineRule="auto"/>
        <w:jc w:val="left"/>
        <w:outlineLvl w:val="2"/>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7F733C4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34365E8D">
      <w:pPr>
        <w:snapToGrid w:val="0"/>
        <w:spacing w:before="50" w:after="120" w:afterLines="50"/>
        <w:jc w:val="left"/>
        <w:rPr>
          <w:rFonts w:ascii="宋体" w:hAnsi="宋体"/>
          <w:color w:val="auto"/>
          <w:sz w:val="24"/>
          <w:highlight w:val="none"/>
        </w:rPr>
      </w:pPr>
    </w:p>
    <w:p w14:paraId="0A841166">
      <w:pPr>
        <w:snapToGrid w:val="0"/>
        <w:spacing w:before="50" w:after="120" w:afterLines="50"/>
        <w:jc w:val="left"/>
        <w:rPr>
          <w:rFonts w:ascii="宋体" w:hAnsi="宋体"/>
          <w:color w:val="auto"/>
          <w:sz w:val="24"/>
          <w:highlight w:val="none"/>
        </w:rPr>
      </w:pPr>
    </w:p>
    <w:p w14:paraId="1B13F6DB">
      <w:pPr>
        <w:snapToGrid w:val="0"/>
        <w:spacing w:before="120" w:beforeLines="50" w:after="50"/>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2C6E0606">
      <w:pPr>
        <w:snapToGrid w:val="0"/>
        <w:spacing w:before="50" w:after="120" w:afterLines="50"/>
        <w:jc w:val="center"/>
        <w:rPr>
          <w:rFonts w:ascii="宋体" w:hAnsi="宋体"/>
          <w:b/>
          <w:color w:val="auto"/>
          <w:sz w:val="28"/>
          <w:szCs w:val="28"/>
          <w:highlight w:val="none"/>
        </w:rPr>
      </w:pPr>
    </w:p>
    <w:p w14:paraId="716520E2">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726"/>
        <w:gridCol w:w="1992"/>
        <w:gridCol w:w="1087"/>
        <w:gridCol w:w="3267"/>
        <w:gridCol w:w="1245"/>
      </w:tblGrid>
      <w:tr w14:paraId="1AFC5B3B">
        <w:tblPrEx>
          <w:shd w:val="clear" w:color="auto" w:fill="FBFBFB"/>
          <w:tblCellMar>
            <w:top w:w="0" w:type="dxa"/>
            <w:left w:w="0" w:type="dxa"/>
            <w:bottom w:w="0" w:type="dxa"/>
            <w:right w:w="0" w:type="dxa"/>
          </w:tblCellMar>
        </w:tblPrEx>
        <w:trPr>
          <w:trHeight w:val="1170"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62C68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99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01D6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0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C232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2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5C26B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4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27C4C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950F677">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6B07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0303A7">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F3C18">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A753E">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21863">
            <w:pPr>
              <w:spacing w:line="360" w:lineRule="auto"/>
              <w:jc w:val="center"/>
              <w:rPr>
                <w:rFonts w:ascii="宋体" w:hAnsi="宋体" w:cs="宋体"/>
                <w:color w:val="auto"/>
                <w:kern w:val="0"/>
                <w:sz w:val="24"/>
                <w:highlight w:val="none"/>
              </w:rPr>
            </w:pPr>
          </w:p>
        </w:tc>
      </w:tr>
      <w:tr w14:paraId="51461C52">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5F0F5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E6517E">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A10D">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C3C040">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59ADFF">
            <w:pPr>
              <w:spacing w:line="360" w:lineRule="auto"/>
              <w:jc w:val="center"/>
              <w:rPr>
                <w:rFonts w:ascii="宋体" w:hAnsi="宋体" w:cs="宋体"/>
                <w:color w:val="auto"/>
                <w:kern w:val="0"/>
                <w:sz w:val="24"/>
                <w:highlight w:val="none"/>
              </w:rPr>
            </w:pPr>
          </w:p>
        </w:tc>
      </w:tr>
      <w:tr w14:paraId="2A1AA1DB">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0CD1A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68BA6C">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946EB9">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8E8FF2">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293D1">
            <w:pPr>
              <w:spacing w:line="360" w:lineRule="auto"/>
              <w:jc w:val="center"/>
              <w:rPr>
                <w:rFonts w:ascii="宋体" w:hAnsi="宋体" w:cs="宋体"/>
                <w:color w:val="auto"/>
                <w:kern w:val="0"/>
                <w:sz w:val="24"/>
                <w:highlight w:val="none"/>
              </w:rPr>
            </w:pPr>
          </w:p>
        </w:tc>
      </w:tr>
      <w:tr w14:paraId="5D8A9B8E">
        <w:tblPrEx>
          <w:tblCellMar>
            <w:top w:w="0" w:type="dxa"/>
            <w:left w:w="0" w:type="dxa"/>
            <w:bottom w:w="0" w:type="dxa"/>
            <w:right w:w="0" w:type="dxa"/>
          </w:tblCellMar>
        </w:tblPrEx>
        <w:trPr>
          <w:trHeight w:val="71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1C137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FDE82F">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39574">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17A120">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BCA1F">
            <w:pPr>
              <w:spacing w:line="360" w:lineRule="auto"/>
              <w:jc w:val="center"/>
              <w:rPr>
                <w:rFonts w:ascii="宋体" w:hAnsi="宋体" w:cs="宋体"/>
                <w:color w:val="auto"/>
                <w:kern w:val="0"/>
                <w:sz w:val="24"/>
                <w:highlight w:val="none"/>
              </w:rPr>
            </w:pPr>
          </w:p>
        </w:tc>
      </w:tr>
    </w:tbl>
    <w:p w14:paraId="56E64CA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15D1718B">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F3011D">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6C5851B">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6B80B0AC">
      <w:pPr>
        <w:snapToGrid w:val="0"/>
        <w:spacing w:line="360" w:lineRule="auto"/>
        <w:jc w:val="left"/>
        <w:rPr>
          <w:rFonts w:ascii="宋体" w:hAnsi="宋体"/>
          <w:color w:val="auto"/>
          <w:sz w:val="24"/>
          <w:highlight w:val="none"/>
        </w:rPr>
      </w:pPr>
    </w:p>
    <w:p w14:paraId="1D48A228">
      <w:pPr>
        <w:snapToGrid w:val="0"/>
        <w:spacing w:line="360" w:lineRule="auto"/>
        <w:jc w:val="left"/>
        <w:rPr>
          <w:rFonts w:ascii="宋体" w:hAnsi="宋体"/>
          <w:color w:val="auto"/>
          <w:sz w:val="24"/>
          <w:highlight w:val="none"/>
        </w:rPr>
      </w:pPr>
    </w:p>
    <w:p w14:paraId="33A42255">
      <w:pPr>
        <w:snapToGrid w:val="0"/>
        <w:spacing w:line="360" w:lineRule="auto"/>
        <w:jc w:val="left"/>
        <w:rPr>
          <w:rFonts w:ascii="宋体" w:hAnsi="宋体"/>
          <w:color w:val="auto"/>
          <w:sz w:val="24"/>
          <w:highlight w:val="none"/>
        </w:rPr>
      </w:pPr>
    </w:p>
    <w:p w14:paraId="4A508FC1">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8A9895C">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2885B0A3">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24B4D0FF">
      <w:pPr>
        <w:snapToGrid w:val="0"/>
        <w:jc w:val="center"/>
        <w:rPr>
          <w:rFonts w:ascii="宋体" w:hAnsi="宋体"/>
          <w:b/>
          <w:color w:val="auto"/>
          <w:sz w:val="28"/>
          <w:szCs w:val="28"/>
          <w:highlight w:val="none"/>
        </w:rPr>
      </w:pPr>
    </w:p>
    <w:p w14:paraId="3084CB50">
      <w:pPr>
        <w:snapToGrid w:val="0"/>
        <w:spacing w:line="360" w:lineRule="auto"/>
        <w:jc w:val="left"/>
        <w:outlineLvl w:val="2"/>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138B73CB">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7"/>
        <w:tblW w:w="8697" w:type="dxa"/>
        <w:tblInd w:w="0" w:type="dxa"/>
        <w:shd w:val="clear" w:color="auto" w:fill="FBFBFB"/>
        <w:tblLayout w:type="fixed"/>
        <w:tblCellMar>
          <w:top w:w="0" w:type="dxa"/>
          <w:left w:w="0" w:type="dxa"/>
          <w:bottom w:w="0" w:type="dxa"/>
          <w:right w:w="0" w:type="dxa"/>
        </w:tblCellMar>
      </w:tblPr>
      <w:tblGrid>
        <w:gridCol w:w="905"/>
        <w:gridCol w:w="2396"/>
        <w:gridCol w:w="3536"/>
        <w:gridCol w:w="1860"/>
      </w:tblGrid>
      <w:tr w14:paraId="6DDF26B7">
        <w:tblPrEx>
          <w:tblCellMar>
            <w:top w:w="0" w:type="dxa"/>
            <w:left w:w="0" w:type="dxa"/>
            <w:bottom w:w="0" w:type="dxa"/>
            <w:right w:w="0" w:type="dxa"/>
          </w:tblCellMar>
        </w:tblPrEx>
        <w:trPr>
          <w:trHeight w:val="742" w:hRule="atLeast"/>
          <w:tblHeader/>
        </w:trPr>
        <w:tc>
          <w:tcPr>
            <w:tcW w:w="9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FA0BB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9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1DA7A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3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179D7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86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3F227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2FEF57E">
        <w:tblPrEx>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AE93E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F15922">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9DE3DB">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EB1C4F">
            <w:pPr>
              <w:spacing w:line="360" w:lineRule="auto"/>
              <w:jc w:val="center"/>
              <w:rPr>
                <w:rFonts w:ascii="宋体" w:hAnsi="宋体" w:cs="宋体"/>
                <w:color w:val="auto"/>
                <w:kern w:val="0"/>
                <w:sz w:val="24"/>
                <w:highlight w:val="none"/>
              </w:rPr>
            </w:pPr>
          </w:p>
        </w:tc>
      </w:tr>
      <w:tr w14:paraId="0CF74B02">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8D7B8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91FA91">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FDAD19">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E6EB80">
            <w:pPr>
              <w:spacing w:line="360" w:lineRule="auto"/>
              <w:jc w:val="center"/>
              <w:rPr>
                <w:rFonts w:ascii="宋体" w:hAnsi="宋体" w:cs="宋体"/>
                <w:color w:val="auto"/>
                <w:kern w:val="0"/>
                <w:sz w:val="24"/>
                <w:highlight w:val="none"/>
              </w:rPr>
            </w:pPr>
          </w:p>
        </w:tc>
      </w:tr>
      <w:tr w14:paraId="4EF7B445">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641E9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11082F">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4BC753">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B657D">
            <w:pPr>
              <w:spacing w:line="360" w:lineRule="auto"/>
              <w:jc w:val="center"/>
              <w:rPr>
                <w:rFonts w:ascii="宋体" w:hAnsi="宋体" w:cs="宋体"/>
                <w:color w:val="auto"/>
                <w:kern w:val="0"/>
                <w:sz w:val="24"/>
                <w:highlight w:val="none"/>
              </w:rPr>
            </w:pPr>
          </w:p>
        </w:tc>
      </w:tr>
      <w:tr w14:paraId="6385D9FF">
        <w:tblPrEx>
          <w:shd w:val="clear" w:color="auto" w:fill="FBFBFB"/>
          <w:tblCellMar>
            <w:top w:w="0" w:type="dxa"/>
            <w:left w:w="0" w:type="dxa"/>
            <w:bottom w:w="0" w:type="dxa"/>
            <w:right w:w="0" w:type="dxa"/>
          </w:tblCellMar>
        </w:tblPrEx>
        <w:trPr>
          <w:trHeight w:val="75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237F8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C53829">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13D0F">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7F3901">
            <w:pPr>
              <w:spacing w:line="360" w:lineRule="auto"/>
              <w:jc w:val="center"/>
              <w:rPr>
                <w:rFonts w:ascii="宋体" w:hAnsi="宋体" w:cs="宋体"/>
                <w:color w:val="auto"/>
                <w:kern w:val="0"/>
                <w:sz w:val="24"/>
                <w:highlight w:val="none"/>
              </w:rPr>
            </w:pPr>
          </w:p>
        </w:tc>
      </w:tr>
    </w:tbl>
    <w:p w14:paraId="691C0F95">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8B4C4E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8E25A5A">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1680DC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727D7CE9">
      <w:pPr>
        <w:snapToGrid w:val="0"/>
        <w:spacing w:line="360" w:lineRule="auto"/>
        <w:jc w:val="left"/>
        <w:rPr>
          <w:rFonts w:ascii="宋体" w:hAnsi="宋体"/>
          <w:color w:val="auto"/>
          <w:sz w:val="24"/>
          <w:highlight w:val="none"/>
        </w:rPr>
      </w:pPr>
    </w:p>
    <w:p w14:paraId="59A6B476">
      <w:pPr>
        <w:snapToGrid w:val="0"/>
        <w:spacing w:line="360" w:lineRule="auto"/>
        <w:jc w:val="left"/>
        <w:rPr>
          <w:rFonts w:ascii="宋体" w:hAnsi="宋体"/>
          <w:color w:val="auto"/>
          <w:sz w:val="24"/>
          <w:highlight w:val="none"/>
        </w:rPr>
      </w:pPr>
    </w:p>
    <w:p w14:paraId="61C51B7B">
      <w:pPr>
        <w:snapToGrid w:val="0"/>
        <w:spacing w:line="360" w:lineRule="auto"/>
        <w:jc w:val="left"/>
        <w:rPr>
          <w:rFonts w:ascii="宋体" w:hAnsi="宋体"/>
          <w:color w:val="auto"/>
          <w:sz w:val="24"/>
          <w:highlight w:val="none"/>
        </w:rPr>
      </w:pPr>
    </w:p>
    <w:p w14:paraId="4FAE40D0">
      <w:pPr>
        <w:snapToGrid w:val="0"/>
        <w:spacing w:line="360" w:lineRule="auto"/>
        <w:jc w:val="left"/>
        <w:rPr>
          <w:color w:val="auto"/>
          <w:sz w:val="24"/>
          <w:highlight w:val="none"/>
        </w:rPr>
      </w:pPr>
    </w:p>
    <w:p w14:paraId="15D054E2">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B991010">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4BDFE733">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6B5418E8">
      <w:pPr>
        <w:snapToGrid w:val="0"/>
        <w:spacing w:before="120" w:beforeLines="50" w:after="50"/>
        <w:jc w:val="left"/>
        <w:rPr>
          <w:rFonts w:ascii="宋体" w:hAnsi="宋体"/>
          <w:color w:val="auto"/>
          <w:sz w:val="24"/>
          <w:highlight w:val="none"/>
        </w:rPr>
      </w:pPr>
    </w:p>
    <w:p w14:paraId="52149ADD">
      <w:pPr>
        <w:snapToGrid w:val="0"/>
        <w:spacing w:before="50" w:after="120" w:afterLines="50"/>
        <w:jc w:val="left"/>
        <w:rPr>
          <w:rFonts w:ascii="宋体" w:hAnsi="宋体"/>
          <w:color w:val="auto"/>
          <w:szCs w:val="21"/>
          <w:highlight w:val="none"/>
        </w:rPr>
      </w:pPr>
    </w:p>
    <w:p w14:paraId="304AC8F7">
      <w:pPr>
        <w:snapToGrid w:val="0"/>
        <w:spacing w:before="120" w:beforeLines="50" w:after="50"/>
        <w:jc w:val="left"/>
        <w:rPr>
          <w:rFonts w:ascii="宋体" w:hAnsi="宋体"/>
          <w:b/>
          <w:color w:val="auto"/>
          <w:sz w:val="24"/>
          <w:szCs w:val="20"/>
          <w:highlight w:val="none"/>
        </w:rPr>
      </w:pPr>
    </w:p>
    <w:p w14:paraId="7534FB82">
      <w:pPr>
        <w:snapToGrid w:val="0"/>
        <w:spacing w:before="120" w:beforeLines="50" w:after="50"/>
        <w:ind w:left="142"/>
        <w:jc w:val="left"/>
        <w:rPr>
          <w:rFonts w:ascii="宋体" w:hAnsi="宋体"/>
          <w:b/>
          <w:color w:val="auto"/>
          <w:sz w:val="24"/>
          <w:highlight w:val="none"/>
        </w:rPr>
      </w:pPr>
    </w:p>
    <w:p w14:paraId="7301279A">
      <w:pPr>
        <w:snapToGrid w:val="0"/>
        <w:spacing w:before="120" w:beforeLines="50" w:after="50"/>
        <w:ind w:left="142"/>
        <w:jc w:val="left"/>
        <w:rPr>
          <w:rFonts w:ascii="宋体" w:hAnsi="宋体"/>
          <w:b/>
          <w:color w:val="auto"/>
          <w:sz w:val="24"/>
          <w:highlight w:val="none"/>
        </w:rPr>
      </w:pPr>
    </w:p>
    <w:p w14:paraId="72DA02DB">
      <w:pPr>
        <w:snapToGrid w:val="0"/>
        <w:spacing w:before="120" w:beforeLines="50" w:after="50"/>
        <w:ind w:left="142"/>
        <w:jc w:val="left"/>
        <w:outlineLvl w:val="2"/>
        <w:rPr>
          <w:rFonts w:ascii="宋体" w:hAnsi="宋体"/>
          <w:b/>
          <w:color w:val="auto"/>
          <w:sz w:val="24"/>
          <w:szCs w:val="20"/>
          <w:highlight w:val="none"/>
        </w:rPr>
      </w:pPr>
      <w:r>
        <w:rPr>
          <w:rFonts w:hint="eastAsia" w:ascii="宋体" w:hAnsi="宋体"/>
          <w:b/>
          <w:color w:val="auto"/>
          <w:sz w:val="24"/>
          <w:highlight w:val="none"/>
        </w:rPr>
        <w:t>5.投标声明</w:t>
      </w:r>
    </w:p>
    <w:p w14:paraId="4A20B3D9">
      <w:pPr>
        <w:snapToGrid w:val="0"/>
        <w:spacing w:before="50" w:after="120" w:afterLines="50"/>
        <w:jc w:val="left"/>
        <w:rPr>
          <w:rFonts w:ascii="宋体" w:hAnsi="宋体"/>
          <w:color w:val="auto"/>
          <w:highlight w:val="none"/>
        </w:rPr>
      </w:pPr>
    </w:p>
    <w:p w14:paraId="01402E58">
      <w:pPr>
        <w:snapToGrid w:val="0"/>
        <w:spacing w:before="50" w:after="120" w:afterLines="50"/>
        <w:jc w:val="center"/>
        <w:rPr>
          <w:rFonts w:ascii="宋体" w:hAnsi="宋体"/>
          <w:b/>
          <w:color w:val="auto"/>
          <w:sz w:val="32"/>
          <w:szCs w:val="32"/>
          <w:highlight w:val="none"/>
        </w:rPr>
      </w:pPr>
      <w:r>
        <w:rPr>
          <w:rFonts w:hint="eastAsia" w:ascii="宋体" w:hAnsi="宋体"/>
          <w:b/>
          <w:color w:val="auto"/>
          <w:sz w:val="32"/>
          <w:szCs w:val="32"/>
          <w:highlight w:val="none"/>
        </w:rPr>
        <w:t>投标声明</w:t>
      </w:r>
    </w:p>
    <w:p w14:paraId="5113A913">
      <w:pPr>
        <w:spacing w:line="400" w:lineRule="exact"/>
        <w:contextualSpacing/>
        <w:jc w:val="left"/>
        <w:rPr>
          <w:color w:val="auto"/>
          <w:sz w:val="24"/>
          <w:highlight w:val="none"/>
          <w:u w:val="single"/>
        </w:rPr>
      </w:pPr>
      <w:r>
        <w:rPr>
          <w:rFonts w:hint="eastAsia"/>
          <w:color w:val="auto"/>
          <w:sz w:val="24"/>
          <w:highlight w:val="none"/>
          <w:u w:val="single"/>
        </w:rPr>
        <w:t xml:space="preserve">（采购人名称）： </w:t>
      </w:r>
    </w:p>
    <w:p w14:paraId="13149C62">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09FED7B">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6240F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7048F3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D3FC5C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131887C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2DC851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61B2B4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622629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8F7D2A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7214801A">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014D1B9">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46328CCE">
      <w:pPr>
        <w:snapToGrid w:val="0"/>
        <w:spacing w:before="50" w:after="50"/>
        <w:ind w:firstLine="1063" w:firstLineChars="441"/>
        <w:rPr>
          <w:rFonts w:ascii="宋体" w:hAnsi="宋体"/>
          <w:b/>
          <w:color w:val="auto"/>
          <w:sz w:val="24"/>
          <w:highlight w:val="none"/>
        </w:rPr>
      </w:pPr>
    </w:p>
    <w:p w14:paraId="1E96C4D6">
      <w:pPr>
        <w:snapToGrid w:val="0"/>
        <w:spacing w:before="50" w:after="50"/>
        <w:ind w:firstLine="1058" w:firstLineChars="441"/>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A146BD2">
      <w:pPr>
        <w:spacing w:line="400" w:lineRule="exact"/>
        <w:contextualSpacing/>
        <w:jc w:val="left"/>
        <w:rPr>
          <w:rFonts w:ascii="宋体" w:hAnsi="宋体"/>
          <w:color w:val="auto"/>
          <w:sz w:val="24"/>
          <w:highlight w:val="none"/>
        </w:rPr>
      </w:pPr>
    </w:p>
    <w:p w14:paraId="6C62B37F">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3375ACB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年    月    日</w:t>
      </w:r>
    </w:p>
    <w:p w14:paraId="70C5232E">
      <w:pPr>
        <w:rPr>
          <w:color w:val="auto"/>
          <w:highlight w:val="none"/>
        </w:rPr>
      </w:pPr>
      <w:r>
        <w:rPr>
          <w:rFonts w:hint="eastAsia"/>
          <w:color w:val="auto"/>
          <w:highlight w:val="none"/>
        </w:rPr>
        <w:br w:type="page"/>
      </w:r>
    </w:p>
    <w:p w14:paraId="60A45C4E">
      <w:pPr>
        <w:snapToGrid w:val="0"/>
        <w:spacing w:before="120" w:beforeLines="50" w:after="50"/>
        <w:ind w:left="142"/>
        <w:jc w:val="left"/>
        <w:outlineLvl w:val="2"/>
        <w:rPr>
          <w:rFonts w:eastAsia="仿宋_GB2312"/>
          <w:color w:val="auto"/>
          <w:highlight w:val="none"/>
        </w:rPr>
      </w:pPr>
      <w:r>
        <w:rPr>
          <w:rFonts w:hint="eastAsia" w:ascii="宋体" w:hAnsi="宋体"/>
          <w:b/>
          <w:color w:val="auto"/>
          <w:sz w:val="24"/>
          <w:highlight w:val="none"/>
        </w:rPr>
        <w:t>6.提供中小微企业声明函或残疾人福利性单位声明函或监狱企业证明文件。</w:t>
      </w:r>
    </w:p>
    <w:p w14:paraId="779AC942">
      <w:pPr>
        <w:jc w:val="center"/>
        <w:rPr>
          <w:rFonts w:ascii="宋体" w:hAnsi="宋体" w:cs="宋体"/>
          <w:color w:val="auto"/>
          <w:sz w:val="44"/>
          <w:szCs w:val="44"/>
          <w:highlight w:val="none"/>
        </w:rPr>
      </w:pPr>
    </w:p>
    <w:p w14:paraId="213F79AC">
      <w:pPr>
        <w:jc w:val="center"/>
        <w:rPr>
          <w:color w:val="auto"/>
          <w:highlight w:val="none"/>
        </w:rPr>
      </w:pPr>
      <w:r>
        <w:rPr>
          <w:rFonts w:hint="eastAsia" w:ascii="宋体" w:hAnsi="宋体" w:cs="宋体"/>
          <w:color w:val="auto"/>
          <w:sz w:val="44"/>
          <w:szCs w:val="44"/>
          <w:highlight w:val="none"/>
        </w:rPr>
        <w:t>中小企业声明函（服务）</w:t>
      </w:r>
    </w:p>
    <w:p w14:paraId="57D3ABA5">
      <w:pPr>
        <w:jc w:val="center"/>
        <w:rPr>
          <w:rFonts w:ascii="宋体" w:hAnsi="宋体" w:cs="宋体"/>
          <w:color w:val="auto"/>
          <w:sz w:val="44"/>
          <w:szCs w:val="44"/>
          <w:highlight w:val="none"/>
        </w:rPr>
      </w:pPr>
    </w:p>
    <w:p w14:paraId="135214B1">
      <w:pPr>
        <w:pStyle w:val="18"/>
        <w:spacing w:line="400" w:lineRule="exact"/>
        <w:ind w:firstLine="720" w:firstLineChars="300"/>
        <w:rPr>
          <w:rFonts w:ascii="宋体" w:hAnsi="宋体" w:eastAsia="宋体" w:cs="宋体"/>
          <w:b/>
          <w:bCs/>
          <w:color w:val="auto"/>
          <w:sz w:val="24"/>
          <w:highlight w:val="none"/>
        </w:rPr>
      </w:pPr>
      <w:r>
        <w:rPr>
          <w:rFonts w:hint="eastAsia" w:ascii="宋体" w:hAnsi="宋体" w:eastAsia="宋体" w:cs="宋体"/>
          <w:color w:val="auto"/>
          <w:sz w:val="24"/>
          <w:szCs w:val="24"/>
          <w:highlight w:val="none"/>
        </w:rPr>
        <w:t>说明：本声明函主要供参加政府采购活动的中小企业填写，非中小企业无需填写。</w:t>
      </w:r>
    </w:p>
    <w:p w14:paraId="0C4EC617">
      <w:pPr>
        <w:pStyle w:val="17"/>
        <w:spacing w:line="500" w:lineRule="exact"/>
        <w:ind w:right="142" w:firstLine="705" w:firstLineChars="294"/>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0F35F5CB">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D0E2534">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CAE5ED8">
      <w:pPr>
        <w:pStyle w:val="17"/>
        <w:spacing w:before="34" w:line="500" w:lineRule="exact"/>
        <w:ind w:right="142" w:firstLine="705" w:firstLineChars="294"/>
        <w:rPr>
          <w:rFonts w:ascii="宋体" w:hAnsi="宋体" w:cs="宋体"/>
          <w:color w:val="auto"/>
          <w:highlight w:val="none"/>
        </w:rPr>
      </w:pPr>
      <w:r>
        <w:rPr>
          <w:rFonts w:hint="eastAsia" w:ascii="宋体" w:hAnsi="宋体" w:cs="宋体"/>
          <w:color w:val="auto"/>
          <w:highlight w:val="none"/>
        </w:rPr>
        <w:t xml:space="preserve">…… </w:t>
      </w:r>
    </w:p>
    <w:p w14:paraId="4CAA0A5A">
      <w:pPr>
        <w:pStyle w:val="17"/>
        <w:spacing w:before="34" w:line="500" w:lineRule="exact"/>
        <w:ind w:right="142" w:firstLine="705" w:firstLineChars="294"/>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66227E89">
      <w:pPr>
        <w:pStyle w:val="17"/>
        <w:spacing w:before="25" w:line="500" w:lineRule="exact"/>
        <w:ind w:right="142" w:firstLine="705" w:firstLineChars="294"/>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48C4FB9D">
      <w:pPr>
        <w:pStyle w:val="17"/>
        <w:spacing w:before="56" w:line="500" w:lineRule="exact"/>
        <w:ind w:right="1808" w:firstLine="705" w:firstLineChars="294"/>
        <w:rPr>
          <w:rFonts w:ascii="宋体" w:hAnsi="宋体" w:cs="宋体"/>
          <w:color w:val="auto"/>
          <w:highlight w:val="none"/>
        </w:rPr>
      </w:pPr>
    </w:p>
    <w:p w14:paraId="5E8CDC01">
      <w:pPr>
        <w:pStyle w:val="17"/>
        <w:spacing w:before="56" w:line="500" w:lineRule="exact"/>
        <w:ind w:right="650" w:firstLine="5625" w:firstLineChars="2344"/>
        <w:rPr>
          <w:rFonts w:ascii="宋体" w:hAnsi="宋体" w:cs="宋体"/>
          <w:color w:val="auto"/>
          <w:highlight w:val="none"/>
        </w:rPr>
      </w:pPr>
      <w:r>
        <w:rPr>
          <w:rFonts w:hint="eastAsia" w:ascii="宋体" w:hAnsi="宋体" w:cs="宋体"/>
          <w:color w:val="auto"/>
          <w:highlight w:val="none"/>
        </w:rPr>
        <w:t xml:space="preserve">企业名称（章）： </w:t>
      </w:r>
    </w:p>
    <w:p w14:paraId="614D5AD4">
      <w:pPr>
        <w:pStyle w:val="17"/>
        <w:spacing w:before="56" w:line="500" w:lineRule="exact"/>
        <w:ind w:right="1808" w:firstLine="5625" w:firstLineChars="2344"/>
        <w:rPr>
          <w:rFonts w:ascii="宋体" w:hAnsi="宋体" w:cs="宋体"/>
          <w:color w:val="auto"/>
          <w:highlight w:val="none"/>
        </w:rPr>
      </w:pPr>
      <w:r>
        <w:rPr>
          <w:rFonts w:hint="eastAsia" w:ascii="宋体" w:hAnsi="宋体" w:cs="宋体"/>
          <w:color w:val="auto"/>
          <w:highlight w:val="none"/>
        </w:rPr>
        <w:t>日 期：</w:t>
      </w:r>
    </w:p>
    <w:p w14:paraId="1B619F47">
      <w:pPr>
        <w:spacing w:line="520" w:lineRule="exact"/>
        <w:ind w:firstLine="0" w:firstLineChars="0"/>
        <w:jc w:val="left"/>
        <w:rPr>
          <w:rFonts w:ascii="仿宋_GB2312" w:hAnsi="仿宋" w:eastAsia="仿宋_GB2312"/>
          <w:color w:val="auto"/>
          <w:szCs w:val="21"/>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中标供应商的《中小企业声明函》。从业人员、营业收入、资产总额填报上一年度数据，无上一年度数据的新成立企业可不填报。</w:t>
      </w:r>
    </w:p>
    <w:p w14:paraId="190833E7">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残疾人福利性单位声明函格式</w:t>
      </w:r>
    </w:p>
    <w:p w14:paraId="09F886C2">
      <w:pPr>
        <w:spacing w:line="588" w:lineRule="exact"/>
        <w:jc w:val="center"/>
        <w:rPr>
          <w:rFonts w:ascii="仿宋_GB2312" w:eastAsia="仿宋_GB2312"/>
          <w:b/>
          <w:color w:val="auto"/>
          <w:spacing w:val="6"/>
          <w:sz w:val="32"/>
          <w:szCs w:val="32"/>
          <w:highlight w:val="none"/>
        </w:rPr>
      </w:pPr>
    </w:p>
    <w:p w14:paraId="0764B663">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4924892B">
      <w:pPr>
        <w:spacing w:line="360" w:lineRule="auto"/>
        <w:contextualSpacing/>
        <w:rPr>
          <w:rFonts w:ascii="仿宋_GB2312" w:eastAsia="仿宋_GB2312"/>
          <w:bCs/>
          <w:color w:val="auto"/>
          <w:spacing w:val="6"/>
          <w:sz w:val="30"/>
          <w:szCs w:val="30"/>
          <w:highlight w:val="none"/>
        </w:rPr>
      </w:pPr>
    </w:p>
    <w:p w14:paraId="5FD1DA7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FA3CD8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1142F20">
      <w:pPr>
        <w:spacing w:line="360" w:lineRule="auto"/>
        <w:contextualSpacing/>
        <w:rPr>
          <w:rFonts w:ascii="宋体" w:hAnsi="宋体"/>
          <w:color w:val="auto"/>
          <w:spacing w:val="6"/>
          <w:sz w:val="24"/>
          <w:highlight w:val="none"/>
        </w:rPr>
      </w:pPr>
    </w:p>
    <w:p w14:paraId="0878DD77">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8576129">
      <w:pPr>
        <w:tabs>
          <w:tab w:val="left" w:pos="4860"/>
        </w:tabs>
        <w:spacing w:line="360" w:lineRule="auto"/>
        <w:ind w:right="1560" w:firstLine="504" w:firstLineChars="200"/>
        <w:contextualSpacing/>
        <w:jc w:val="center"/>
        <w:rPr>
          <w:rFonts w:ascii="宋体" w:hAnsi="宋体"/>
          <w:color w:val="auto"/>
          <w:sz w:val="24"/>
          <w:highlight w:val="none"/>
        </w:rPr>
      </w:pPr>
      <w:r>
        <w:rPr>
          <w:rFonts w:hint="eastAsia" w:ascii="宋体" w:hAnsi="宋体"/>
          <w:color w:val="auto"/>
          <w:spacing w:val="6"/>
          <w:sz w:val="24"/>
          <w:highlight w:val="none"/>
        </w:rPr>
        <w:t>日  期：</w:t>
      </w:r>
    </w:p>
    <w:p w14:paraId="517CD786">
      <w:pPr>
        <w:spacing w:line="400" w:lineRule="exact"/>
        <w:contextualSpacing/>
        <w:jc w:val="left"/>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39E6F51">
      <w:pPr>
        <w:spacing w:line="400" w:lineRule="exact"/>
        <w:contextualSpacing/>
        <w:jc w:val="left"/>
        <w:rPr>
          <w:rFonts w:ascii="宋体" w:hAnsi="宋体"/>
          <w:color w:val="auto"/>
          <w:sz w:val="24"/>
          <w:highlight w:val="none"/>
        </w:rPr>
      </w:pPr>
    </w:p>
    <w:p w14:paraId="13BAAF1D">
      <w:pPr>
        <w:spacing w:line="600" w:lineRule="exact"/>
        <w:jc w:val="center"/>
        <w:rPr>
          <w:rFonts w:ascii="宋体" w:hAnsi="宋体" w:cs="宋体"/>
          <w:b/>
          <w:bCs/>
          <w:color w:val="auto"/>
          <w:sz w:val="32"/>
          <w:szCs w:val="32"/>
          <w:highlight w:val="none"/>
        </w:rPr>
      </w:pPr>
      <w:bookmarkStart w:id="161" w:name="_Toc19686838"/>
      <w:r>
        <w:rPr>
          <w:rFonts w:hint="eastAsia" w:ascii="宋体" w:hAnsi="宋体" w:cs="宋体"/>
          <w:b/>
          <w:bCs/>
          <w:color w:val="auto"/>
          <w:sz w:val="32"/>
          <w:szCs w:val="32"/>
          <w:highlight w:val="none"/>
        </w:rPr>
        <w:t>属于监狱企业证明文件</w:t>
      </w:r>
    </w:p>
    <w:p w14:paraId="536CC8EF">
      <w:pPr>
        <w:spacing w:line="600" w:lineRule="exact"/>
        <w:jc w:val="left"/>
        <w:rPr>
          <w:rFonts w:ascii="宋体" w:hAnsi="宋体" w:cs="宋体"/>
          <w:color w:val="auto"/>
          <w:kern w:val="0"/>
          <w:sz w:val="24"/>
          <w:highlight w:val="none"/>
          <w:lang w:val="zh-CN"/>
        </w:rPr>
      </w:pPr>
    </w:p>
    <w:p w14:paraId="5BEC20E0">
      <w:pPr>
        <w:spacing w:line="360" w:lineRule="auto"/>
        <w:ind w:firstLine="504" w:firstLineChars="200"/>
        <w:contextualSpacing/>
        <w:rPr>
          <w:rFonts w:ascii="宋体" w:hAnsi="宋体"/>
          <w:color w:val="auto"/>
          <w:spacing w:val="6"/>
          <w:sz w:val="24"/>
          <w:highlight w:val="none"/>
          <w:lang w:val="zh-CN"/>
        </w:rPr>
      </w:pPr>
      <w:r>
        <w:rPr>
          <w:rFonts w:hint="eastAsia" w:ascii="宋体" w:hAnsi="宋体"/>
          <w:color w:val="auto"/>
          <w:spacing w:val="6"/>
          <w:sz w:val="24"/>
          <w:highlight w:val="none"/>
          <w:lang w:val="zh-CN"/>
        </w:rPr>
        <w:t>由省级以上监狱管理局、戒毒管理局（含新疆生产建设兵团）出具的属于监狱企业证明文件复印件(电子签章)</w:t>
      </w:r>
    </w:p>
    <w:p w14:paraId="60EBF7F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注明：</w:t>
      </w:r>
    </w:p>
    <w:p w14:paraId="3B60AC1C">
      <w:pPr>
        <w:spacing w:line="360" w:lineRule="auto"/>
        <w:ind w:firstLine="504" w:firstLineChars="200"/>
        <w:contextualSpacing/>
        <w:rPr>
          <w:b/>
          <w:color w:val="auto"/>
          <w:sz w:val="28"/>
          <w:szCs w:val="28"/>
          <w:highlight w:val="none"/>
        </w:rPr>
      </w:pPr>
      <w:r>
        <w:rPr>
          <w:rFonts w:hint="eastAsia" w:ascii="宋体" w:hAnsi="宋体"/>
          <w:color w:val="auto"/>
          <w:spacing w:val="6"/>
          <w:sz w:val="24"/>
          <w:highlight w:val="none"/>
        </w:rPr>
        <w:t>根据《关于政府采购支持监狱企业发展有关问题的通知》（财库[2014]68号）的规定，由省级以上监狱管理局、戒毒管理局（含新疆生产建设兵团）出具的属于监狱企业证的，视同为小型和微型企业，依法享受中小企业优惠政策。请根据自己的真实情况提供由省级以上监狱管理局、戒毒管理局（含新疆生产建设兵团）出具的属于监狱企业证的，采购人或者采购代理机构在公告中标结果时，同时公告其监狱企业证明文件，接受社会监督。</w:t>
      </w:r>
      <w:r>
        <w:rPr>
          <w:rFonts w:hint="eastAsia"/>
          <w:b/>
          <w:color w:val="auto"/>
          <w:sz w:val="28"/>
          <w:szCs w:val="28"/>
          <w:highlight w:val="none"/>
        </w:rPr>
        <w:br w:type="page"/>
      </w:r>
      <w:r>
        <w:rPr>
          <w:rFonts w:hint="eastAsia"/>
          <w:b/>
          <w:color w:val="auto"/>
          <w:sz w:val="28"/>
          <w:szCs w:val="28"/>
          <w:highlight w:val="none"/>
        </w:rPr>
        <w:t>三、商务及技术文件格式</w:t>
      </w:r>
      <w:bookmarkEnd w:id="161"/>
    </w:p>
    <w:p w14:paraId="55E77303">
      <w:pPr>
        <w:snapToGrid w:val="0"/>
        <w:spacing w:before="120" w:beforeLines="50" w:after="50" w:line="360" w:lineRule="auto"/>
        <w:jc w:val="left"/>
        <w:outlineLvl w:val="2"/>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160EE845">
      <w:pPr>
        <w:snapToGrid w:val="0"/>
        <w:spacing w:before="120" w:beforeLines="5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8AE2D6F">
      <w:pPr>
        <w:snapToGrid w:val="0"/>
        <w:spacing w:before="120" w:beforeLines="50" w:after="50"/>
        <w:rPr>
          <w:rFonts w:ascii="宋体" w:hAnsi="宋体"/>
          <w:color w:val="auto"/>
          <w:sz w:val="24"/>
          <w:szCs w:val="20"/>
          <w:highlight w:val="none"/>
        </w:rPr>
      </w:pPr>
      <w:r>
        <w:rPr>
          <w:rFonts w:hint="eastAsia" w:ascii="宋体" w:hAnsi="宋体"/>
          <w:color w:val="auto"/>
          <w:sz w:val="24"/>
          <w:highlight w:val="none"/>
        </w:rPr>
        <w:t xml:space="preserve">                </w:t>
      </w:r>
    </w:p>
    <w:p w14:paraId="7EF549BF">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商务及技术文件</w:t>
      </w:r>
    </w:p>
    <w:p w14:paraId="0BC47AA7">
      <w:pPr>
        <w:snapToGrid w:val="0"/>
        <w:spacing w:before="120" w:beforeLines="50" w:after="50"/>
        <w:rPr>
          <w:rFonts w:ascii="宋体" w:hAnsi="宋体"/>
          <w:bCs/>
          <w:color w:val="auto"/>
          <w:sz w:val="24"/>
          <w:szCs w:val="20"/>
          <w:highlight w:val="none"/>
        </w:rPr>
      </w:pPr>
    </w:p>
    <w:p w14:paraId="240C3520">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8465CE4">
      <w:pPr>
        <w:snapToGrid w:val="0"/>
        <w:spacing w:before="120" w:beforeLines="50" w:after="50"/>
        <w:ind w:firstLine="540" w:firstLineChars="225"/>
        <w:rPr>
          <w:rFonts w:ascii="宋体" w:hAnsi="宋体"/>
          <w:bCs/>
          <w:color w:val="auto"/>
          <w:sz w:val="24"/>
          <w:szCs w:val="20"/>
          <w:highlight w:val="none"/>
        </w:rPr>
      </w:pPr>
    </w:p>
    <w:p w14:paraId="33CC4FEB">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8B9A1EA">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68FFDA9D">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40F0518F">
      <w:pPr>
        <w:snapToGrid w:val="0"/>
        <w:spacing w:before="120" w:beforeLines="50" w:after="50"/>
        <w:ind w:firstLine="540" w:firstLineChars="225"/>
        <w:rPr>
          <w:rFonts w:ascii="宋体" w:hAnsi="宋体"/>
          <w:bCs/>
          <w:color w:val="auto"/>
          <w:sz w:val="24"/>
          <w:szCs w:val="20"/>
          <w:highlight w:val="none"/>
        </w:rPr>
      </w:pPr>
    </w:p>
    <w:p w14:paraId="4192BC0C">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1AA82A2">
      <w:pPr>
        <w:pStyle w:val="7"/>
        <w:snapToGrid w:val="0"/>
        <w:spacing w:before="50" w:after="50"/>
        <w:ind w:firstLine="540" w:firstLineChars="225"/>
        <w:rPr>
          <w:rFonts w:ascii="宋体" w:hAnsi="宋体"/>
          <w:bCs/>
          <w:color w:val="auto"/>
          <w:sz w:val="24"/>
          <w:szCs w:val="24"/>
          <w:highlight w:val="none"/>
        </w:rPr>
      </w:pPr>
    </w:p>
    <w:p w14:paraId="07B59742">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198618C2">
      <w:pPr>
        <w:pStyle w:val="7"/>
        <w:snapToGrid w:val="0"/>
        <w:spacing w:before="50" w:after="50"/>
        <w:ind w:firstLine="960" w:firstLineChars="400"/>
        <w:rPr>
          <w:rFonts w:ascii="宋体" w:hAnsi="宋体"/>
          <w:bCs/>
          <w:color w:val="auto"/>
          <w:sz w:val="24"/>
          <w:szCs w:val="24"/>
          <w:highlight w:val="none"/>
        </w:rPr>
      </w:pPr>
    </w:p>
    <w:p w14:paraId="0531070F">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4A2B6068">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6783E3B">
      <w:pPr>
        <w:snapToGrid w:val="0"/>
        <w:spacing w:line="360" w:lineRule="auto"/>
        <w:jc w:val="left"/>
        <w:outlineLvl w:val="2"/>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6EA16368">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3913D6A4">
      <w:pPr>
        <w:snapToGrid w:val="0"/>
        <w:spacing w:before="50" w:after="120" w:afterLines="50"/>
        <w:jc w:val="left"/>
        <w:rPr>
          <w:rFonts w:ascii="宋体" w:hAnsi="宋体"/>
          <w:color w:val="auto"/>
          <w:highlight w:val="none"/>
        </w:rPr>
      </w:pPr>
    </w:p>
    <w:p w14:paraId="74D7B3CB">
      <w:pPr>
        <w:snapToGrid w:val="0"/>
        <w:spacing w:before="120" w:beforeLines="50" w:after="50"/>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49C46FD1">
      <w:pPr>
        <w:snapToGrid w:val="0"/>
        <w:spacing w:before="120" w:beforeLines="50" w:after="50"/>
        <w:jc w:val="left"/>
        <w:rPr>
          <w:rFonts w:ascii="宋体" w:hAnsi="宋体"/>
          <w:b/>
          <w:color w:val="auto"/>
          <w:sz w:val="24"/>
          <w:highlight w:val="none"/>
        </w:rPr>
      </w:pPr>
    </w:p>
    <w:p w14:paraId="2DF2B34A">
      <w:pPr>
        <w:snapToGrid w:val="0"/>
        <w:spacing w:before="120" w:beforeLines="50" w:after="50"/>
        <w:ind w:left="420"/>
        <w:jc w:val="center"/>
        <w:rPr>
          <w:rFonts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52D0A65C">
      <w:pPr>
        <w:snapToGrid w:val="0"/>
        <w:spacing w:before="120" w:beforeLines="50" w:after="50"/>
        <w:rPr>
          <w:rFonts w:ascii="宋体" w:hAnsi="宋体"/>
          <w:b/>
          <w:color w:val="auto"/>
          <w:sz w:val="24"/>
          <w:highlight w:val="none"/>
        </w:rPr>
      </w:pPr>
    </w:p>
    <w:p w14:paraId="4FA736CC">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3FFCB8BB">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6955A97C">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5109AF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633AC561">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1FCD580E">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6008F33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85ADBF6">
      <w:pPr>
        <w:spacing w:line="40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602761F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35D5D739">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75DBD39E">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62A1757C">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0326CA44">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63FF57F">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50F48CC5">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09B1267F">
      <w:pPr>
        <w:spacing w:line="40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B0CEA55">
      <w:pPr>
        <w:spacing w:line="400" w:lineRule="exact"/>
        <w:ind w:firstLine="472" w:firstLineChars="196"/>
        <w:contextualSpacing/>
        <w:jc w:val="left"/>
        <w:rPr>
          <w:rFonts w:ascii="宋体" w:hAnsi="宋体"/>
          <w:b/>
          <w:color w:val="auto"/>
          <w:sz w:val="24"/>
          <w:highlight w:val="none"/>
        </w:rPr>
      </w:pPr>
    </w:p>
    <w:p w14:paraId="779E0F8E">
      <w:pPr>
        <w:pStyle w:val="23"/>
        <w:spacing w:line="440" w:lineRule="exact"/>
        <w:ind w:firstLine="960" w:firstLineChars="400"/>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0E31CF4C">
      <w:pPr>
        <w:pStyle w:val="23"/>
        <w:spacing w:line="440" w:lineRule="exact"/>
        <w:ind w:firstLine="960" w:firstLineChars="400"/>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r>
        <w:rPr>
          <w:rFonts w:hint="eastAsia" w:hAnsi="宋体"/>
          <w:color w:val="auto"/>
          <w:spacing w:val="20"/>
          <w:sz w:val="24"/>
          <w:highlight w:val="none"/>
        </w:rPr>
        <w:t>：</w:t>
      </w:r>
      <w:r>
        <w:rPr>
          <w:rFonts w:hint="eastAsia" w:hAnsi="宋体"/>
          <w:color w:val="auto"/>
          <w:spacing w:val="20"/>
          <w:sz w:val="24"/>
          <w:highlight w:val="none"/>
          <w:u w:val="single"/>
        </w:rPr>
        <w:t xml:space="preserve">        </w:t>
      </w:r>
    </w:p>
    <w:p w14:paraId="1EDCEF4F">
      <w:pPr>
        <w:pStyle w:val="23"/>
        <w:spacing w:line="400" w:lineRule="exact"/>
        <w:contextualSpacing/>
        <w:jc w:val="center"/>
        <w:rPr>
          <w:rFonts w:hAnsi="宋体"/>
          <w:color w:val="auto"/>
          <w:sz w:val="24"/>
          <w:szCs w:val="24"/>
          <w:highlight w:val="none"/>
        </w:rPr>
      </w:pPr>
    </w:p>
    <w:p w14:paraId="3E7699AD">
      <w:pPr>
        <w:pStyle w:val="23"/>
        <w:spacing w:line="40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5CFB5A5A">
      <w:pPr>
        <w:snapToGrid w:val="0"/>
        <w:spacing w:before="120" w:beforeLines="50" w:after="50"/>
        <w:ind w:firstLine="472" w:firstLineChars="196"/>
        <w:jc w:val="left"/>
        <w:outlineLvl w:val="2"/>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5CC57842">
      <w:pPr>
        <w:spacing w:before="240" w:beforeLines="100" w:after="120" w:afterLines="50"/>
        <w:ind w:left="540"/>
        <w:jc w:val="center"/>
        <w:rPr>
          <w:rFonts w:ascii="宋体" w:hAnsi="Courier New"/>
          <w:b/>
          <w:color w:val="auto"/>
          <w:sz w:val="32"/>
          <w:szCs w:val="32"/>
          <w:highlight w:val="none"/>
        </w:rPr>
      </w:pPr>
    </w:p>
    <w:p w14:paraId="25932398">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773C1CC5">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46790F1D">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2521F712">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95E625A">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1FE43AB4">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54E70219">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FD5F286">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10FCFD9E">
      <w:pPr>
        <w:spacing w:line="500" w:lineRule="exact"/>
        <w:ind w:left="540"/>
        <w:rPr>
          <w:rFonts w:ascii="宋体" w:hAnsi="宋体"/>
          <w:color w:val="auto"/>
          <w:sz w:val="24"/>
          <w:highlight w:val="none"/>
        </w:rPr>
      </w:pPr>
    </w:p>
    <w:p w14:paraId="7A393B3B">
      <w:pPr>
        <w:spacing w:line="500" w:lineRule="exact"/>
        <w:ind w:left="540"/>
        <w:rPr>
          <w:rFonts w:ascii="宋体" w:hAnsi="宋体"/>
          <w:color w:val="auto"/>
          <w:sz w:val="24"/>
          <w:highlight w:val="none"/>
        </w:rPr>
      </w:pPr>
    </w:p>
    <w:p w14:paraId="3E0E711F">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72A05518">
      <w:pPr>
        <w:spacing w:line="500" w:lineRule="exact"/>
        <w:ind w:left="540"/>
        <w:rPr>
          <w:rFonts w:ascii="宋体" w:hAnsi="宋体"/>
          <w:color w:val="auto"/>
          <w:sz w:val="24"/>
          <w:highlight w:val="none"/>
        </w:rPr>
      </w:pPr>
    </w:p>
    <w:p w14:paraId="741F4461">
      <w:pPr>
        <w:spacing w:line="500" w:lineRule="exact"/>
        <w:ind w:left="540"/>
        <w:jc w:val="center"/>
        <w:rPr>
          <w:rFonts w:ascii="宋体" w:hAnsi="宋体"/>
          <w:color w:val="auto"/>
          <w:sz w:val="24"/>
          <w:highlight w:val="none"/>
          <w:u w:val="singl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0E398370">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88165B">
      <w:pPr>
        <w:snapToGrid w:val="0"/>
        <w:spacing w:before="120" w:beforeLines="50" w:after="50"/>
        <w:jc w:val="center"/>
        <w:rPr>
          <w:rFonts w:ascii="宋体" w:hAnsi="宋体"/>
          <w:b/>
          <w:color w:val="auto"/>
          <w:sz w:val="24"/>
          <w:highlight w:val="none"/>
        </w:rPr>
      </w:pPr>
    </w:p>
    <w:p w14:paraId="6E2CACC6">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2A4623A2">
      <w:pPr>
        <w:snapToGrid w:val="0"/>
        <w:spacing w:before="120" w:beforeLines="50" w:after="50"/>
        <w:jc w:val="left"/>
        <w:outlineLvl w:val="2"/>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217BDC82">
      <w:pPr>
        <w:snapToGrid w:val="0"/>
        <w:spacing w:before="120" w:beforeLines="50" w:after="50"/>
        <w:jc w:val="center"/>
        <w:rPr>
          <w:rFonts w:ascii="宋体" w:hAnsi="宋体"/>
          <w:b/>
          <w:color w:val="auto"/>
          <w:sz w:val="44"/>
          <w:szCs w:val="44"/>
          <w:highlight w:val="none"/>
        </w:rPr>
      </w:pPr>
    </w:p>
    <w:p w14:paraId="7B4D6536">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50194F9">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（非联合体投标格式）</w:t>
      </w:r>
    </w:p>
    <w:p w14:paraId="6731EE53">
      <w:pPr>
        <w:snapToGrid w:val="0"/>
        <w:spacing w:before="120" w:beforeLines="50" w:after="50"/>
        <w:jc w:val="center"/>
        <w:rPr>
          <w:rFonts w:ascii="宋体" w:hAnsi="宋体"/>
          <w:b/>
          <w:color w:val="auto"/>
          <w:sz w:val="24"/>
          <w:highlight w:val="none"/>
        </w:rPr>
      </w:pPr>
      <w:r>
        <w:rPr>
          <w:rFonts w:hint="eastAsia" w:ascii="宋体" w:hAnsi="宋体"/>
          <w:b/>
          <w:color w:val="auto"/>
          <w:sz w:val="32"/>
          <w:szCs w:val="32"/>
          <w:highlight w:val="none"/>
        </w:rPr>
        <w:t>（如有委托时）</w:t>
      </w:r>
    </w:p>
    <w:p w14:paraId="5186418F">
      <w:pPr>
        <w:snapToGrid w:val="0"/>
        <w:spacing w:before="120" w:beforeLines="50" w:after="50"/>
        <w:jc w:val="center"/>
        <w:rPr>
          <w:rFonts w:ascii="宋体" w:hAnsi="宋体"/>
          <w:b/>
          <w:color w:val="auto"/>
          <w:sz w:val="24"/>
          <w:highlight w:val="none"/>
        </w:rPr>
      </w:pPr>
    </w:p>
    <w:p w14:paraId="658EB583">
      <w:pPr>
        <w:spacing w:line="360" w:lineRule="auto"/>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EB9651B">
      <w:pP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B857C2B">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2F771412">
      <w:pPr>
        <w:spacing w:line="360" w:lineRule="auto"/>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C046CD2">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5F21DF61">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16516672">
      <w:pPr>
        <w:spacing w:line="360" w:lineRule="auto"/>
        <w:contextualSpacing/>
        <w:rPr>
          <w:rFonts w:ascii="宋体" w:hAnsi="宋体"/>
          <w:color w:val="auto"/>
          <w:sz w:val="24"/>
          <w:highlight w:val="none"/>
        </w:rPr>
      </w:pPr>
    </w:p>
    <w:p w14:paraId="3C42F106">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126DE1C">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0804B6A6">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56561EFE">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w:t>
      </w:r>
    </w:p>
    <w:p w14:paraId="200ED227">
      <w:pPr>
        <w:spacing w:line="440" w:lineRule="exact"/>
        <w:contextualSpacing/>
        <w:jc w:val="center"/>
        <w:rPr>
          <w:rFonts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BA501C1">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2D7DC8AB">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2" w:name="_Hlk65851555"/>
      <w:bookmarkStart w:id="163"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2"/>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3"/>
    </w:p>
    <w:p w14:paraId="5DF13216">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23669093">
      <w:pPr>
        <w:outlineLvl w:val="2"/>
        <w:rPr>
          <w:rFonts w:ascii="宋体" w:hAnsi="宋体"/>
          <w:b/>
          <w:color w:val="auto"/>
          <w:sz w:val="24"/>
          <w:szCs w:val="20"/>
          <w:highlight w:val="none"/>
        </w:rPr>
      </w:pPr>
      <w:r>
        <w:rPr>
          <w:rFonts w:ascii="宋体" w:hAnsi="宋体"/>
          <w:color w:val="auto"/>
          <w:sz w:val="24"/>
          <w:highlight w:val="none"/>
        </w:rPr>
        <w:br w:type="page"/>
      </w:r>
      <w:r>
        <w:rPr>
          <w:rFonts w:hint="eastAsia" w:ascii="宋体" w:hAnsi="宋体"/>
          <w:b/>
          <w:color w:val="auto"/>
          <w:sz w:val="24"/>
          <w:highlight w:val="none"/>
        </w:rPr>
        <w:t>6.商务要求偏离表格式</w:t>
      </w:r>
    </w:p>
    <w:p w14:paraId="61BA1CD1">
      <w:pPr>
        <w:snapToGrid w:val="0"/>
        <w:spacing w:before="50"/>
        <w:jc w:val="left"/>
        <w:rPr>
          <w:rFonts w:ascii="宋体" w:hAnsi="宋体"/>
          <w:color w:val="auto"/>
          <w:sz w:val="24"/>
          <w:highlight w:val="none"/>
        </w:rPr>
      </w:pPr>
    </w:p>
    <w:p w14:paraId="33102739">
      <w:pPr>
        <w:pStyle w:val="23"/>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0312ACA8">
      <w:pPr>
        <w:snapToGrid w:val="0"/>
        <w:spacing w:before="50"/>
        <w:jc w:val="left"/>
        <w:rPr>
          <w:rFonts w:ascii="宋体" w:hAnsi="宋体"/>
          <w:color w:val="auto"/>
          <w:sz w:val="24"/>
          <w:highlight w:val="none"/>
          <w:u w:val="single"/>
        </w:rPr>
      </w:pP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94"/>
        <w:gridCol w:w="1760"/>
        <w:gridCol w:w="2035"/>
      </w:tblGrid>
      <w:tr w14:paraId="3E2AF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52" w:type="dxa"/>
            <w:tcBorders>
              <w:top w:val="single" w:color="auto" w:sz="4" w:space="0"/>
              <w:left w:val="single" w:color="auto" w:sz="4" w:space="0"/>
              <w:bottom w:val="single" w:color="auto" w:sz="4" w:space="0"/>
              <w:right w:val="single" w:color="auto" w:sz="4" w:space="0"/>
            </w:tcBorders>
          </w:tcPr>
          <w:p w14:paraId="4A9DBB3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2694" w:type="dxa"/>
            <w:tcBorders>
              <w:top w:val="single" w:color="auto" w:sz="4" w:space="0"/>
              <w:left w:val="single" w:color="auto" w:sz="4" w:space="0"/>
              <w:bottom w:val="single" w:color="auto" w:sz="4" w:space="0"/>
              <w:right w:val="single" w:color="auto" w:sz="4" w:space="0"/>
            </w:tcBorders>
          </w:tcPr>
          <w:p w14:paraId="12DA9195">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5D5E31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1C1EA7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690B2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52" w:type="dxa"/>
            <w:tcBorders>
              <w:top w:val="single" w:color="auto" w:sz="4" w:space="0"/>
              <w:left w:val="single" w:color="auto" w:sz="4" w:space="0"/>
              <w:bottom w:val="single" w:color="auto" w:sz="4" w:space="0"/>
              <w:right w:val="single" w:color="auto" w:sz="4" w:space="0"/>
            </w:tcBorders>
            <w:vAlign w:val="center"/>
          </w:tcPr>
          <w:p w14:paraId="2A1D58E4">
            <w:pPr>
              <w:jc w:val="center"/>
              <w:rPr>
                <w:rFonts w:ascii="宋体" w:hAnsi="宋体"/>
                <w:color w:val="auto"/>
                <w:sz w:val="24"/>
                <w:highlight w:val="none"/>
              </w:rPr>
            </w:pPr>
            <w:r>
              <w:rPr>
                <w:rFonts w:hint="eastAsia" w:ascii="宋体" w:hAnsi="宋体"/>
                <w:color w:val="auto"/>
                <w:sz w:val="24"/>
                <w:highlight w:val="none"/>
              </w:rPr>
              <w:t>服务期限</w:t>
            </w:r>
          </w:p>
        </w:tc>
        <w:tc>
          <w:tcPr>
            <w:tcW w:w="2694" w:type="dxa"/>
            <w:tcBorders>
              <w:top w:val="single" w:color="auto" w:sz="4" w:space="0"/>
              <w:left w:val="single" w:color="auto" w:sz="4" w:space="0"/>
              <w:bottom w:val="single" w:color="auto" w:sz="4" w:space="0"/>
              <w:right w:val="single" w:color="auto" w:sz="4" w:space="0"/>
            </w:tcBorders>
            <w:vAlign w:val="center"/>
          </w:tcPr>
          <w:p w14:paraId="7160FF2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B631814">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B209442">
            <w:pPr>
              <w:snapToGrid w:val="0"/>
              <w:spacing w:before="120" w:beforeLines="50"/>
              <w:jc w:val="center"/>
              <w:rPr>
                <w:rFonts w:ascii="宋体" w:hAnsi="宋体"/>
                <w:color w:val="auto"/>
                <w:sz w:val="24"/>
                <w:highlight w:val="none"/>
              </w:rPr>
            </w:pPr>
          </w:p>
        </w:tc>
      </w:tr>
      <w:tr w14:paraId="1869B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7F447DF3">
            <w:pPr>
              <w:jc w:val="center"/>
              <w:rPr>
                <w:rFonts w:ascii="宋体" w:hAnsi="宋体"/>
                <w:color w:val="auto"/>
                <w:sz w:val="24"/>
                <w:highlight w:val="none"/>
              </w:rPr>
            </w:pPr>
            <w:r>
              <w:rPr>
                <w:rFonts w:hint="eastAsia" w:ascii="宋体" w:hAnsi="宋体"/>
                <w:color w:val="auto"/>
                <w:sz w:val="24"/>
                <w:highlight w:val="none"/>
              </w:rPr>
              <w:t>合同签订期</w:t>
            </w:r>
          </w:p>
        </w:tc>
        <w:tc>
          <w:tcPr>
            <w:tcW w:w="2694" w:type="dxa"/>
            <w:tcBorders>
              <w:top w:val="single" w:color="auto" w:sz="4" w:space="0"/>
              <w:left w:val="single" w:color="auto" w:sz="4" w:space="0"/>
              <w:bottom w:val="single" w:color="auto" w:sz="4" w:space="0"/>
              <w:right w:val="single" w:color="auto" w:sz="4" w:space="0"/>
            </w:tcBorders>
            <w:vAlign w:val="center"/>
          </w:tcPr>
          <w:p w14:paraId="62E30016">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4D1B795">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B53614F">
            <w:pPr>
              <w:snapToGrid w:val="0"/>
              <w:spacing w:before="120" w:beforeLines="50"/>
              <w:ind w:left="43"/>
              <w:jc w:val="center"/>
              <w:rPr>
                <w:rFonts w:ascii="宋体" w:hAnsi="宋体"/>
                <w:color w:val="auto"/>
                <w:sz w:val="24"/>
                <w:highlight w:val="none"/>
              </w:rPr>
            </w:pPr>
          </w:p>
        </w:tc>
      </w:tr>
      <w:tr w14:paraId="15D0B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1E25363">
            <w:pPr>
              <w:jc w:val="center"/>
              <w:rPr>
                <w:rFonts w:ascii="宋体" w:hAnsi="宋体"/>
                <w:color w:val="auto"/>
                <w:sz w:val="24"/>
                <w:highlight w:val="none"/>
              </w:rPr>
            </w:pPr>
            <w:r>
              <w:rPr>
                <w:rFonts w:hint="eastAsia" w:ascii="宋体" w:hAnsi="宋体"/>
                <w:color w:val="auto"/>
                <w:sz w:val="24"/>
                <w:highlight w:val="none"/>
              </w:rPr>
              <w:t>服务地点</w:t>
            </w:r>
          </w:p>
        </w:tc>
        <w:tc>
          <w:tcPr>
            <w:tcW w:w="2694" w:type="dxa"/>
            <w:tcBorders>
              <w:top w:val="single" w:color="auto" w:sz="4" w:space="0"/>
              <w:left w:val="single" w:color="auto" w:sz="4" w:space="0"/>
              <w:bottom w:val="single" w:color="auto" w:sz="4" w:space="0"/>
              <w:right w:val="single" w:color="auto" w:sz="4" w:space="0"/>
            </w:tcBorders>
            <w:vAlign w:val="center"/>
          </w:tcPr>
          <w:p w14:paraId="3BFB502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BB0A349">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129B2AC">
            <w:pPr>
              <w:snapToGrid w:val="0"/>
              <w:spacing w:before="120" w:beforeLines="50"/>
              <w:ind w:left="43"/>
              <w:jc w:val="center"/>
              <w:rPr>
                <w:rFonts w:ascii="宋体" w:hAnsi="宋体"/>
                <w:color w:val="auto"/>
                <w:sz w:val="24"/>
                <w:highlight w:val="none"/>
              </w:rPr>
            </w:pPr>
          </w:p>
        </w:tc>
      </w:tr>
      <w:tr w14:paraId="2D4F7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8367D18">
            <w:pPr>
              <w:jc w:val="center"/>
              <w:rPr>
                <w:rFonts w:ascii="宋体" w:hAnsi="宋体"/>
                <w:color w:val="auto"/>
                <w:sz w:val="24"/>
                <w:highlight w:val="none"/>
              </w:rPr>
            </w:pPr>
            <w:r>
              <w:rPr>
                <w:rFonts w:hint="eastAsia" w:ascii="宋体" w:hAnsi="宋体"/>
                <w:color w:val="auto"/>
                <w:sz w:val="24"/>
                <w:highlight w:val="none"/>
              </w:rPr>
              <w:t>付款条件</w:t>
            </w:r>
          </w:p>
        </w:tc>
        <w:tc>
          <w:tcPr>
            <w:tcW w:w="2694" w:type="dxa"/>
            <w:tcBorders>
              <w:top w:val="single" w:color="auto" w:sz="4" w:space="0"/>
              <w:left w:val="single" w:color="auto" w:sz="4" w:space="0"/>
              <w:bottom w:val="single" w:color="auto" w:sz="4" w:space="0"/>
              <w:right w:val="single" w:color="auto" w:sz="4" w:space="0"/>
            </w:tcBorders>
            <w:vAlign w:val="center"/>
          </w:tcPr>
          <w:p w14:paraId="1E7CE76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FEF66A9">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10E3C55">
            <w:pPr>
              <w:snapToGrid w:val="0"/>
              <w:spacing w:before="120" w:beforeLines="50"/>
              <w:ind w:left="43"/>
              <w:jc w:val="center"/>
              <w:rPr>
                <w:rFonts w:ascii="宋体" w:hAnsi="宋体"/>
                <w:color w:val="auto"/>
                <w:sz w:val="24"/>
                <w:highlight w:val="none"/>
              </w:rPr>
            </w:pPr>
          </w:p>
        </w:tc>
      </w:tr>
      <w:tr w14:paraId="4BA14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7D09526">
            <w:pPr>
              <w:jc w:val="center"/>
              <w:rPr>
                <w:rFonts w:ascii="宋体" w:hAnsi="宋体"/>
                <w:color w:val="auto"/>
                <w:sz w:val="24"/>
                <w:highlight w:val="none"/>
              </w:rPr>
            </w:pPr>
            <w:r>
              <w:rPr>
                <w:rFonts w:hint="eastAsia" w:ascii="宋体" w:hAnsi="宋体"/>
                <w:color w:val="auto"/>
                <w:sz w:val="24"/>
                <w:highlight w:val="none"/>
              </w:rPr>
              <w:t>......</w:t>
            </w:r>
          </w:p>
        </w:tc>
        <w:tc>
          <w:tcPr>
            <w:tcW w:w="2694" w:type="dxa"/>
            <w:tcBorders>
              <w:top w:val="single" w:color="auto" w:sz="4" w:space="0"/>
              <w:left w:val="single" w:color="auto" w:sz="4" w:space="0"/>
              <w:bottom w:val="single" w:color="auto" w:sz="4" w:space="0"/>
              <w:right w:val="single" w:color="auto" w:sz="4" w:space="0"/>
            </w:tcBorders>
            <w:vAlign w:val="center"/>
          </w:tcPr>
          <w:p w14:paraId="0421BC3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5EDC043">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7D706DC">
            <w:pPr>
              <w:snapToGrid w:val="0"/>
              <w:spacing w:before="120" w:beforeLines="50"/>
              <w:ind w:left="43"/>
              <w:jc w:val="center"/>
              <w:rPr>
                <w:rFonts w:ascii="宋体" w:hAnsi="宋体"/>
                <w:color w:val="auto"/>
                <w:sz w:val="24"/>
                <w:highlight w:val="none"/>
              </w:rPr>
            </w:pPr>
          </w:p>
        </w:tc>
      </w:tr>
    </w:tbl>
    <w:p w14:paraId="599B8147">
      <w:pPr>
        <w:pStyle w:val="16"/>
        <w:rPr>
          <w:rFonts w:ascii="宋体" w:hAnsi="宋体"/>
          <w:color w:val="auto"/>
          <w:highlight w:val="none"/>
        </w:rPr>
      </w:pPr>
      <w:r>
        <w:rPr>
          <w:rFonts w:hint="eastAsia" w:ascii="宋体" w:hAnsi="宋体"/>
          <w:color w:val="auto"/>
          <w:highlight w:val="none"/>
        </w:rPr>
        <w:t>注：</w:t>
      </w:r>
    </w:p>
    <w:p w14:paraId="6BFDF5B4">
      <w:pPr>
        <w:pStyle w:val="18"/>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3B661ECE">
      <w:pPr>
        <w:pStyle w:val="16"/>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295F636">
      <w:pPr>
        <w:snapToGrid w:val="0"/>
        <w:spacing w:before="50" w:after="50"/>
        <w:rPr>
          <w:rFonts w:ascii="宋体" w:hAnsi="宋体"/>
          <w:color w:val="auto"/>
          <w:sz w:val="24"/>
          <w:highlight w:val="none"/>
        </w:rPr>
      </w:pPr>
    </w:p>
    <w:p w14:paraId="0B070807">
      <w:pPr>
        <w:snapToGrid w:val="0"/>
        <w:spacing w:before="50" w:after="50"/>
        <w:rPr>
          <w:rFonts w:ascii="宋体" w:hAnsi="宋体"/>
          <w:color w:val="auto"/>
          <w:sz w:val="24"/>
          <w:highlight w:val="none"/>
        </w:rPr>
      </w:pPr>
    </w:p>
    <w:p w14:paraId="582E779C">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3C5B0DB">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E91AE74">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F1932B1">
      <w:pPr>
        <w:snapToGrid w:val="0"/>
        <w:spacing w:before="120" w:beforeLines="50"/>
        <w:rPr>
          <w:rFonts w:ascii="宋体" w:hAnsi="宋体"/>
          <w:color w:val="auto"/>
          <w:sz w:val="24"/>
          <w:szCs w:val="20"/>
          <w:highlight w:val="none"/>
        </w:rPr>
      </w:pPr>
    </w:p>
    <w:p w14:paraId="283A0FF3">
      <w:pPr>
        <w:snapToGrid w:val="0"/>
        <w:spacing w:before="120" w:beforeLines="50" w:after="50"/>
        <w:jc w:val="left"/>
        <w:rPr>
          <w:rFonts w:ascii="宋体" w:hAnsi="宋体"/>
          <w:color w:val="auto"/>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155FFDC3">
      <w:pPr>
        <w:snapToGrid w:val="0"/>
        <w:spacing w:before="120" w:beforeLines="50" w:after="50"/>
        <w:jc w:val="left"/>
        <w:outlineLvl w:val="2"/>
        <w:rPr>
          <w:rFonts w:ascii="宋体" w:hAnsi="宋体"/>
          <w:b/>
          <w:color w:val="auto"/>
          <w:sz w:val="24"/>
          <w:highlight w:val="none"/>
        </w:rPr>
      </w:pPr>
      <w:r>
        <w:rPr>
          <w:rFonts w:hint="eastAsia" w:ascii="宋体" w:hAnsi="宋体"/>
          <w:b/>
          <w:color w:val="auto"/>
          <w:sz w:val="24"/>
          <w:highlight w:val="none"/>
        </w:rPr>
        <w:t>7.技术要求偏离表格式</w:t>
      </w:r>
    </w:p>
    <w:p w14:paraId="5AC90CB5">
      <w:pPr>
        <w:snapToGrid w:val="0"/>
        <w:spacing w:before="120" w:beforeLines="50" w:after="50"/>
        <w:ind w:left="142"/>
        <w:jc w:val="left"/>
        <w:rPr>
          <w:rFonts w:ascii="宋体" w:hAnsi="宋体"/>
          <w:b/>
          <w:color w:val="auto"/>
          <w:sz w:val="24"/>
          <w:highlight w:val="none"/>
        </w:rPr>
      </w:pPr>
    </w:p>
    <w:p w14:paraId="0791FA85">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3BACE92F">
      <w:pPr>
        <w:pStyle w:val="23"/>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6C7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57B6CBB">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70C907D4">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11DA6A1C">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13BAD2AE">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5D1E5EC">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460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BCD32A">
            <w:pPr>
              <w:pStyle w:val="23"/>
              <w:spacing w:line="600" w:lineRule="exact"/>
              <w:jc w:val="center"/>
              <w:rPr>
                <w:rFonts w:hAnsi="宋体" w:cs="Courier New"/>
                <w:color w:val="auto"/>
                <w:kern w:val="2"/>
                <w:sz w:val="24"/>
                <w:szCs w:val="24"/>
                <w:highlight w:val="none"/>
              </w:rPr>
            </w:pPr>
          </w:p>
        </w:tc>
        <w:tc>
          <w:tcPr>
            <w:tcW w:w="2143" w:type="dxa"/>
            <w:vAlign w:val="center"/>
          </w:tcPr>
          <w:p w14:paraId="01983C2F">
            <w:pPr>
              <w:pStyle w:val="23"/>
              <w:spacing w:line="600" w:lineRule="exact"/>
              <w:jc w:val="center"/>
              <w:rPr>
                <w:rFonts w:hAnsi="宋体" w:cs="Courier New"/>
                <w:color w:val="auto"/>
                <w:kern w:val="2"/>
                <w:sz w:val="24"/>
                <w:szCs w:val="24"/>
                <w:highlight w:val="none"/>
              </w:rPr>
            </w:pPr>
          </w:p>
        </w:tc>
        <w:tc>
          <w:tcPr>
            <w:tcW w:w="1834" w:type="dxa"/>
            <w:vAlign w:val="center"/>
          </w:tcPr>
          <w:p w14:paraId="61BEDAE3">
            <w:pPr>
              <w:pStyle w:val="23"/>
              <w:spacing w:line="600" w:lineRule="exact"/>
              <w:jc w:val="center"/>
              <w:rPr>
                <w:rFonts w:hAnsi="宋体" w:cs="Courier New"/>
                <w:color w:val="auto"/>
                <w:kern w:val="2"/>
                <w:sz w:val="24"/>
                <w:szCs w:val="24"/>
                <w:highlight w:val="none"/>
              </w:rPr>
            </w:pPr>
          </w:p>
        </w:tc>
        <w:tc>
          <w:tcPr>
            <w:tcW w:w="2181" w:type="dxa"/>
            <w:vAlign w:val="center"/>
          </w:tcPr>
          <w:p w14:paraId="621F7DFE">
            <w:pPr>
              <w:pStyle w:val="23"/>
              <w:spacing w:line="600" w:lineRule="exact"/>
              <w:jc w:val="center"/>
              <w:rPr>
                <w:rFonts w:hAnsi="宋体" w:cs="Courier New"/>
                <w:color w:val="auto"/>
                <w:kern w:val="2"/>
                <w:sz w:val="24"/>
                <w:szCs w:val="24"/>
                <w:highlight w:val="none"/>
              </w:rPr>
            </w:pPr>
          </w:p>
        </w:tc>
        <w:tc>
          <w:tcPr>
            <w:tcW w:w="1934" w:type="dxa"/>
            <w:vAlign w:val="center"/>
          </w:tcPr>
          <w:p w14:paraId="17EDFF2C">
            <w:pPr>
              <w:pStyle w:val="23"/>
              <w:spacing w:line="600" w:lineRule="exact"/>
              <w:jc w:val="center"/>
              <w:rPr>
                <w:rFonts w:hAnsi="宋体" w:cs="Courier New"/>
                <w:color w:val="auto"/>
                <w:kern w:val="2"/>
                <w:sz w:val="24"/>
                <w:szCs w:val="24"/>
                <w:highlight w:val="none"/>
              </w:rPr>
            </w:pPr>
          </w:p>
        </w:tc>
      </w:tr>
      <w:tr w14:paraId="4B49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BEEF206">
            <w:pPr>
              <w:pStyle w:val="23"/>
              <w:spacing w:line="600" w:lineRule="exact"/>
              <w:rPr>
                <w:rFonts w:hAnsi="宋体" w:cs="Courier New"/>
                <w:color w:val="auto"/>
                <w:kern w:val="2"/>
                <w:sz w:val="24"/>
                <w:szCs w:val="24"/>
                <w:highlight w:val="none"/>
              </w:rPr>
            </w:pPr>
          </w:p>
        </w:tc>
        <w:tc>
          <w:tcPr>
            <w:tcW w:w="2143" w:type="dxa"/>
          </w:tcPr>
          <w:p w14:paraId="0E355391">
            <w:pPr>
              <w:pStyle w:val="23"/>
              <w:spacing w:line="600" w:lineRule="exact"/>
              <w:rPr>
                <w:rFonts w:hAnsi="宋体" w:cs="Courier New"/>
                <w:color w:val="auto"/>
                <w:kern w:val="2"/>
                <w:sz w:val="24"/>
                <w:szCs w:val="24"/>
                <w:highlight w:val="none"/>
              </w:rPr>
            </w:pPr>
          </w:p>
        </w:tc>
        <w:tc>
          <w:tcPr>
            <w:tcW w:w="1834" w:type="dxa"/>
          </w:tcPr>
          <w:p w14:paraId="7687332A">
            <w:pPr>
              <w:pStyle w:val="23"/>
              <w:spacing w:line="600" w:lineRule="exact"/>
              <w:rPr>
                <w:rFonts w:hAnsi="宋体" w:cs="Courier New"/>
                <w:color w:val="auto"/>
                <w:kern w:val="2"/>
                <w:sz w:val="24"/>
                <w:szCs w:val="24"/>
                <w:highlight w:val="none"/>
              </w:rPr>
            </w:pPr>
          </w:p>
        </w:tc>
        <w:tc>
          <w:tcPr>
            <w:tcW w:w="2181" w:type="dxa"/>
          </w:tcPr>
          <w:p w14:paraId="0D0C939C">
            <w:pPr>
              <w:pStyle w:val="23"/>
              <w:spacing w:line="600" w:lineRule="exact"/>
              <w:rPr>
                <w:rFonts w:hAnsi="宋体" w:cs="Courier New"/>
                <w:color w:val="auto"/>
                <w:kern w:val="2"/>
                <w:sz w:val="24"/>
                <w:szCs w:val="24"/>
                <w:highlight w:val="none"/>
              </w:rPr>
            </w:pPr>
          </w:p>
        </w:tc>
        <w:tc>
          <w:tcPr>
            <w:tcW w:w="1934" w:type="dxa"/>
          </w:tcPr>
          <w:p w14:paraId="071DA4A3">
            <w:pPr>
              <w:pStyle w:val="23"/>
              <w:spacing w:line="600" w:lineRule="exact"/>
              <w:rPr>
                <w:rFonts w:hAnsi="宋体" w:cs="Courier New"/>
                <w:color w:val="auto"/>
                <w:kern w:val="2"/>
                <w:sz w:val="24"/>
                <w:szCs w:val="24"/>
                <w:highlight w:val="none"/>
              </w:rPr>
            </w:pPr>
          </w:p>
        </w:tc>
      </w:tr>
      <w:tr w14:paraId="38AC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F590BFE">
            <w:pPr>
              <w:pStyle w:val="23"/>
              <w:spacing w:line="600" w:lineRule="exact"/>
              <w:rPr>
                <w:rFonts w:hAnsi="宋体" w:cs="Courier New"/>
                <w:color w:val="auto"/>
                <w:kern w:val="2"/>
                <w:sz w:val="24"/>
                <w:szCs w:val="24"/>
                <w:highlight w:val="none"/>
              </w:rPr>
            </w:pPr>
          </w:p>
        </w:tc>
        <w:tc>
          <w:tcPr>
            <w:tcW w:w="2143" w:type="dxa"/>
          </w:tcPr>
          <w:p w14:paraId="77D71D93">
            <w:pPr>
              <w:pStyle w:val="23"/>
              <w:spacing w:line="600" w:lineRule="exact"/>
              <w:rPr>
                <w:rFonts w:hAnsi="宋体" w:cs="Courier New"/>
                <w:color w:val="auto"/>
                <w:kern w:val="2"/>
                <w:sz w:val="24"/>
                <w:szCs w:val="24"/>
                <w:highlight w:val="none"/>
              </w:rPr>
            </w:pPr>
          </w:p>
        </w:tc>
        <w:tc>
          <w:tcPr>
            <w:tcW w:w="1834" w:type="dxa"/>
          </w:tcPr>
          <w:p w14:paraId="6AA9051F">
            <w:pPr>
              <w:pStyle w:val="23"/>
              <w:spacing w:line="600" w:lineRule="exact"/>
              <w:rPr>
                <w:rFonts w:hAnsi="宋体" w:cs="Courier New"/>
                <w:color w:val="auto"/>
                <w:kern w:val="2"/>
                <w:sz w:val="24"/>
                <w:szCs w:val="24"/>
                <w:highlight w:val="none"/>
              </w:rPr>
            </w:pPr>
          </w:p>
        </w:tc>
        <w:tc>
          <w:tcPr>
            <w:tcW w:w="2181" w:type="dxa"/>
          </w:tcPr>
          <w:p w14:paraId="2E967A2E">
            <w:pPr>
              <w:pStyle w:val="23"/>
              <w:spacing w:line="600" w:lineRule="exact"/>
              <w:rPr>
                <w:rFonts w:hAnsi="宋体" w:cs="Courier New"/>
                <w:color w:val="auto"/>
                <w:kern w:val="2"/>
                <w:sz w:val="24"/>
                <w:szCs w:val="24"/>
                <w:highlight w:val="none"/>
              </w:rPr>
            </w:pPr>
          </w:p>
        </w:tc>
        <w:tc>
          <w:tcPr>
            <w:tcW w:w="1934" w:type="dxa"/>
          </w:tcPr>
          <w:p w14:paraId="16493821">
            <w:pPr>
              <w:pStyle w:val="23"/>
              <w:spacing w:line="600" w:lineRule="exact"/>
              <w:rPr>
                <w:rFonts w:hAnsi="宋体" w:cs="Courier New"/>
                <w:color w:val="auto"/>
                <w:kern w:val="2"/>
                <w:sz w:val="24"/>
                <w:szCs w:val="24"/>
                <w:highlight w:val="none"/>
              </w:rPr>
            </w:pPr>
          </w:p>
        </w:tc>
      </w:tr>
      <w:tr w14:paraId="2FBE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B23CE1">
            <w:pPr>
              <w:pStyle w:val="23"/>
              <w:spacing w:line="600" w:lineRule="exact"/>
              <w:rPr>
                <w:rFonts w:hAnsi="宋体" w:cs="Courier New"/>
                <w:color w:val="auto"/>
                <w:kern w:val="2"/>
                <w:sz w:val="24"/>
                <w:szCs w:val="24"/>
                <w:highlight w:val="none"/>
              </w:rPr>
            </w:pPr>
          </w:p>
        </w:tc>
        <w:tc>
          <w:tcPr>
            <w:tcW w:w="2143" w:type="dxa"/>
          </w:tcPr>
          <w:p w14:paraId="30C4AC58">
            <w:pPr>
              <w:pStyle w:val="23"/>
              <w:spacing w:line="600" w:lineRule="exact"/>
              <w:rPr>
                <w:rFonts w:hAnsi="宋体" w:cs="Courier New"/>
                <w:color w:val="auto"/>
                <w:kern w:val="2"/>
                <w:sz w:val="24"/>
                <w:szCs w:val="24"/>
                <w:highlight w:val="none"/>
              </w:rPr>
            </w:pPr>
          </w:p>
        </w:tc>
        <w:tc>
          <w:tcPr>
            <w:tcW w:w="1834" w:type="dxa"/>
          </w:tcPr>
          <w:p w14:paraId="4B150B94">
            <w:pPr>
              <w:pStyle w:val="23"/>
              <w:spacing w:line="600" w:lineRule="exact"/>
              <w:rPr>
                <w:rFonts w:hAnsi="宋体" w:cs="Courier New"/>
                <w:color w:val="auto"/>
                <w:kern w:val="2"/>
                <w:sz w:val="24"/>
                <w:szCs w:val="24"/>
                <w:highlight w:val="none"/>
              </w:rPr>
            </w:pPr>
          </w:p>
        </w:tc>
        <w:tc>
          <w:tcPr>
            <w:tcW w:w="2181" w:type="dxa"/>
          </w:tcPr>
          <w:p w14:paraId="392479FF">
            <w:pPr>
              <w:pStyle w:val="23"/>
              <w:spacing w:line="600" w:lineRule="exact"/>
              <w:rPr>
                <w:rFonts w:hAnsi="宋体" w:cs="Courier New"/>
                <w:color w:val="auto"/>
                <w:kern w:val="2"/>
                <w:sz w:val="24"/>
                <w:szCs w:val="24"/>
                <w:highlight w:val="none"/>
              </w:rPr>
            </w:pPr>
          </w:p>
        </w:tc>
        <w:tc>
          <w:tcPr>
            <w:tcW w:w="1934" w:type="dxa"/>
          </w:tcPr>
          <w:p w14:paraId="430A9FBE">
            <w:pPr>
              <w:pStyle w:val="23"/>
              <w:spacing w:line="600" w:lineRule="exact"/>
              <w:rPr>
                <w:rFonts w:hAnsi="宋体" w:cs="Courier New"/>
                <w:color w:val="auto"/>
                <w:kern w:val="2"/>
                <w:sz w:val="24"/>
                <w:szCs w:val="24"/>
                <w:highlight w:val="none"/>
              </w:rPr>
            </w:pPr>
          </w:p>
        </w:tc>
      </w:tr>
      <w:tr w14:paraId="0311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DBBE9B8">
            <w:pPr>
              <w:pStyle w:val="23"/>
              <w:spacing w:line="600" w:lineRule="exact"/>
              <w:rPr>
                <w:rFonts w:hAnsi="宋体" w:cs="Courier New"/>
                <w:color w:val="auto"/>
                <w:kern w:val="2"/>
                <w:sz w:val="24"/>
                <w:szCs w:val="24"/>
                <w:highlight w:val="none"/>
              </w:rPr>
            </w:pPr>
          </w:p>
        </w:tc>
        <w:tc>
          <w:tcPr>
            <w:tcW w:w="2143" w:type="dxa"/>
          </w:tcPr>
          <w:p w14:paraId="303AD7FE">
            <w:pPr>
              <w:pStyle w:val="23"/>
              <w:spacing w:line="600" w:lineRule="exact"/>
              <w:rPr>
                <w:rFonts w:hAnsi="宋体" w:cs="Courier New"/>
                <w:color w:val="auto"/>
                <w:kern w:val="2"/>
                <w:sz w:val="24"/>
                <w:szCs w:val="24"/>
                <w:highlight w:val="none"/>
              </w:rPr>
            </w:pPr>
          </w:p>
        </w:tc>
        <w:tc>
          <w:tcPr>
            <w:tcW w:w="1834" w:type="dxa"/>
          </w:tcPr>
          <w:p w14:paraId="1D325680">
            <w:pPr>
              <w:pStyle w:val="23"/>
              <w:spacing w:line="600" w:lineRule="exact"/>
              <w:rPr>
                <w:rFonts w:hAnsi="宋体" w:cs="Courier New"/>
                <w:color w:val="auto"/>
                <w:kern w:val="2"/>
                <w:sz w:val="24"/>
                <w:szCs w:val="24"/>
                <w:highlight w:val="none"/>
              </w:rPr>
            </w:pPr>
          </w:p>
        </w:tc>
        <w:tc>
          <w:tcPr>
            <w:tcW w:w="2181" w:type="dxa"/>
          </w:tcPr>
          <w:p w14:paraId="222F8CAF">
            <w:pPr>
              <w:pStyle w:val="23"/>
              <w:spacing w:line="600" w:lineRule="exact"/>
              <w:rPr>
                <w:rFonts w:hAnsi="宋体" w:cs="Courier New"/>
                <w:color w:val="auto"/>
                <w:kern w:val="2"/>
                <w:sz w:val="24"/>
                <w:szCs w:val="24"/>
                <w:highlight w:val="none"/>
              </w:rPr>
            </w:pPr>
          </w:p>
        </w:tc>
        <w:tc>
          <w:tcPr>
            <w:tcW w:w="1934" w:type="dxa"/>
          </w:tcPr>
          <w:p w14:paraId="4B8B212E">
            <w:pPr>
              <w:pStyle w:val="23"/>
              <w:spacing w:line="600" w:lineRule="exact"/>
              <w:rPr>
                <w:rFonts w:hAnsi="宋体" w:cs="Courier New"/>
                <w:color w:val="auto"/>
                <w:kern w:val="2"/>
                <w:sz w:val="24"/>
                <w:szCs w:val="24"/>
                <w:highlight w:val="none"/>
              </w:rPr>
            </w:pPr>
          </w:p>
        </w:tc>
      </w:tr>
      <w:tr w14:paraId="540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A9C372">
            <w:pPr>
              <w:pStyle w:val="23"/>
              <w:spacing w:line="600" w:lineRule="exact"/>
              <w:rPr>
                <w:rFonts w:hAnsi="宋体" w:cs="Courier New"/>
                <w:color w:val="auto"/>
                <w:kern w:val="2"/>
                <w:sz w:val="24"/>
                <w:szCs w:val="24"/>
                <w:highlight w:val="none"/>
              </w:rPr>
            </w:pPr>
          </w:p>
        </w:tc>
        <w:tc>
          <w:tcPr>
            <w:tcW w:w="2143" w:type="dxa"/>
          </w:tcPr>
          <w:p w14:paraId="17B13682">
            <w:pPr>
              <w:pStyle w:val="23"/>
              <w:spacing w:line="600" w:lineRule="exact"/>
              <w:rPr>
                <w:rFonts w:hAnsi="宋体" w:cs="Courier New"/>
                <w:color w:val="auto"/>
                <w:kern w:val="2"/>
                <w:sz w:val="24"/>
                <w:szCs w:val="24"/>
                <w:highlight w:val="none"/>
              </w:rPr>
            </w:pPr>
          </w:p>
        </w:tc>
        <w:tc>
          <w:tcPr>
            <w:tcW w:w="1834" w:type="dxa"/>
          </w:tcPr>
          <w:p w14:paraId="5D85D4A3">
            <w:pPr>
              <w:pStyle w:val="23"/>
              <w:spacing w:line="600" w:lineRule="exact"/>
              <w:rPr>
                <w:rFonts w:hAnsi="宋体" w:cs="Courier New"/>
                <w:color w:val="auto"/>
                <w:kern w:val="2"/>
                <w:sz w:val="24"/>
                <w:szCs w:val="24"/>
                <w:highlight w:val="none"/>
              </w:rPr>
            </w:pPr>
          </w:p>
        </w:tc>
        <w:tc>
          <w:tcPr>
            <w:tcW w:w="2181" w:type="dxa"/>
          </w:tcPr>
          <w:p w14:paraId="1D21D8CD">
            <w:pPr>
              <w:pStyle w:val="23"/>
              <w:spacing w:line="600" w:lineRule="exact"/>
              <w:rPr>
                <w:rFonts w:hAnsi="宋体" w:cs="Courier New"/>
                <w:color w:val="auto"/>
                <w:kern w:val="2"/>
                <w:sz w:val="24"/>
                <w:szCs w:val="24"/>
                <w:highlight w:val="none"/>
              </w:rPr>
            </w:pPr>
          </w:p>
        </w:tc>
        <w:tc>
          <w:tcPr>
            <w:tcW w:w="1934" w:type="dxa"/>
          </w:tcPr>
          <w:p w14:paraId="2B7C05B8">
            <w:pPr>
              <w:pStyle w:val="23"/>
              <w:spacing w:line="600" w:lineRule="exact"/>
              <w:rPr>
                <w:rFonts w:hAnsi="宋体" w:cs="Courier New"/>
                <w:color w:val="auto"/>
                <w:kern w:val="2"/>
                <w:sz w:val="24"/>
                <w:szCs w:val="24"/>
                <w:highlight w:val="none"/>
              </w:rPr>
            </w:pPr>
          </w:p>
        </w:tc>
      </w:tr>
      <w:tr w14:paraId="770B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289CC3">
            <w:pPr>
              <w:pStyle w:val="23"/>
              <w:spacing w:line="600" w:lineRule="exact"/>
              <w:rPr>
                <w:rFonts w:hAnsi="宋体" w:cs="Courier New"/>
                <w:color w:val="auto"/>
                <w:kern w:val="2"/>
                <w:sz w:val="24"/>
                <w:szCs w:val="24"/>
                <w:highlight w:val="none"/>
              </w:rPr>
            </w:pPr>
          </w:p>
        </w:tc>
        <w:tc>
          <w:tcPr>
            <w:tcW w:w="2143" w:type="dxa"/>
          </w:tcPr>
          <w:p w14:paraId="68BA8699">
            <w:pPr>
              <w:pStyle w:val="23"/>
              <w:spacing w:line="600" w:lineRule="exact"/>
              <w:rPr>
                <w:rFonts w:hAnsi="宋体" w:cs="Courier New"/>
                <w:color w:val="auto"/>
                <w:kern w:val="2"/>
                <w:sz w:val="24"/>
                <w:szCs w:val="24"/>
                <w:highlight w:val="none"/>
              </w:rPr>
            </w:pPr>
          </w:p>
        </w:tc>
        <w:tc>
          <w:tcPr>
            <w:tcW w:w="1834" w:type="dxa"/>
          </w:tcPr>
          <w:p w14:paraId="1F605F5A">
            <w:pPr>
              <w:pStyle w:val="23"/>
              <w:spacing w:line="600" w:lineRule="exact"/>
              <w:rPr>
                <w:rFonts w:hAnsi="宋体" w:cs="Courier New"/>
                <w:color w:val="auto"/>
                <w:kern w:val="2"/>
                <w:sz w:val="24"/>
                <w:szCs w:val="24"/>
                <w:highlight w:val="none"/>
              </w:rPr>
            </w:pPr>
          </w:p>
        </w:tc>
        <w:tc>
          <w:tcPr>
            <w:tcW w:w="2181" w:type="dxa"/>
          </w:tcPr>
          <w:p w14:paraId="5A915266">
            <w:pPr>
              <w:pStyle w:val="23"/>
              <w:spacing w:line="600" w:lineRule="exact"/>
              <w:rPr>
                <w:rFonts w:hAnsi="宋体" w:cs="Courier New"/>
                <w:color w:val="auto"/>
                <w:kern w:val="2"/>
                <w:sz w:val="24"/>
                <w:szCs w:val="24"/>
                <w:highlight w:val="none"/>
              </w:rPr>
            </w:pPr>
          </w:p>
        </w:tc>
        <w:tc>
          <w:tcPr>
            <w:tcW w:w="1934" w:type="dxa"/>
          </w:tcPr>
          <w:p w14:paraId="20514E17">
            <w:pPr>
              <w:pStyle w:val="23"/>
              <w:spacing w:line="600" w:lineRule="exact"/>
              <w:rPr>
                <w:rFonts w:hAnsi="宋体" w:cs="Courier New"/>
                <w:color w:val="auto"/>
                <w:kern w:val="2"/>
                <w:sz w:val="24"/>
                <w:szCs w:val="24"/>
                <w:highlight w:val="none"/>
              </w:rPr>
            </w:pPr>
          </w:p>
        </w:tc>
      </w:tr>
    </w:tbl>
    <w:p w14:paraId="49897EA4">
      <w:pPr>
        <w:pStyle w:val="16"/>
        <w:spacing w:line="360" w:lineRule="auto"/>
        <w:contextualSpacing/>
        <w:rPr>
          <w:rFonts w:ascii="宋体" w:hAnsi="宋体"/>
          <w:color w:val="auto"/>
          <w:highlight w:val="none"/>
        </w:rPr>
      </w:pPr>
      <w:r>
        <w:rPr>
          <w:rFonts w:hint="eastAsia" w:ascii="宋体" w:hAnsi="宋体"/>
          <w:color w:val="auto"/>
          <w:highlight w:val="none"/>
        </w:rPr>
        <w:t>注：</w:t>
      </w:r>
    </w:p>
    <w:p w14:paraId="09DFF8AC">
      <w:pPr>
        <w:pStyle w:val="18"/>
        <w:spacing w:line="360" w:lineRule="auto"/>
        <w:ind w:firstLine="0" w:firstLineChars="0"/>
        <w:contextualSpacing/>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701ECE2D">
      <w:pPr>
        <w:pStyle w:val="16"/>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4FA1C5E">
      <w:pPr>
        <w:pStyle w:val="16"/>
        <w:spacing w:line="360" w:lineRule="auto"/>
        <w:contextualSpacing/>
        <w:rPr>
          <w:rFonts w:ascii="宋体" w:hAnsi="宋体"/>
          <w:color w:val="auto"/>
          <w:spacing w:val="20"/>
          <w:highlight w:val="none"/>
        </w:rPr>
      </w:pPr>
    </w:p>
    <w:p w14:paraId="1C739D1A">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54FE29">
      <w:pP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C13D24A">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450C57F">
      <w:pPr>
        <w:spacing w:line="360" w:lineRule="auto"/>
        <w:contextualSpacing/>
        <w:rPr>
          <w:rFonts w:ascii="宋体" w:hAnsi="宋体"/>
          <w:color w:val="auto"/>
          <w:spacing w:val="20"/>
          <w:sz w:val="24"/>
          <w:highlight w:val="none"/>
          <w:u w:val="single"/>
        </w:rPr>
      </w:pPr>
    </w:p>
    <w:p w14:paraId="12B28E93">
      <w:pPr>
        <w:spacing w:line="360" w:lineRule="auto"/>
        <w:contextualSpacing/>
        <w:rPr>
          <w:rFonts w:ascii="宋体" w:hAnsi="宋体"/>
          <w:color w:val="auto"/>
          <w:sz w:val="24"/>
          <w:szCs w:val="20"/>
          <w:highlight w:val="none"/>
        </w:rPr>
      </w:pPr>
    </w:p>
    <w:p w14:paraId="689F87C0">
      <w:pPr>
        <w:snapToGrid w:val="0"/>
        <w:spacing w:before="120" w:beforeLines="50" w:after="50"/>
        <w:ind w:left="142"/>
        <w:jc w:val="left"/>
        <w:outlineLvl w:val="2"/>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8. 项目实施人员一览表格式</w:t>
      </w:r>
    </w:p>
    <w:p w14:paraId="37CED05A">
      <w:pPr>
        <w:snapToGrid w:val="0"/>
        <w:spacing w:before="120" w:beforeLines="50" w:after="50"/>
        <w:ind w:left="142"/>
        <w:jc w:val="left"/>
        <w:rPr>
          <w:rFonts w:ascii="宋体" w:hAnsi="宋体"/>
          <w:b/>
          <w:color w:val="auto"/>
          <w:sz w:val="24"/>
          <w:highlight w:val="none"/>
        </w:rPr>
      </w:pPr>
    </w:p>
    <w:p w14:paraId="7810557B">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3DD77999">
      <w:pPr>
        <w:pStyle w:val="23"/>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67F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B04A6C">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8838A2B">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3CEC5E4F">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62E1EC85">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37DD29FC">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1718C128">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687B2745">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3C4F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5CF1A03">
            <w:pPr>
              <w:snapToGrid w:val="0"/>
              <w:spacing w:before="50" w:after="120" w:afterLines="50"/>
              <w:jc w:val="center"/>
              <w:rPr>
                <w:rFonts w:ascii="宋体" w:hAnsi="宋体"/>
                <w:color w:val="auto"/>
                <w:sz w:val="24"/>
                <w:szCs w:val="20"/>
                <w:highlight w:val="none"/>
              </w:rPr>
            </w:pPr>
          </w:p>
        </w:tc>
        <w:tc>
          <w:tcPr>
            <w:tcW w:w="709" w:type="dxa"/>
            <w:vAlign w:val="center"/>
          </w:tcPr>
          <w:p w14:paraId="72EF14FD">
            <w:pPr>
              <w:snapToGrid w:val="0"/>
              <w:spacing w:before="50" w:after="120" w:afterLines="50"/>
              <w:jc w:val="center"/>
              <w:rPr>
                <w:rFonts w:ascii="宋体" w:hAnsi="宋体"/>
                <w:color w:val="auto"/>
                <w:sz w:val="24"/>
                <w:szCs w:val="20"/>
                <w:highlight w:val="none"/>
              </w:rPr>
            </w:pPr>
          </w:p>
        </w:tc>
        <w:tc>
          <w:tcPr>
            <w:tcW w:w="1701" w:type="dxa"/>
            <w:vAlign w:val="center"/>
          </w:tcPr>
          <w:p w14:paraId="16061B23">
            <w:pPr>
              <w:snapToGrid w:val="0"/>
              <w:spacing w:before="50" w:after="120" w:afterLines="50"/>
              <w:jc w:val="center"/>
              <w:rPr>
                <w:rFonts w:ascii="宋体" w:hAnsi="宋体"/>
                <w:color w:val="auto"/>
                <w:sz w:val="24"/>
                <w:szCs w:val="20"/>
                <w:highlight w:val="none"/>
              </w:rPr>
            </w:pPr>
          </w:p>
        </w:tc>
        <w:tc>
          <w:tcPr>
            <w:tcW w:w="1420" w:type="dxa"/>
            <w:vAlign w:val="center"/>
          </w:tcPr>
          <w:p w14:paraId="1084F4E2">
            <w:pPr>
              <w:snapToGrid w:val="0"/>
              <w:spacing w:before="50" w:after="120" w:afterLines="50"/>
              <w:jc w:val="center"/>
              <w:rPr>
                <w:rFonts w:ascii="宋体" w:hAnsi="宋体"/>
                <w:color w:val="auto"/>
                <w:sz w:val="24"/>
                <w:szCs w:val="20"/>
                <w:highlight w:val="none"/>
              </w:rPr>
            </w:pPr>
          </w:p>
        </w:tc>
        <w:tc>
          <w:tcPr>
            <w:tcW w:w="1698" w:type="dxa"/>
            <w:vAlign w:val="center"/>
          </w:tcPr>
          <w:p w14:paraId="44544C5B">
            <w:pPr>
              <w:snapToGrid w:val="0"/>
              <w:spacing w:before="50" w:after="120" w:afterLines="50"/>
              <w:jc w:val="center"/>
              <w:rPr>
                <w:rFonts w:ascii="宋体" w:hAnsi="宋体"/>
                <w:color w:val="auto"/>
                <w:sz w:val="24"/>
                <w:szCs w:val="20"/>
                <w:highlight w:val="none"/>
              </w:rPr>
            </w:pPr>
          </w:p>
        </w:tc>
        <w:tc>
          <w:tcPr>
            <w:tcW w:w="1843" w:type="dxa"/>
            <w:vAlign w:val="center"/>
          </w:tcPr>
          <w:p w14:paraId="4885B931">
            <w:pPr>
              <w:snapToGrid w:val="0"/>
              <w:spacing w:before="50" w:after="120" w:afterLines="50"/>
              <w:jc w:val="center"/>
              <w:rPr>
                <w:rFonts w:ascii="宋体" w:hAnsi="宋体"/>
                <w:color w:val="auto"/>
                <w:sz w:val="24"/>
                <w:szCs w:val="20"/>
                <w:highlight w:val="none"/>
              </w:rPr>
            </w:pPr>
          </w:p>
        </w:tc>
      </w:tr>
      <w:tr w14:paraId="2C8A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1F505E">
            <w:pPr>
              <w:snapToGrid w:val="0"/>
              <w:spacing w:before="50" w:after="120" w:afterLines="50"/>
              <w:jc w:val="center"/>
              <w:rPr>
                <w:rFonts w:ascii="宋体" w:hAnsi="宋体"/>
                <w:color w:val="auto"/>
                <w:sz w:val="24"/>
                <w:szCs w:val="20"/>
                <w:highlight w:val="none"/>
              </w:rPr>
            </w:pPr>
          </w:p>
        </w:tc>
        <w:tc>
          <w:tcPr>
            <w:tcW w:w="709" w:type="dxa"/>
            <w:vAlign w:val="center"/>
          </w:tcPr>
          <w:p w14:paraId="43E11EB6">
            <w:pPr>
              <w:snapToGrid w:val="0"/>
              <w:spacing w:before="50" w:after="120" w:afterLines="50"/>
              <w:jc w:val="center"/>
              <w:rPr>
                <w:rFonts w:ascii="宋体" w:hAnsi="宋体"/>
                <w:color w:val="auto"/>
                <w:sz w:val="24"/>
                <w:szCs w:val="20"/>
                <w:highlight w:val="none"/>
              </w:rPr>
            </w:pPr>
          </w:p>
        </w:tc>
        <w:tc>
          <w:tcPr>
            <w:tcW w:w="1701" w:type="dxa"/>
            <w:vAlign w:val="center"/>
          </w:tcPr>
          <w:p w14:paraId="3CDD0A3B">
            <w:pPr>
              <w:snapToGrid w:val="0"/>
              <w:spacing w:before="50" w:after="120" w:afterLines="50"/>
              <w:jc w:val="center"/>
              <w:rPr>
                <w:rFonts w:ascii="宋体" w:hAnsi="宋体"/>
                <w:color w:val="auto"/>
                <w:sz w:val="24"/>
                <w:szCs w:val="20"/>
                <w:highlight w:val="none"/>
              </w:rPr>
            </w:pPr>
          </w:p>
        </w:tc>
        <w:tc>
          <w:tcPr>
            <w:tcW w:w="1420" w:type="dxa"/>
            <w:vAlign w:val="center"/>
          </w:tcPr>
          <w:p w14:paraId="0DBA3C3A">
            <w:pPr>
              <w:snapToGrid w:val="0"/>
              <w:spacing w:before="50" w:after="120" w:afterLines="50"/>
              <w:jc w:val="center"/>
              <w:rPr>
                <w:rFonts w:ascii="宋体" w:hAnsi="宋体"/>
                <w:color w:val="auto"/>
                <w:sz w:val="24"/>
                <w:szCs w:val="20"/>
                <w:highlight w:val="none"/>
              </w:rPr>
            </w:pPr>
          </w:p>
        </w:tc>
        <w:tc>
          <w:tcPr>
            <w:tcW w:w="1698" w:type="dxa"/>
            <w:vAlign w:val="center"/>
          </w:tcPr>
          <w:p w14:paraId="5A46C576">
            <w:pPr>
              <w:snapToGrid w:val="0"/>
              <w:spacing w:before="50" w:after="120" w:afterLines="50"/>
              <w:jc w:val="center"/>
              <w:rPr>
                <w:rFonts w:ascii="宋体" w:hAnsi="宋体"/>
                <w:color w:val="auto"/>
                <w:sz w:val="24"/>
                <w:szCs w:val="20"/>
                <w:highlight w:val="none"/>
              </w:rPr>
            </w:pPr>
          </w:p>
        </w:tc>
        <w:tc>
          <w:tcPr>
            <w:tcW w:w="1843" w:type="dxa"/>
            <w:vAlign w:val="center"/>
          </w:tcPr>
          <w:p w14:paraId="1916196A">
            <w:pPr>
              <w:snapToGrid w:val="0"/>
              <w:spacing w:before="50" w:after="120" w:afterLines="50"/>
              <w:jc w:val="center"/>
              <w:rPr>
                <w:rFonts w:ascii="宋体" w:hAnsi="宋体"/>
                <w:color w:val="auto"/>
                <w:sz w:val="24"/>
                <w:szCs w:val="20"/>
                <w:highlight w:val="none"/>
              </w:rPr>
            </w:pPr>
          </w:p>
        </w:tc>
      </w:tr>
      <w:tr w14:paraId="6490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6F3D0C">
            <w:pPr>
              <w:snapToGrid w:val="0"/>
              <w:spacing w:before="50" w:after="120" w:afterLines="50"/>
              <w:jc w:val="center"/>
              <w:rPr>
                <w:rFonts w:ascii="宋体" w:hAnsi="宋体"/>
                <w:color w:val="auto"/>
                <w:sz w:val="24"/>
                <w:szCs w:val="20"/>
                <w:highlight w:val="none"/>
              </w:rPr>
            </w:pPr>
          </w:p>
        </w:tc>
        <w:tc>
          <w:tcPr>
            <w:tcW w:w="709" w:type="dxa"/>
            <w:vAlign w:val="center"/>
          </w:tcPr>
          <w:p w14:paraId="5BB7A814">
            <w:pPr>
              <w:snapToGrid w:val="0"/>
              <w:spacing w:before="50" w:after="120" w:afterLines="50"/>
              <w:jc w:val="center"/>
              <w:rPr>
                <w:rFonts w:ascii="宋体" w:hAnsi="宋体"/>
                <w:color w:val="auto"/>
                <w:sz w:val="24"/>
                <w:szCs w:val="20"/>
                <w:highlight w:val="none"/>
              </w:rPr>
            </w:pPr>
          </w:p>
        </w:tc>
        <w:tc>
          <w:tcPr>
            <w:tcW w:w="1701" w:type="dxa"/>
            <w:vAlign w:val="center"/>
          </w:tcPr>
          <w:p w14:paraId="6578A526">
            <w:pPr>
              <w:snapToGrid w:val="0"/>
              <w:spacing w:before="50" w:after="120" w:afterLines="50"/>
              <w:jc w:val="center"/>
              <w:rPr>
                <w:rFonts w:ascii="宋体" w:hAnsi="宋体"/>
                <w:color w:val="auto"/>
                <w:sz w:val="24"/>
                <w:szCs w:val="20"/>
                <w:highlight w:val="none"/>
              </w:rPr>
            </w:pPr>
          </w:p>
        </w:tc>
        <w:tc>
          <w:tcPr>
            <w:tcW w:w="1420" w:type="dxa"/>
            <w:vAlign w:val="center"/>
          </w:tcPr>
          <w:p w14:paraId="5574FE3D">
            <w:pPr>
              <w:snapToGrid w:val="0"/>
              <w:spacing w:before="50" w:after="120" w:afterLines="50"/>
              <w:jc w:val="center"/>
              <w:rPr>
                <w:rFonts w:ascii="宋体" w:hAnsi="宋体"/>
                <w:color w:val="auto"/>
                <w:sz w:val="24"/>
                <w:szCs w:val="20"/>
                <w:highlight w:val="none"/>
              </w:rPr>
            </w:pPr>
          </w:p>
        </w:tc>
        <w:tc>
          <w:tcPr>
            <w:tcW w:w="1698" w:type="dxa"/>
            <w:vAlign w:val="center"/>
          </w:tcPr>
          <w:p w14:paraId="5E57139D">
            <w:pPr>
              <w:snapToGrid w:val="0"/>
              <w:spacing w:before="50" w:after="120" w:afterLines="50"/>
              <w:jc w:val="center"/>
              <w:rPr>
                <w:rFonts w:ascii="宋体" w:hAnsi="宋体"/>
                <w:color w:val="auto"/>
                <w:sz w:val="24"/>
                <w:szCs w:val="20"/>
                <w:highlight w:val="none"/>
              </w:rPr>
            </w:pPr>
          </w:p>
        </w:tc>
        <w:tc>
          <w:tcPr>
            <w:tcW w:w="1843" w:type="dxa"/>
            <w:vAlign w:val="center"/>
          </w:tcPr>
          <w:p w14:paraId="79E08C10">
            <w:pPr>
              <w:snapToGrid w:val="0"/>
              <w:spacing w:before="50" w:after="120" w:afterLines="50"/>
              <w:jc w:val="center"/>
              <w:rPr>
                <w:rFonts w:ascii="宋体" w:hAnsi="宋体"/>
                <w:color w:val="auto"/>
                <w:sz w:val="24"/>
                <w:szCs w:val="20"/>
                <w:highlight w:val="none"/>
              </w:rPr>
            </w:pPr>
          </w:p>
        </w:tc>
      </w:tr>
    </w:tbl>
    <w:p w14:paraId="3478CDBC">
      <w:pPr>
        <w:snapToGrid w:val="0"/>
        <w:spacing w:before="50" w:after="120" w:afterLines="50"/>
        <w:jc w:val="left"/>
        <w:rPr>
          <w:rFonts w:ascii="宋体" w:hAnsi="宋体"/>
          <w:color w:val="auto"/>
          <w:sz w:val="24"/>
          <w:szCs w:val="20"/>
          <w:highlight w:val="none"/>
        </w:rPr>
      </w:pPr>
    </w:p>
    <w:p w14:paraId="011830EA">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CA5C8B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5BF667A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2.投标人应当按采购需求要求和评分标准附上相关证书（如有）的复印件和相关证明材料并加盖投标人电子签章。</w:t>
      </w:r>
    </w:p>
    <w:p w14:paraId="38A5997A">
      <w:pPr>
        <w:spacing w:line="360" w:lineRule="auto"/>
        <w:contextualSpacing/>
        <w:jc w:val="left"/>
        <w:rPr>
          <w:rFonts w:ascii="宋体" w:hAnsi="宋体"/>
          <w:color w:val="auto"/>
          <w:sz w:val="24"/>
          <w:szCs w:val="20"/>
          <w:highlight w:val="none"/>
        </w:rPr>
      </w:pPr>
    </w:p>
    <w:p w14:paraId="04245BB2">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40DEF2">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3FB9505">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32DF5D7">
      <w:pPr>
        <w:spacing w:line="360" w:lineRule="auto"/>
        <w:contextualSpacing/>
        <w:jc w:val="left"/>
        <w:rPr>
          <w:rFonts w:ascii="宋体" w:hAnsi="宋体"/>
          <w:color w:val="auto"/>
          <w:sz w:val="24"/>
          <w:szCs w:val="20"/>
          <w:highlight w:val="none"/>
        </w:rPr>
      </w:pPr>
    </w:p>
    <w:p w14:paraId="526630C7">
      <w:pPr>
        <w:snapToGrid w:val="0"/>
        <w:spacing w:before="50" w:after="120" w:afterLines="50"/>
        <w:jc w:val="left"/>
        <w:rPr>
          <w:rFonts w:ascii="宋体" w:hAnsi="宋体"/>
          <w:color w:val="auto"/>
          <w:sz w:val="24"/>
          <w:szCs w:val="20"/>
          <w:highlight w:val="none"/>
        </w:rPr>
      </w:pPr>
    </w:p>
    <w:p w14:paraId="69256AAA">
      <w:pPr>
        <w:rPr>
          <w:rFonts w:ascii="宋体" w:hAnsi="宋体"/>
          <w:b/>
          <w:color w:val="auto"/>
          <w:sz w:val="24"/>
          <w:highlight w:val="none"/>
        </w:rPr>
      </w:pPr>
      <w:r>
        <w:rPr>
          <w:rFonts w:hint="eastAsia" w:ascii="宋体" w:hAnsi="宋体"/>
          <w:b/>
          <w:color w:val="auto"/>
          <w:sz w:val="24"/>
          <w:highlight w:val="none"/>
        </w:rPr>
        <w:br w:type="page"/>
      </w:r>
    </w:p>
    <w:p w14:paraId="7D90B393">
      <w:pPr>
        <w:outlineLvl w:val="2"/>
        <w:rPr>
          <w:rFonts w:ascii="方正小标宋简体" w:hAnsi="方正小标宋简体" w:eastAsia="方正小标宋简体" w:cs="方正小标宋简体"/>
          <w:bCs/>
          <w:color w:val="auto"/>
          <w:szCs w:val="21"/>
          <w:highlight w:val="none"/>
        </w:rPr>
      </w:pPr>
      <w:r>
        <w:rPr>
          <w:rFonts w:hint="eastAsia" w:ascii="宋体" w:hAnsi="宋体"/>
          <w:b/>
          <w:color w:val="auto"/>
          <w:sz w:val="24"/>
          <w:highlight w:val="none"/>
        </w:rPr>
        <w:t>9.代理服务费承诺书</w:t>
      </w:r>
    </w:p>
    <w:p w14:paraId="345400D9">
      <w:pPr>
        <w:snapToGrid w:val="0"/>
        <w:spacing w:before="120" w:beforeLines="50" w:after="50"/>
        <w:jc w:val="left"/>
        <w:rPr>
          <w:rFonts w:ascii="方正小标宋简体" w:hAnsi="方正小标宋简体" w:eastAsia="方正小标宋简体" w:cs="方正小标宋简体"/>
          <w:bCs/>
          <w:color w:val="auto"/>
          <w:szCs w:val="21"/>
          <w:highlight w:val="none"/>
        </w:rPr>
      </w:pPr>
    </w:p>
    <w:p w14:paraId="751C7432">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宋体" w:hAnsi="宋体" w:cs="宋体"/>
          <w:bCs/>
          <w:color w:val="auto"/>
          <w:sz w:val="44"/>
          <w:szCs w:val="44"/>
          <w:highlight w:val="none"/>
        </w:rPr>
        <w:t>代理服务费承诺书</w:t>
      </w:r>
    </w:p>
    <w:p w14:paraId="3E969DFC">
      <w:pPr>
        <w:snapToGrid w:val="0"/>
        <w:spacing w:before="120" w:beforeLines="50" w:after="50"/>
        <w:jc w:val="center"/>
        <w:rPr>
          <w:rFonts w:ascii="宋体" w:hAnsi="宋体"/>
          <w:b/>
          <w:color w:val="auto"/>
          <w:sz w:val="24"/>
          <w:highlight w:val="none"/>
        </w:rPr>
      </w:pPr>
    </w:p>
    <w:p w14:paraId="002E27EC">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42B77F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项目，在此说明如下：</w:t>
      </w:r>
    </w:p>
    <w:p w14:paraId="38F7BDB1">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w:t>
      </w:r>
    </w:p>
    <w:p w14:paraId="595265B4">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EAA409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3477B9E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14121DF">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FD7087">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16DB349E">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410F81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CBF08E">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AD26D3F">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F168F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C332F4E">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36EDC9F">
      <w:pPr>
        <w:spacing w:line="440" w:lineRule="exact"/>
        <w:rPr>
          <w:rFonts w:ascii="宋体" w:hAnsi="宋体"/>
          <w:color w:val="auto"/>
          <w:sz w:val="24"/>
          <w:highlight w:val="none"/>
        </w:rPr>
      </w:pPr>
    </w:p>
    <w:p w14:paraId="648748C5">
      <w:pPr>
        <w:spacing w:line="440" w:lineRule="exact"/>
        <w:rPr>
          <w:rFonts w:ascii="宋体" w:hAnsi="宋体"/>
          <w:color w:val="auto"/>
          <w:sz w:val="24"/>
          <w:highlight w:val="none"/>
        </w:rPr>
      </w:pPr>
    </w:p>
    <w:p w14:paraId="33A41D74">
      <w:pPr>
        <w:spacing w:line="440" w:lineRule="exact"/>
        <w:rPr>
          <w:rFonts w:ascii="宋体" w:hAnsi="宋体"/>
          <w:color w:val="auto"/>
          <w:sz w:val="24"/>
          <w:highlight w:val="none"/>
        </w:rPr>
      </w:pPr>
    </w:p>
    <w:p w14:paraId="6B7F35B2">
      <w:pPr>
        <w:snapToGrid w:val="0"/>
        <w:spacing w:line="360" w:lineRule="auto"/>
        <w:ind w:left="-2" w:leftChars="-1" w:right="-817" w:rightChars="-389" w:firstLine="1920" w:firstLineChars="800"/>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p>
    <w:p w14:paraId="0D5DAE76">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供应商公章（电子签章）：</w:t>
      </w:r>
      <w:r>
        <w:rPr>
          <w:rFonts w:hint="eastAsia" w:ascii="宋体" w:hAnsi="宋体"/>
          <w:color w:val="auto"/>
          <w:sz w:val="24"/>
          <w:highlight w:val="none"/>
          <w:u w:val="single"/>
        </w:rPr>
        <w:t xml:space="preserve">     </w:t>
      </w:r>
    </w:p>
    <w:p w14:paraId="5496324E">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7645DC">
      <w:pPr>
        <w:snapToGrid w:val="0"/>
        <w:spacing w:before="120" w:beforeLines="5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726B5319">
      <w:pPr>
        <w:snapToGrid w:val="0"/>
        <w:spacing w:before="120" w:beforeLines="50" w:after="50"/>
        <w:jc w:val="left"/>
        <w:outlineLvl w:val="2"/>
        <w:rPr>
          <w:rFonts w:ascii="宋体" w:hAnsi="宋体"/>
          <w:b/>
          <w:color w:val="auto"/>
          <w:sz w:val="24"/>
          <w:highlight w:val="none"/>
        </w:rPr>
      </w:pPr>
      <w:r>
        <w:rPr>
          <w:rFonts w:hint="eastAsia" w:ascii="宋体" w:hAnsi="宋体"/>
          <w:b/>
          <w:color w:val="auto"/>
          <w:sz w:val="24"/>
          <w:highlight w:val="none"/>
        </w:rPr>
        <w:t>10.投标人业绩证明材料</w:t>
      </w:r>
    </w:p>
    <w:p w14:paraId="71DF7594">
      <w:pPr>
        <w:pStyle w:val="34"/>
        <w:snapToGrid w:val="0"/>
        <w:ind w:left="480" w:hanging="480"/>
        <w:rPr>
          <w:rFonts w:ascii="宋体" w:hAnsi="宋体"/>
          <w:color w:val="auto"/>
          <w:sz w:val="24"/>
          <w:highlight w:val="none"/>
        </w:rPr>
      </w:pPr>
    </w:p>
    <w:p w14:paraId="3D326BC7">
      <w:pPr>
        <w:pStyle w:val="34"/>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5"/>
        <w:gridCol w:w="1856"/>
        <w:gridCol w:w="1856"/>
        <w:gridCol w:w="2994"/>
      </w:tblGrid>
      <w:tr w14:paraId="214B0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3108A13C">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46873A2">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3F13E49">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3C9BD6FB">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1592862D">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6B8D0009">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5C581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3A472DD">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8A87686">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39D76EA">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23AEF8B">
            <w:pPr>
              <w:jc w:val="left"/>
              <w:rPr>
                <w:rFonts w:ascii="宋体" w:hAnsi="宋体"/>
                <w:color w:val="auto"/>
                <w:sz w:val="24"/>
                <w:highlight w:val="none"/>
              </w:rPr>
            </w:pPr>
          </w:p>
        </w:tc>
      </w:tr>
      <w:tr w14:paraId="540BE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3CAB6B9B">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737D5E4">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630A7EB">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4231FA8">
            <w:pPr>
              <w:snapToGrid w:val="0"/>
              <w:spacing w:line="240" w:lineRule="exact"/>
              <w:jc w:val="left"/>
              <w:rPr>
                <w:rFonts w:ascii="宋体" w:hAnsi="宋体"/>
                <w:color w:val="auto"/>
                <w:sz w:val="24"/>
                <w:highlight w:val="none"/>
              </w:rPr>
            </w:pPr>
          </w:p>
        </w:tc>
      </w:tr>
      <w:tr w14:paraId="75BE2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2DD93A6">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05B1E7F">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87F300E">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9A250D8">
            <w:pPr>
              <w:snapToGrid w:val="0"/>
              <w:spacing w:before="50" w:after="120" w:afterLines="50" w:line="400" w:lineRule="exact"/>
              <w:jc w:val="left"/>
              <w:rPr>
                <w:rFonts w:ascii="宋体" w:hAnsi="宋体"/>
                <w:color w:val="auto"/>
                <w:sz w:val="24"/>
                <w:highlight w:val="none"/>
              </w:rPr>
            </w:pPr>
          </w:p>
        </w:tc>
      </w:tr>
      <w:tr w14:paraId="13EC0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69F1620">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B954951">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1B88070">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B044AD5">
            <w:pPr>
              <w:snapToGrid w:val="0"/>
              <w:spacing w:before="50" w:after="120" w:afterLines="50" w:line="400" w:lineRule="exact"/>
              <w:jc w:val="left"/>
              <w:rPr>
                <w:rFonts w:ascii="宋体" w:hAnsi="宋体"/>
                <w:color w:val="auto"/>
                <w:sz w:val="24"/>
                <w:highlight w:val="none"/>
              </w:rPr>
            </w:pPr>
          </w:p>
        </w:tc>
      </w:tr>
      <w:tr w14:paraId="2CC9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DACF7CD">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7B41C0A">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9C0AD29">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997E1B8">
            <w:pPr>
              <w:snapToGrid w:val="0"/>
              <w:spacing w:before="50" w:after="120" w:afterLines="50" w:line="400" w:lineRule="exact"/>
              <w:jc w:val="left"/>
              <w:rPr>
                <w:rFonts w:ascii="宋体" w:hAnsi="宋体"/>
                <w:color w:val="auto"/>
                <w:sz w:val="24"/>
                <w:highlight w:val="none"/>
              </w:rPr>
            </w:pPr>
          </w:p>
        </w:tc>
      </w:tr>
      <w:tr w14:paraId="60A66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535A90B">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D414DE0">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81A59BE">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57EB933">
            <w:pPr>
              <w:snapToGrid w:val="0"/>
              <w:spacing w:before="50" w:after="120" w:afterLines="50" w:line="400" w:lineRule="exact"/>
              <w:jc w:val="left"/>
              <w:rPr>
                <w:rFonts w:ascii="宋体" w:hAnsi="宋体"/>
                <w:color w:val="auto"/>
                <w:sz w:val="24"/>
                <w:highlight w:val="none"/>
              </w:rPr>
            </w:pPr>
          </w:p>
        </w:tc>
      </w:tr>
    </w:tbl>
    <w:p w14:paraId="7F33E8E5">
      <w:pPr>
        <w:pStyle w:val="14"/>
        <w:spacing w:before="0" w:after="0" w:line="360" w:lineRule="auto"/>
        <w:contextualSpacing/>
        <w:rPr>
          <w:rFonts w:ascii="宋体" w:hAnsi="宋体" w:eastAsia="宋体"/>
          <w:color w:val="auto"/>
          <w:sz w:val="24"/>
          <w:szCs w:val="24"/>
          <w:highlight w:val="none"/>
        </w:rPr>
      </w:pPr>
    </w:p>
    <w:p w14:paraId="761F6501">
      <w:pPr>
        <w:pStyle w:val="14"/>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9AC9A2D">
      <w:pPr>
        <w:pStyle w:val="14"/>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06FF938">
      <w:pPr>
        <w:spacing w:line="360" w:lineRule="auto"/>
        <w:ind w:left="5280" w:right="480" w:hanging="5280" w:hangingChars="2200"/>
        <w:contextualSpacing/>
        <w:jc w:val="left"/>
        <w:rPr>
          <w:rFonts w:ascii="宋体" w:hAnsi="宋体"/>
          <w:color w:val="auto"/>
          <w:sz w:val="24"/>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E9F7F3F">
      <w:pPr>
        <w:spacing w:line="360" w:lineRule="auto"/>
        <w:ind w:left="5280" w:right="480" w:hanging="5280" w:hangingChars="2200"/>
        <w:contextualSpacing/>
        <w:jc w:val="right"/>
        <w:rPr>
          <w:rFonts w:ascii="宋体" w:hAnsi="宋体"/>
          <w:color w:val="auto"/>
          <w:sz w:val="24"/>
          <w:szCs w:val="20"/>
          <w:highlight w:val="none"/>
        </w:rPr>
      </w:pPr>
      <w:r>
        <w:rPr>
          <w:rFonts w:hint="eastAsia" w:ascii="宋体" w:hAnsi="宋体"/>
          <w:color w:val="auto"/>
          <w:sz w:val="24"/>
          <w:highlight w:val="none"/>
        </w:rPr>
        <w:t xml:space="preserve">   年    月    日</w:t>
      </w:r>
    </w:p>
    <w:p w14:paraId="0D16E76F">
      <w:pPr>
        <w:rPr>
          <w:rFonts w:ascii="宋体" w:hAnsi="宋体"/>
          <w:b/>
          <w:color w:val="auto"/>
          <w:sz w:val="24"/>
          <w:highlight w:val="none"/>
        </w:rPr>
      </w:pPr>
      <w:r>
        <w:rPr>
          <w:rFonts w:ascii="宋体" w:hAnsi="宋体"/>
          <w:b/>
          <w:color w:val="auto"/>
          <w:sz w:val="24"/>
          <w:highlight w:val="none"/>
        </w:rPr>
        <w:br w:type="page"/>
      </w:r>
    </w:p>
    <w:p w14:paraId="49998292">
      <w:pPr>
        <w:snapToGrid w:val="0"/>
        <w:spacing w:before="120" w:beforeLines="50" w:after="50"/>
        <w:jc w:val="left"/>
        <w:outlineLvl w:val="2"/>
        <w:rPr>
          <w:rFonts w:ascii="宋体" w:hAnsi="宋体" w:cs="宋体"/>
          <w:b/>
          <w:color w:val="auto"/>
          <w:sz w:val="44"/>
          <w:szCs w:val="44"/>
          <w:highlight w:val="none"/>
        </w:rPr>
      </w:pPr>
      <w:r>
        <w:rPr>
          <w:rFonts w:hint="eastAsia" w:ascii="宋体" w:hAnsi="宋体"/>
          <w:b/>
          <w:color w:val="auto"/>
          <w:sz w:val="24"/>
          <w:highlight w:val="none"/>
        </w:rPr>
        <w:t>11.分包工作情况表</w:t>
      </w:r>
    </w:p>
    <w:p w14:paraId="21141812">
      <w:pPr>
        <w:adjustRightInd w:val="0"/>
        <w:snapToGrid w:val="0"/>
        <w:spacing w:line="30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分包工作情况表</w:t>
      </w:r>
    </w:p>
    <w:tbl>
      <w:tblPr>
        <w:tblStyle w:val="47"/>
        <w:tblW w:w="9439" w:type="dxa"/>
        <w:tblInd w:w="0" w:type="dxa"/>
        <w:tblLayout w:type="fixed"/>
        <w:tblCellMar>
          <w:top w:w="0" w:type="dxa"/>
          <w:left w:w="0" w:type="dxa"/>
          <w:bottom w:w="0" w:type="dxa"/>
          <w:right w:w="0" w:type="dxa"/>
        </w:tblCellMar>
      </w:tblPr>
      <w:tblGrid>
        <w:gridCol w:w="3424"/>
        <w:gridCol w:w="1560"/>
        <w:gridCol w:w="1995"/>
        <w:gridCol w:w="2460"/>
      </w:tblGrid>
      <w:tr w14:paraId="2A4F5FE5">
        <w:tblPrEx>
          <w:tblCellMar>
            <w:top w:w="0" w:type="dxa"/>
            <w:left w:w="0" w:type="dxa"/>
            <w:bottom w:w="0" w:type="dxa"/>
            <w:right w:w="0" w:type="dxa"/>
          </w:tblCellMar>
        </w:tblPrEx>
        <w:trPr>
          <w:trHeight w:val="410" w:hRule="atLeast"/>
        </w:trPr>
        <w:tc>
          <w:tcPr>
            <w:tcW w:w="3424" w:type="dxa"/>
            <w:tcBorders>
              <w:top w:val="single" w:color="auto" w:sz="12" w:space="0"/>
              <w:left w:val="single" w:color="auto" w:sz="12" w:space="0"/>
              <w:bottom w:val="single" w:color="auto" w:sz="8" w:space="0"/>
              <w:right w:val="single" w:color="auto" w:sz="8" w:space="0"/>
            </w:tcBorders>
            <w:vAlign w:val="center"/>
          </w:tcPr>
          <w:p w14:paraId="3CD60D5D">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分包单位名称</w:t>
            </w:r>
          </w:p>
        </w:tc>
        <w:tc>
          <w:tcPr>
            <w:tcW w:w="1560" w:type="dxa"/>
            <w:tcBorders>
              <w:top w:val="single" w:color="auto" w:sz="12" w:space="0"/>
              <w:left w:val="single" w:color="auto" w:sz="8" w:space="0"/>
              <w:bottom w:val="single" w:color="auto" w:sz="8" w:space="0"/>
              <w:right w:val="single" w:color="auto" w:sz="8" w:space="0"/>
            </w:tcBorders>
            <w:vAlign w:val="center"/>
          </w:tcPr>
          <w:p w14:paraId="69AC2DBF">
            <w:pPr>
              <w:pStyle w:val="151"/>
              <w:autoSpaceDE w:val="0"/>
              <w:autoSpaceDN w:val="0"/>
              <w:spacing w:line="520" w:lineRule="exact"/>
              <w:jc w:val="center"/>
              <w:rPr>
                <w:rFonts w:ascii="宋体" w:hAnsi="宋体"/>
                <w:color w:val="auto"/>
                <w:kern w:val="0"/>
                <w:sz w:val="24"/>
                <w:szCs w:val="24"/>
                <w:highlight w:val="none"/>
              </w:rPr>
            </w:pPr>
          </w:p>
        </w:tc>
        <w:tc>
          <w:tcPr>
            <w:tcW w:w="1995" w:type="dxa"/>
            <w:tcBorders>
              <w:top w:val="single" w:color="auto" w:sz="12" w:space="0"/>
              <w:left w:val="single" w:color="auto" w:sz="8" w:space="0"/>
              <w:bottom w:val="single" w:color="auto" w:sz="8" w:space="0"/>
              <w:right w:val="single" w:color="auto" w:sz="8" w:space="0"/>
            </w:tcBorders>
            <w:vAlign w:val="center"/>
          </w:tcPr>
          <w:p w14:paraId="3E93A395">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p>
        </w:tc>
        <w:tc>
          <w:tcPr>
            <w:tcW w:w="2460" w:type="dxa"/>
            <w:tcBorders>
              <w:top w:val="single" w:color="auto" w:sz="12" w:space="0"/>
              <w:left w:val="single" w:color="auto" w:sz="8" w:space="0"/>
              <w:bottom w:val="single" w:color="auto" w:sz="8" w:space="0"/>
              <w:right w:val="single" w:color="auto" w:sz="12" w:space="0"/>
            </w:tcBorders>
          </w:tcPr>
          <w:p w14:paraId="266CB439">
            <w:pPr>
              <w:pStyle w:val="151"/>
              <w:autoSpaceDE w:val="0"/>
              <w:autoSpaceDN w:val="0"/>
              <w:spacing w:line="520" w:lineRule="exact"/>
              <w:rPr>
                <w:rFonts w:ascii="宋体" w:hAnsi="宋体"/>
                <w:color w:val="auto"/>
                <w:kern w:val="0"/>
                <w:sz w:val="24"/>
                <w:szCs w:val="24"/>
                <w:highlight w:val="none"/>
              </w:rPr>
            </w:pPr>
          </w:p>
        </w:tc>
      </w:tr>
      <w:tr w14:paraId="41F09C86">
        <w:tblPrEx>
          <w:tblCellMar>
            <w:top w:w="0" w:type="dxa"/>
            <w:left w:w="0" w:type="dxa"/>
            <w:bottom w:w="0" w:type="dxa"/>
            <w:right w:w="0" w:type="dxa"/>
          </w:tblCellMar>
        </w:tblPrEx>
        <w:trPr>
          <w:trHeight w:val="422" w:hRule="atLeast"/>
        </w:trPr>
        <w:tc>
          <w:tcPr>
            <w:tcW w:w="3424" w:type="dxa"/>
            <w:tcBorders>
              <w:top w:val="single" w:color="auto" w:sz="8" w:space="0"/>
              <w:left w:val="single" w:color="auto" w:sz="12" w:space="0"/>
              <w:bottom w:val="single" w:color="auto" w:sz="8" w:space="0"/>
              <w:right w:val="single" w:color="auto" w:sz="8" w:space="0"/>
            </w:tcBorders>
            <w:vAlign w:val="center"/>
          </w:tcPr>
          <w:p w14:paraId="2EFAE487">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1560" w:type="dxa"/>
            <w:tcBorders>
              <w:top w:val="single" w:color="auto" w:sz="8" w:space="0"/>
              <w:left w:val="single" w:color="auto" w:sz="8" w:space="0"/>
              <w:bottom w:val="single" w:color="auto" w:sz="8" w:space="0"/>
              <w:right w:val="single" w:color="auto" w:sz="8" w:space="0"/>
            </w:tcBorders>
            <w:vAlign w:val="center"/>
          </w:tcPr>
          <w:p w14:paraId="64F1665D">
            <w:pPr>
              <w:pStyle w:val="151"/>
              <w:autoSpaceDE w:val="0"/>
              <w:autoSpaceDN w:val="0"/>
              <w:spacing w:line="520" w:lineRule="exact"/>
              <w:jc w:val="center"/>
              <w:rPr>
                <w:rFonts w:ascii="宋体" w:hAnsi="宋体"/>
                <w:color w:val="auto"/>
                <w:kern w:val="0"/>
                <w:sz w:val="24"/>
                <w:szCs w:val="24"/>
                <w:highlight w:val="none"/>
              </w:rPr>
            </w:pPr>
          </w:p>
        </w:tc>
        <w:tc>
          <w:tcPr>
            <w:tcW w:w="1995" w:type="dxa"/>
            <w:tcBorders>
              <w:top w:val="single" w:color="auto" w:sz="8" w:space="0"/>
              <w:left w:val="single" w:color="auto" w:sz="8" w:space="0"/>
              <w:bottom w:val="single" w:color="auto" w:sz="8" w:space="0"/>
              <w:right w:val="single" w:color="auto" w:sz="8" w:space="0"/>
            </w:tcBorders>
            <w:vAlign w:val="center"/>
          </w:tcPr>
          <w:p w14:paraId="53DE902C">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460" w:type="dxa"/>
            <w:tcBorders>
              <w:top w:val="single" w:color="auto" w:sz="8" w:space="0"/>
              <w:left w:val="single" w:color="auto" w:sz="8" w:space="0"/>
              <w:bottom w:val="single" w:color="auto" w:sz="8" w:space="0"/>
              <w:right w:val="single" w:color="auto" w:sz="12" w:space="0"/>
            </w:tcBorders>
          </w:tcPr>
          <w:p w14:paraId="2217C07B">
            <w:pPr>
              <w:pStyle w:val="151"/>
              <w:autoSpaceDE w:val="0"/>
              <w:autoSpaceDN w:val="0"/>
              <w:spacing w:line="520" w:lineRule="exact"/>
              <w:rPr>
                <w:rFonts w:ascii="宋体" w:hAnsi="宋体"/>
                <w:color w:val="auto"/>
                <w:kern w:val="0"/>
                <w:sz w:val="24"/>
                <w:szCs w:val="24"/>
                <w:highlight w:val="none"/>
              </w:rPr>
            </w:pPr>
          </w:p>
        </w:tc>
      </w:tr>
      <w:tr w14:paraId="323CEB17">
        <w:tblPrEx>
          <w:tblCellMar>
            <w:top w:w="0" w:type="dxa"/>
            <w:left w:w="0" w:type="dxa"/>
            <w:bottom w:w="0" w:type="dxa"/>
            <w:right w:w="0" w:type="dxa"/>
          </w:tblCellMar>
        </w:tblPrEx>
        <w:trPr>
          <w:trHeight w:val="695" w:hRule="atLeast"/>
        </w:trPr>
        <w:tc>
          <w:tcPr>
            <w:tcW w:w="3424" w:type="dxa"/>
            <w:tcBorders>
              <w:top w:val="single" w:color="auto" w:sz="8" w:space="0"/>
              <w:left w:val="single" w:color="auto" w:sz="12" w:space="0"/>
              <w:bottom w:val="single" w:color="auto" w:sz="8" w:space="0"/>
              <w:right w:val="single" w:color="auto" w:sz="8" w:space="0"/>
            </w:tcBorders>
          </w:tcPr>
          <w:p w14:paraId="1D205F18">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营业执照号码</w:t>
            </w:r>
          </w:p>
        </w:tc>
        <w:tc>
          <w:tcPr>
            <w:tcW w:w="1560" w:type="dxa"/>
            <w:tcBorders>
              <w:top w:val="single" w:color="auto" w:sz="8" w:space="0"/>
              <w:left w:val="single" w:color="auto" w:sz="8" w:space="0"/>
              <w:bottom w:val="single" w:color="auto" w:sz="8" w:space="0"/>
              <w:right w:val="single" w:color="auto" w:sz="8" w:space="0"/>
            </w:tcBorders>
          </w:tcPr>
          <w:p w14:paraId="405C3C97">
            <w:pPr>
              <w:pStyle w:val="151"/>
              <w:autoSpaceDE w:val="0"/>
              <w:autoSpaceDN w:val="0"/>
              <w:spacing w:line="520" w:lineRule="exact"/>
              <w:rPr>
                <w:rFonts w:ascii="宋体" w:hAnsi="宋体"/>
                <w:color w:val="auto"/>
                <w:kern w:val="0"/>
                <w:sz w:val="24"/>
                <w:szCs w:val="24"/>
                <w:highlight w:val="none"/>
              </w:rPr>
            </w:pPr>
          </w:p>
        </w:tc>
        <w:tc>
          <w:tcPr>
            <w:tcW w:w="1995" w:type="dxa"/>
            <w:tcBorders>
              <w:top w:val="single" w:color="auto" w:sz="8" w:space="0"/>
              <w:left w:val="single" w:color="auto" w:sz="8" w:space="0"/>
              <w:bottom w:val="single" w:color="auto" w:sz="8" w:space="0"/>
              <w:right w:val="single" w:color="auto" w:sz="8" w:space="0"/>
            </w:tcBorders>
            <w:vAlign w:val="center"/>
          </w:tcPr>
          <w:p w14:paraId="0C3C9EB7">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资质情况</w:t>
            </w:r>
          </w:p>
        </w:tc>
        <w:tc>
          <w:tcPr>
            <w:tcW w:w="2460" w:type="dxa"/>
            <w:tcBorders>
              <w:top w:val="single" w:color="auto" w:sz="8" w:space="0"/>
              <w:left w:val="single" w:color="auto" w:sz="8" w:space="0"/>
              <w:bottom w:val="single" w:color="auto" w:sz="8" w:space="0"/>
              <w:right w:val="single" w:color="auto" w:sz="12" w:space="0"/>
            </w:tcBorders>
          </w:tcPr>
          <w:p w14:paraId="7577F619">
            <w:pPr>
              <w:pStyle w:val="151"/>
              <w:autoSpaceDE w:val="0"/>
              <w:autoSpaceDN w:val="0"/>
              <w:spacing w:line="520" w:lineRule="exact"/>
              <w:rPr>
                <w:rFonts w:ascii="宋体" w:hAnsi="宋体"/>
                <w:color w:val="auto"/>
                <w:kern w:val="0"/>
                <w:sz w:val="24"/>
                <w:szCs w:val="24"/>
                <w:highlight w:val="none"/>
              </w:rPr>
            </w:pPr>
          </w:p>
        </w:tc>
      </w:tr>
      <w:tr w14:paraId="5A24AE1A">
        <w:tblPrEx>
          <w:tblCellMar>
            <w:top w:w="0" w:type="dxa"/>
            <w:left w:w="0" w:type="dxa"/>
            <w:bottom w:w="0" w:type="dxa"/>
            <w:right w:w="0" w:type="dxa"/>
          </w:tblCellMar>
        </w:tblPrEx>
        <w:trPr>
          <w:trHeight w:val="775" w:hRule="atLeast"/>
        </w:trPr>
        <w:tc>
          <w:tcPr>
            <w:tcW w:w="3424" w:type="dxa"/>
            <w:tcBorders>
              <w:top w:val="single" w:color="auto" w:sz="8" w:space="0"/>
              <w:left w:val="single" w:color="auto" w:sz="12" w:space="0"/>
              <w:bottom w:val="single" w:color="auto" w:sz="8" w:space="0"/>
              <w:right w:val="single" w:color="auto" w:sz="8" w:space="0"/>
            </w:tcBorders>
          </w:tcPr>
          <w:p w14:paraId="03AD6CA5">
            <w:pPr>
              <w:pStyle w:val="151"/>
              <w:autoSpaceDE w:val="0"/>
              <w:autoSpaceDN w:val="0"/>
              <w:spacing w:line="5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拟分包的任务</w:t>
            </w:r>
          </w:p>
        </w:tc>
        <w:tc>
          <w:tcPr>
            <w:tcW w:w="6015" w:type="dxa"/>
            <w:gridSpan w:val="3"/>
            <w:tcBorders>
              <w:top w:val="single" w:color="auto" w:sz="8" w:space="0"/>
              <w:left w:val="single" w:color="auto" w:sz="8" w:space="0"/>
              <w:bottom w:val="single" w:color="auto" w:sz="8" w:space="0"/>
              <w:right w:val="single" w:color="auto" w:sz="12" w:space="0"/>
            </w:tcBorders>
          </w:tcPr>
          <w:p w14:paraId="7084CB4A">
            <w:pPr>
              <w:pStyle w:val="151"/>
              <w:autoSpaceDE w:val="0"/>
              <w:autoSpaceDN w:val="0"/>
              <w:spacing w:line="5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p>
        </w:tc>
      </w:tr>
      <w:tr w14:paraId="6A30D5E2">
        <w:tblPrEx>
          <w:tblCellMar>
            <w:top w:w="0" w:type="dxa"/>
            <w:left w:w="0" w:type="dxa"/>
            <w:bottom w:w="0" w:type="dxa"/>
            <w:right w:w="0" w:type="dxa"/>
          </w:tblCellMar>
        </w:tblPrEx>
        <w:trPr>
          <w:trHeight w:val="994" w:hRule="atLeast"/>
        </w:trPr>
        <w:tc>
          <w:tcPr>
            <w:tcW w:w="3424" w:type="dxa"/>
            <w:tcBorders>
              <w:top w:val="single" w:color="auto" w:sz="8" w:space="0"/>
              <w:left w:val="single" w:color="auto" w:sz="12" w:space="0"/>
              <w:bottom w:val="single" w:color="auto" w:sz="12" w:space="0"/>
              <w:right w:val="single" w:color="auto" w:sz="8" w:space="0"/>
            </w:tcBorders>
            <w:vAlign w:val="center"/>
          </w:tcPr>
          <w:p w14:paraId="20173A31">
            <w:pPr>
              <w:pStyle w:val="151"/>
              <w:autoSpaceDE w:val="0"/>
              <w:autoSpaceDN w:val="0"/>
              <w:spacing w:line="5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分包单位完成类似工作任务的经历</w:t>
            </w:r>
          </w:p>
        </w:tc>
        <w:tc>
          <w:tcPr>
            <w:tcW w:w="6015" w:type="dxa"/>
            <w:gridSpan w:val="3"/>
            <w:tcBorders>
              <w:top w:val="single" w:color="auto" w:sz="8" w:space="0"/>
              <w:left w:val="single" w:color="auto" w:sz="8" w:space="0"/>
              <w:bottom w:val="single" w:color="auto" w:sz="12" w:space="0"/>
              <w:right w:val="single" w:color="auto" w:sz="12" w:space="0"/>
            </w:tcBorders>
          </w:tcPr>
          <w:p w14:paraId="7789DD81">
            <w:pPr>
              <w:pStyle w:val="151"/>
              <w:autoSpaceDE w:val="0"/>
              <w:autoSpaceDN w:val="0"/>
              <w:spacing w:line="520" w:lineRule="exact"/>
              <w:rPr>
                <w:rFonts w:ascii="宋体" w:hAnsi="宋体"/>
                <w:color w:val="auto"/>
                <w:kern w:val="0"/>
                <w:sz w:val="24"/>
                <w:szCs w:val="24"/>
                <w:highlight w:val="none"/>
              </w:rPr>
            </w:pPr>
          </w:p>
        </w:tc>
      </w:tr>
    </w:tbl>
    <w:p w14:paraId="192D04B6">
      <w:pPr>
        <w:pStyle w:val="151"/>
        <w:spacing w:line="520" w:lineRule="exact"/>
        <w:rPr>
          <w:rFonts w:ascii="宋体" w:hAnsi="宋体"/>
          <w:color w:val="auto"/>
          <w:sz w:val="24"/>
          <w:szCs w:val="24"/>
          <w:highlight w:val="none"/>
        </w:rPr>
      </w:pPr>
      <w:r>
        <w:rPr>
          <w:rFonts w:hint="eastAsia" w:ascii="宋体" w:hAnsi="宋体"/>
          <w:color w:val="auto"/>
          <w:sz w:val="24"/>
          <w:szCs w:val="24"/>
          <w:highlight w:val="none"/>
        </w:rPr>
        <w:t>注：①如无分包单位，则供应商应填写“无”；</w:t>
      </w:r>
    </w:p>
    <w:p w14:paraId="7DFDC0EC">
      <w:pPr>
        <w:spacing w:line="300" w:lineRule="auto"/>
        <w:rPr>
          <w:rFonts w:ascii="宋体" w:hAnsi="宋体" w:cs="宋体"/>
          <w:color w:val="auto"/>
          <w:sz w:val="28"/>
          <w:szCs w:val="28"/>
          <w:highlight w:val="none"/>
        </w:rPr>
      </w:pPr>
      <w:r>
        <w:rPr>
          <w:rFonts w:ascii="宋体" w:hAnsi="宋体"/>
          <w:color w:val="auto"/>
          <w:sz w:val="24"/>
          <w:highlight w:val="none"/>
        </w:rPr>
        <w:t>②</w:t>
      </w:r>
      <w:r>
        <w:rPr>
          <w:rFonts w:hint="eastAsia" w:ascii="宋体" w:hAnsi="宋体"/>
          <w:color w:val="auto"/>
          <w:spacing w:val="-2"/>
          <w:sz w:val="24"/>
          <w:highlight w:val="none"/>
        </w:rPr>
        <w:t>当有分包单位时填写本表，并在本表后应附分包单位的法人营业执照副本的复印件、资质证书副本(如有)的复印件。</w:t>
      </w:r>
      <w:r>
        <w:rPr>
          <w:rFonts w:hint="eastAsia" w:ascii="宋体" w:hAnsi="宋体" w:cs="宋体"/>
          <w:color w:val="auto"/>
          <w:sz w:val="28"/>
          <w:szCs w:val="28"/>
          <w:highlight w:val="none"/>
        </w:rPr>
        <w:t>”</w:t>
      </w:r>
    </w:p>
    <w:p w14:paraId="2095B523">
      <w:pPr>
        <w:spacing w:line="300" w:lineRule="auto"/>
        <w:rPr>
          <w:rFonts w:ascii="宋体" w:hAnsi="宋体" w:cs="宋体"/>
          <w:color w:val="auto"/>
          <w:sz w:val="28"/>
          <w:szCs w:val="28"/>
          <w:highlight w:val="none"/>
        </w:rPr>
      </w:pPr>
    </w:p>
    <w:p w14:paraId="6D42D538">
      <w:pPr>
        <w:snapToGrid w:val="0"/>
        <w:spacing w:before="50" w:after="50" w:line="520" w:lineRule="exact"/>
        <w:ind w:right="-817" w:rightChars="-389" w:firstLine="840" w:firstLineChars="400"/>
        <w:jc w:val="center"/>
        <w:rPr>
          <w:rFonts w:ascii="宋体" w:hAnsi="宋体" w:cs="宋体"/>
          <w:color w:val="auto"/>
          <w:szCs w:val="21"/>
          <w:highlight w:val="none"/>
        </w:rPr>
      </w:pPr>
      <w:r>
        <w:rPr>
          <w:rFonts w:hint="eastAsia" w:ascii="宋体" w:hAnsi="宋体" w:cs="宋体"/>
          <w:color w:val="auto"/>
          <w:szCs w:val="21"/>
          <w:highlight w:val="none"/>
        </w:rPr>
        <w:t>定代表人或委托代理人（签字或者电子签名）：</w:t>
      </w:r>
    </w:p>
    <w:p w14:paraId="558F170F">
      <w:pPr>
        <w:snapToGrid w:val="0"/>
        <w:spacing w:before="50" w:after="50" w:line="520" w:lineRule="exact"/>
        <w:ind w:right="-817" w:rightChars="-389" w:firstLine="2310" w:firstLineChars="1100"/>
        <w:jc w:val="center"/>
        <w:rPr>
          <w:rFonts w:ascii="宋体" w:hAnsi="宋体" w:cs="宋体"/>
          <w:color w:val="auto"/>
          <w:szCs w:val="21"/>
          <w:highlight w:val="none"/>
        </w:rPr>
      </w:pPr>
      <w:r>
        <w:rPr>
          <w:rFonts w:hint="eastAsia" w:ascii="宋体" w:hAnsi="宋体" w:cs="宋体"/>
          <w:color w:val="auto"/>
          <w:szCs w:val="21"/>
          <w:highlight w:val="none"/>
        </w:rPr>
        <w:t>供应商名称（盖公章）：</w:t>
      </w:r>
    </w:p>
    <w:p w14:paraId="1D1EC8C5">
      <w:pPr>
        <w:spacing w:line="360" w:lineRule="auto"/>
        <w:contextualSpacing/>
        <w:jc w:val="center"/>
        <w:rPr>
          <w:rFonts w:ascii="宋体" w:hAnsi="宋体"/>
          <w:color w:val="auto"/>
          <w:sz w:val="24"/>
          <w:highlight w:val="none"/>
        </w:rPr>
      </w:pPr>
      <w:r>
        <w:rPr>
          <w:rFonts w:hint="eastAsia" w:ascii="宋体" w:hAnsi="宋体" w:cs="宋体"/>
          <w:color w:val="auto"/>
          <w:szCs w:val="21"/>
          <w:highlight w:val="none"/>
        </w:rPr>
        <w:t>日期：   年   月   日</w:t>
      </w:r>
      <w:r>
        <w:rPr>
          <w:rFonts w:hint="eastAsia" w:ascii="宋体" w:hAnsi="宋体"/>
          <w:b/>
          <w:bCs/>
          <w:color w:val="auto"/>
          <w:sz w:val="24"/>
          <w:highlight w:val="none"/>
        </w:rPr>
        <w:br w:type="page"/>
      </w:r>
    </w:p>
    <w:p w14:paraId="4F2475EF">
      <w:pPr>
        <w:spacing w:line="360" w:lineRule="auto"/>
        <w:jc w:val="left"/>
        <w:outlineLvl w:val="2"/>
        <w:rPr>
          <w:rFonts w:ascii="宋体" w:hAnsi="宋体"/>
          <w:b/>
          <w:bCs/>
          <w:color w:val="auto"/>
          <w:sz w:val="32"/>
          <w:szCs w:val="32"/>
          <w:highlight w:val="none"/>
        </w:rPr>
      </w:pPr>
      <w:r>
        <w:rPr>
          <w:rFonts w:hint="eastAsia" w:ascii="宋体" w:hAnsi="宋体"/>
          <w:b/>
          <w:color w:val="auto"/>
          <w:sz w:val="24"/>
          <w:highlight w:val="none"/>
        </w:rPr>
        <w:t>质疑函（格式）</w:t>
      </w:r>
    </w:p>
    <w:p w14:paraId="2F0DA1DC">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宋体" w:hAnsi="宋体" w:cs="宋体"/>
          <w:color w:val="auto"/>
          <w:sz w:val="44"/>
          <w:szCs w:val="44"/>
          <w:highlight w:val="none"/>
        </w:rPr>
        <w:t>质疑函</w:t>
      </w:r>
      <w:r>
        <w:rPr>
          <w:rFonts w:hint="eastAsia" w:ascii="方正小标宋简体" w:hAnsi="方正小标宋简体" w:eastAsia="方正小标宋简体" w:cs="方正小标宋简体"/>
          <w:color w:val="auto"/>
          <w:sz w:val="44"/>
          <w:szCs w:val="44"/>
          <w:highlight w:val="none"/>
        </w:rPr>
        <w:t>（</w:t>
      </w:r>
      <w:r>
        <w:rPr>
          <w:rFonts w:hint="eastAsia" w:ascii="宋体" w:hAnsi="宋体" w:cs="宋体"/>
          <w:color w:val="auto"/>
          <w:sz w:val="44"/>
          <w:szCs w:val="44"/>
          <w:highlight w:val="none"/>
        </w:rPr>
        <w:t>格式</w:t>
      </w:r>
      <w:r>
        <w:rPr>
          <w:rFonts w:hint="eastAsia" w:ascii="方正小标宋简体" w:hAnsi="方正小标宋简体" w:eastAsia="方正小标宋简体" w:cs="方正小标宋简体"/>
          <w:color w:val="auto"/>
          <w:sz w:val="44"/>
          <w:szCs w:val="44"/>
          <w:highlight w:val="none"/>
        </w:rPr>
        <w:t>）</w:t>
      </w:r>
    </w:p>
    <w:p w14:paraId="723D4438">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2B967119">
      <w:pPr>
        <w:pStyle w:val="2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D36E8F9">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F822A27">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C5543D6">
      <w:pPr>
        <w:pStyle w:val="23"/>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D867B07">
      <w:pPr>
        <w:pStyle w:val="23"/>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3BCF35C">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EA21016">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44F38F26">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78AD0F6">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FCFC9AD">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3C3C6EF">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34F72FB5">
      <w:pPr>
        <w:pStyle w:val="23"/>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0698417C">
      <w:pPr>
        <w:pStyle w:val="23"/>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□招标过程   </w:t>
      </w:r>
    </w:p>
    <w:p w14:paraId="225BAF46">
      <w:pPr>
        <w:pStyle w:val="23"/>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□招标结果   </w:t>
      </w:r>
    </w:p>
    <w:p w14:paraId="7B15AD3B">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654B0E29">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0CD0B57">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0166391">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152DF68">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1C552251">
      <w:pPr>
        <w:pStyle w:val="23"/>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225ABCB5">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2187F6AB">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99AD521">
      <w:pPr>
        <w:pStyle w:val="23"/>
        <w:spacing w:line="360" w:lineRule="auto"/>
        <w:ind w:left="25" w:leftChars="12" w:firstLine="352" w:firstLineChars="147"/>
        <w:rPr>
          <w:rFonts w:hAnsi="宋体"/>
          <w:color w:val="auto"/>
          <w:sz w:val="24"/>
          <w:szCs w:val="24"/>
          <w:highlight w:val="none"/>
        </w:rPr>
      </w:pPr>
    </w:p>
    <w:p w14:paraId="5A998343">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2953F756">
      <w:pPr>
        <w:pStyle w:val="23"/>
        <w:spacing w:line="360" w:lineRule="auto"/>
        <w:ind w:left="25" w:leftChars="12" w:firstLine="352" w:firstLineChars="147"/>
        <w:rPr>
          <w:rFonts w:hAnsi="宋体"/>
          <w:color w:val="auto"/>
          <w:sz w:val="24"/>
          <w:szCs w:val="24"/>
          <w:highlight w:val="none"/>
        </w:rPr>
      </w:pPr>
    </w:p>
    <w:p w14:paraId="4C5BCEEE">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74EAE36">
      <w:pPr>
        <w:pStyle w:val="23"/>
        <w:snapToGrid w:val="0"/>
        <w:spacing w:line="360" w:lineRule="auto"/>
        <w:rPr>
          <w:rFonts w:hAnsi="宋体"/>
          <w:b/>
          <w:color w:val="auto"/>
          <w:sz w:val="24"/>
          <w:szCs w:val="24"/>
          <w:highlight w:val="none"/>
        </w:rPr>
      </w:pPr>
    </w:p>
    <w:p w14:paraId="3520F8C0">
      <w:pPr>
        <w:pStyle w:val="23"/>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65EB959">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345626F">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0C40C8">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DEB6BEF">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72AA3C47">
      <w:pPr>
        <w:pStyle w:val="23"/>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E01D54E">
      <w:pPr>
        <w:spacing w:line="460" w:lineRule="exact"/>
        <w:rPr>
          <w:rFonts w:eastAsia="隶书"/>
          <w:color w:val="auto"/>
          <w:sz w:val="44"/>
          <w:highlight w:val="none"/>
        </w:rPr>
      </w:pPr>
    </w:p>
    <w:p w14:paraId="2F429055">
      <w:pPr>
        <w:spacing w:line="360" w:lineRule="auto"/>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投诉书（格式）</w:t>
      </w:r>
    </w:p>
    <w:p w14:paraId="1A4417B8">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宋体" w:hAnsi="宋体" w:cs="宋体"/>
          <w:color w:val="auto"/>
          <w:sz w:val="44"/>
          <w:szCs w:val="44"/>
          <w:highlight w:val="none"/>
        </w:rPr>
        <w:t>投诉书</w:t>
      </w:r>
      <w:r>
        <w:rPr>
          <w:rFonts w:hint="eastAsia" w:ascii="方正小标宋简体" w:hAnsi="方正小标宋简体" w:eastAsia="方正小标宋简体" w:cs="方正小标宋简体"/>
          <w:color w:val="auto"/>
          <w:sz w:val="44"/>
          <w:szCs w:val="44"/>
          <w:highlight w:val="none"/>
        </w:rPr>
        <w:t>（</w:t>
      </w:r>
      <w:r>
        <w:rPr>
          <w:rFonts w:hint="eastAsia" w:ascii="宋体" w:hAnsi="宋体" w:cs="宋体"/>
          <w:color w:val="auto"/>
          <w:sz w:val="44"/>
          <w:szCs w:val="44"/>
          <w:highlight w:val="none"/>
        </w:rPr>
        <w:t>格式</w:t>
      </w:r>
      <w:r>
        <w:rPr>
          <w:rFonts w:hint="eastAsia" w:ascii="方正小标宋简体" w:hAnsi="方正小标宋简体" w:eastAsia="方正小标宋简体" w:cs="方正小标宋简体"/>
          <w:color w:val="auto"/>
          <w:sz w:val="44"/>
          <w:szCs w:val="44"/>
          <w:highlight w:val="none"/>
        </w:rPr>
        <w:t>）</w:t>
      </w:r>
    </w:p>
    <w:p w14:paraId="35EDB694">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36C57B2">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689419">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879D57">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70A1161">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94A56B">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9275862">
      <w:pPr>
        <w:pStyle w:val="23"/>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BF4EF25">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B005863">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429D87E8">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A14A0E5">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DDBCF1">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B9B38F7">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5AC8D89E">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0BC908EA">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552198C">
      <w:pPr>
        <w:pStyle w:val="23"/>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491DD14">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63A64B">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37FE216">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5BF67DA0">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30FFB86B">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547069F">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C23A8BF">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B1C34B9">
      <w:pPr>
        <w:pStyle w:val="23"/>
        <w:spacing w:line="360" w:lineRule="auto"/>
        <w:ind w:left="25" w:leftChars="12" w:firstLine="472" w:firstLineChars="197"/>
        <w:rPr>
          <w:rFonts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770DE2F1">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3B64A4B">
      <w:pPr>
        <w:pStyle w:val="23"/>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5F609C8">
      <w:pPr>
        <w:pStyle w:val="23"/>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BAE87EF">
      <w:pPr>
        <w:pStyle w:val="23"/>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DED25B7">
      <w:pPr>
        <w:pStyle w:val="23"/>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AC97D9C">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3BD143D">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2867CCE">
      <w:pPr>
        <w:pStyle w:val="23"/>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5F0FA2F">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47AAF3DE">
      <w:pPr>
        <w:pStyle w:val="23"/>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F283D5C">
      <w:pPr>
        <w:pStyle w:val="23"/>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2B12B7A">
      <w:pPr>
        <w:pStyle w:val="23"/>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3238C53">
      <w:pPr>
        <w:pStyle w:val="23"/>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F1DAE91">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3FF4C12A">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43B15A0">
      <w:pPr>
        <w:pStyle w:val="23"/>
        <w:spacing w:line="360" w:lineRule="auto"/>
        <w:ind w:left="25" w:leftChars="12" w:firstLine="352" w:firstLineChars="147"/>
        <w:rPr>
          <w:rFonts w:hAnsi="宋体"/>
          <w:color w:val="auto"/>
          <w:sz w:val="24"/>
          <w:szCs w:val="24"/>
          <w:highlight w:val="none"/>
        </w:rPr>
      </w:pPr>
    </w:p>
    <w:p w14:paraId="05A0F860">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F7BEDB1">
      <w:pPr>
        <w:pStyle w:val="23"/>
        <w:spacing w:line="360" w:lineRule="auto"/>
        <w:ind w:left="25" w:leftChars="12" w:firstLine="352" w:firstLineChars="147"/>
        <w:rPr>
          <w:rFonts w:hAnsi="宋体"/>
          <w:color w:val="auto"/>
          <w:sz w:val="24"/>
          <w:szCs w:val="24"/>
          <w:highlight w:val="none"/>
        </w:rPr>
      </w:pPr>
    </w:p>
    <w:p w14:paraId="6D453145">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0F831432">
      <w:pPr>
        <w:pStyle w:val="23"/>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07FECEBC">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D29FE1E">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D5CD075">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04F49032">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4AC49DE">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3AC5541B">
      <w:pPr>
        <w:pStyle w:val="23"/>
        <w:spacing w:line="360" w:lineRule="auto"/>
        <w:ind w:left="25" w:leftChars="12" w:firstLine="354" w:firstLineChars="147"/>
        <w:rPr>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DFE0A2-7A63-40B1-B17B-D58C1739D749}"/>
  </w:font>
  <w:font w:name="黑体">
    <w:panose1 w:val="02010609060101010101"/>
    <w:charset w:val="86"/>
    <w:family w:val="auto"/>
    <w:pitch w:val="default"/>
    <w:sig w:usb0="800002BF" w:usb1="38CF7CFA" w:usb2="00000016" w:usb3="00000000" w:csb0="00040001" w:csb1="00000000"/>
    <w:embedRegular r:id="rId2" w:fontKey="{2824A663-9ECB-4D3C-92F0-98879AF6A09C}"/>
  </w:font>
  <w:font w:name="Courier New">
    <w:panose1 w:val="02070309020205020404"/>
    <w:charset w:val="01"/>
    <w:family w:val="modern"/>
    <w:pitch w:val="default"/>
    <w:sig w:usb0="E0002EFF" w:usb1="C0007843" w:usb2="00000009" w:usb3="00000000" w:csb0="400001FF" w:csb1="FFFF0000"/>
    <w:embedRegular r:id="rId3" w:fontKey="{076F7926-507E-4440-AAEE-705145A6E3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60A6C00-72C5-4CAB-832E-E1E2467A261A}"/>
  </w:font>
  <w:font w:name="仿宋_GB2312">
    <w:panose1 w:val="02010609030101010101"/>
    <w:charset w:val="86"/>
    <w:family w:val="modern"/>
    <w:pitch w:val="default"/>
    <w:sig w:usb0="00000001" w:usb1="080E0000" w:usb2="00000000" w:usb3="00000000" w:csb0="00040000" w:csb1="00000000"/>
    <w:embedRegular r:id="rId5" w:fontKey="{5F6D4ED1-52F0-47FB-AD6F-70111CE3C28D}"/>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embedRegular r:id="rId6" w:fontKey="{A000B7F3-FEA3-4A7E-81DC-32888124E29A}"/>
  </w:font>
  <w:font w:name="Century">
    <w:altName w:val="Times New Roman"/>
    <w:panose1 w:val="02040604050505020304"/>
    <w:charset w:val="00"/>
    <w:family w:val="roman"/>
    <w:pitch w:val="default"/>
    <w:sig w:usb0="00000000" w:usb1="00000000" w:usb2="00000000" w:usb3="00000000" w:csb0="0000009F" w:csb1="00000000"/>
  </w:font>
  <w:font w:name="Helvetica">
    <w:panose1 w:val="020B0504020202030204"/>
    <w:charset w:val="00"/>
    <w:family w:val="swiss"/>
    <w:pitch w:val="default"/>
    <w:sig w:usb0="00000007" w:usb1="00000000" w:usb2="00000000" w:usb3="00000000" w:csb0="00000093" w:csb1="00000000"/>
  </w:font>
  <w:font w:name="方正小标宋简体">
    <w:panose1 w:val="02010600010101010101"/>
    <w:charset w:val="86"/>
    <w:family w:val="auto"/>
    <w:pitch w:val="default"/>
    <w:sig w:usb0="00000001" w:usb1="080E0000" w:usb2="00000000" w:usb3="00000000" w:csb0="00040000" w:csb1="00000000"/>
    <w:embedRegular r:id="rId7" w:fontKey="{775117CC-2679-460E-AE68-9F3FAACD7E3A}"/>
  </w:font>
  <w:font w:name="华文新魏">
    <w:panose1 w:val="02010800040101010101"/>
    <w:charset w:val="86"/>
    <w:family w:val="auto"/>
    <w:pitch w:val="default"/>
    <w:sig w:usb0="00000001" w:usb1="080F0000" w:usb2="00000000" w:usb3="00000000" w:csb0="00040000" w:csb1="00000000"/>
    <w:embedRegular r:id="rId8" w:fontKey="{286874E7-48E2-4E8B-B564-E1FF22B49F69}"/>
  </w:font>
  <w:font w:name="等线">
    <w:panose1 w:val="02010600030101010101"/>
    <w:charset w:val="86"/>
    <w:family w:val="auto"/>
    <w:pitch w:val="default"/>
    <w:sig w:usb0="A00002BF" w:usb1="38CF7CFA" w:usb2="00000016" w:usb3="00000000" w:csb0="0004000F" w:csb1="00000000"/>
    <w:embedRegular r:id="rId9" w:fontKey="{4DB801E5-D737-4D8E-9B3C-626D457E90F6}"/>
  </w:font>
  <w:font w:name="微软雅黑">
    <w:panose1 w:val="020B0503020204020204"/>
    <w:charset w:val="86"/>
    <w:family w:val="swiss"/>
    <w:pitch w:val="default"/>
    <w:sig w:usb0="80000287" w:usb1="2ACF3C50" w:usb2="00000016" w:usb3="00000000" w:csb0="0004001F" w:csb1="00000000"/>
    <w:embedRegular r:id="rId10" w:fontKey="{440952DB-718D-49ED-B2F8-AAD928ACDD70}"/>
  </w:font>
  <w:font w:name="MS Mincho">
    <w:altName w:val="MS Gothic"/>
    <w:panose1 w:val="02020609040205080304"/>
    <w:charset w:val="80"/>
    <w:family w:val="roman"/>
    <w:pitch w:val="default"/>
    <w:sig w:usb0="00000000" w:usb1="00000000" w:usb2="00000010" w:usb3="00000000" w:csb0="00020000" w:csb1="00000000"/>
    <w:embedRegular r:id="rId11" w:fontKey="{C381388D-BD27-4951-9EB0-83356C967EFA}"/>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embedRegular r:id="rId12" w:fontKey="{9E7ADF52-025A-4363-A787-F3880A25191B}"/>
  </w:font>
  <w:font w:name="隶书">
    <w:altName w:val="微软雅黑"/>
    <w:panose1 w:val="02010509060101010101"/>
    <w:charset w:val="86"/>
    <w:family w:val="modern"/>
    <w:pitch w:val="default"/>
    <w:sig w:usb0="00000000" w:usb1="00000000" w:usb2="00000010" w:usb3="00000000" w:csb0="00040000" w:csb1="00000000"/>
    <w:embedRegular r:id="rId13" w:fontKey="{5E9DB33A-AD9E-4FD3-AC2A-711CA61EAD4E}"/>
  </w:font>
  <w:font w:name="WPSEMBED23">
    <w:panose1 w:val="02010800040101010101"/>
    <w:charset w:val="86"/>
    <w:family w:val="auto"/>
    <w:pitch w:val="default"/>
    <w:sig w:usb0="00000001" w:usb1="080F0000" w:usb2="00000000" w:usb3="00000000" w:csb0="00040000" w:csb1="00000000"/>
  </w:font>
  <w:font w:name="WPSEMBED2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72F7C">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87A063">
                          <w:pPr>
                            <w:pStyle w:val="29"/>
                          </w:pPr>
                          <w:r>
                            <w:fldChar w:fldCharType="begin"/>
                          </w:r>
                          <w:r>
                            <w:instrText xml:space="preserve"> PAGE  \* MERGEFORMAT </w:instrText>
                          </w:r>
                          <w:r>
                            <w:fldChar w:fldCharType="separate"/>
                          </w:r>
                          <w:r>
                            <w:t>59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D87A063">
                    <w:pPr>
                      <w:pStyle w:val="29"/>
                    </w:pPr>
                    <w:r>
                      <w:fldChar w:fldCharType="begin"/>
                    </w:r>
                    <w:r>
                      <w:instrText xml:space="preserve"> PAGE  \* MERGEFORMAT </w:instrText>
                    </w:r>
                    <w:r>
                      <w:fldChar w:fldCharType="separate"/>
                    </w:r>
                    <w:r>
                      <w:t>59</w:t>
                    </w:r>
                    <w:r>
                      <w:fldChar w:fldCharType="end"/>
                    </w:r>
                  </w:p>
                </w:txbxContent>
              </v:textbox>
            </v:shape>
          </w:pict>
        </mc:Fallback>
      </mc:AlternateContent>
    </w:r>
  </w:p>
  <w:p w14:paraId="75EF5ABA">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B649">
    <w:pPr>
      <w:pStyle w:val="29"/>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910D1">
                          <w:pPr>
                            <w:pStyle w:val="29"/>
                          </w:pPr>
                          <w:r>
                            <w:fldChar w:fldCharType="begin"/>
                          </w:r>
                          <w:r>
                            <w:instrText xml:space="preserve"> PAGE  \* MERGEFORMAT </w:instrText>
                          </w:r>
                          <w:r>
                            <w:fldChar w:fldCharType="separate"/>
                          </w:r>
                          <w:r>
                            <w:t>133</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wSj9iwwEAAJADAAAOAAAAAAAAAAEAIAAAAB4BAABkcnMvZTJvRG9jLnhtbFBL&#10;BQYAAAAABgAGAFkBAABTBQAAAAA=&#10;">
              <v:fill on="f" focussize="0,0"/>
              <v:stroke on="f"/>
              <v:imagedata o:title=""/>
              <o:lock v:ext="edit" aspectratio="f"/>
              <v:textbox inset="0mm,0mm,0mm,0mm" style="mso-fit-shape-to-text:t;">
                <w:txbxContent>
                  <w:p w14:paraId="208910D1">
                    <w:pPr>
                      <w:pStyle w:val="29"/>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C1B0C">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E4A31">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40E4A31">
                    <w:pPr>
                      <w:pStyle w:val="29"/>
                    </w:pPr>
                    <w:r>
                      <w:fldChar w:fldCharType="begin"/>
                    </w:r>
                    <w:r>
                      <w:instrText xml:space="preserve"> PAGE  \* MERGEFORMAT </w:instrText>
                    </w:r>
                    <w:r>
                      <w:fldChar w:fldCharType="separate"/>
                    </w:r>
                    <w:r>
                      <w:t>27</w:t>
                    </w:r>
                    <w:r>
                      <w:fldChar w:fldCharType="end"/>
                    </w:r>
                  </w:p>
                </w:txbxContent>
              </v:textbox>
            </v:shape>
          </w:pict>
        </mc:Fallback>
      </mc:AlternateContent>
    </w:r>
  </w:p>
  <w:p w14:paraId="32C8165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4EC1">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6310D">
                          <w:pPr>
                            <w:pStyle w:val="29"/>
                            <w:rPr>
                              <w:rStyle w:val="52"/>
                            </w:rPr>
                          </w:pPr>
                          <w:r>
                            <w:fldChar w:fldCharType="begin"/>
                          </w:r>
                          <w:r>
                            <w:rPr>
                              <w:rStyle w:val="52"/>
                            </w:rPr>
                            <w:instrText xml:space="preserve">PAGE  </w:instrText>
                          </w:r>
                          <w:r>
                            <w:fldChar w:fldCharType="separate"/>
                          </w:r>
                          <w:r>
                            <w:rPr>
                              <w:rStyle w:val="52"/>
                            </w:rPr>
                            <w:t>104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BE6310D">
                    <w:pPr>
                      <w:pStyle w:val="29"/>
                      <w:rPr>
                        <w:rStyle w:val="52"/>
                      </w:rPr>
                    </w:pPr>
                    <w:r>
                      <w:fldChar w:fldCharType="begin"/>
                    </w:r>
                    <w:r>
                      <w:rPr>
                        <w:rStyle w:val="52"/>
                      </w:rPr>
                      <w:instrText xml:space="preserve">PAGE  </w:instrText>
                    </w:r>
                    <w:r>
                      <w:fldChar w:fldCharType="separate"/>
                    </w:r>
                    <w:r>
                      <w:rPr>
                        <w:rStyle w:val="52"/>
                      </w:rPr>
                      <w:t>104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8E52">
    <w:pPr>
      <w:pStyle w:val="29"/>
      <w:framePr w:wrap="around" w:vAnchor="text" w:hAnchor="margin" w:xAlign="center" w:y="1"/>
      <w:rPr>
        <w:rStyle w:val="52"/>
      </w:rPr>
    </w:pPr>
    <w:r>
      <w:fldChar w:fldCharType="begin"/>
    </w:r>
    <w:r>
      <w:rPr>
        <w:rStyle w:val="52"/>
      </w:rPr>
      <w:instrText xml:space="preserve">PAGE  </w:instrText>
    </w:r>
    <w:r>
      <w:fldChar w:fldCharType="end"/>
    </w:r>
  </w:p>
  <w:p w14:paraId="3775F345">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FE16">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24055">
                          <w:pPr>
                            <w:pStyle w:val="29"/>
                          </w:pPr>
                          <w:r>
                            <w:fldChar w:fldCharType="begin"/>
                          </w:r>
                          <w:r>
                            <w:instrText xml:space="preserve"> PAGE  \* MERGEFORMAT </w:instrText>
                          </w:r>
                          <w:r>
                            <w:fldChar w:fldCharType="separate"/>
                          </w:r>
                          <w:r>
                            <w:t>132</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ixA+bwwEAAJADAAAOAAAAAAAAAAEAIAAAAB4BAABkcnMvZTJvRG9jLnhtbFBL&#10;BQYAAAAABgAGAFkBAABTBQAAAAA=&#10;">
              <v:fill on="f" focussize="0,0"/>
              <v:stroke on="f"/>
              <v:imagedata o:title=""/>
              <o:lock v:ext="edit" aspectratio="f"/>
              <v:textbox inset="0mm,0mm,0mm,0mm" style="mso-fit-shape-to-text:t;">
                <w:txbxContent>
                  <w:p w14:paraId="05624055">
                    <w:pPr>
                      <w:pStyle w:val="29"/>
                    </w:pPr>
                    <w:r>
                      <w:fldChar w:fldCharType="begin"/>
                    </w:r>
                    <w:r>
                      <w:instrText xml:space="preserve"> PAGE  \* MERGEFORMAT </w:instrText>
                    </w:r>
                    <w:r>
                      <w:fldChar w:fldCharType="separate"/>
                    </w:r>
                    <w:r>
                      <w:t>132</w:t>
                    </w:r>
                    <w:r>
                      <w:fldChar w:fldCharType="end"/>
                    </w:r>
                  </w:p>
                </w:txbxContent>
              </v:textbox>
            </v:shape>
          </w:pict>
        </mc:Fallback>
      </mc:AlternateContent>
    </w:r>
  </w:p>
  <w:p w14:paraId="5871C7F8">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47FA">
    <w:pPr>
      <w:pStyle w:val="29"/>
      <w:framePr w:wrap="around" w:vAnchor="text" w:hAnchor="margin" w:xAlign="center" w:y="1"/>
      <w:rPr>
        <w:rStyle w:val="52"/>
      </w:rPr>
    </w:pPr>
    <w:r>
      <w:fldChar w:fldCharType="begin"/>
    </w:r>
    <w:r>
      <w:rPr>
        <w:rStyle w:val="52"/>
      </w:rPr>
      <w:instrText xml:space="preserve">PAGE  </w:instrText>
    </w:r>
    <w:r>
      <w:fldChar w:fldCharType="end"/>
    </w:r>
  </w:p>
  <w:p w14:paraId="27D274BD">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A8B2">
    <w:pPr>
      <w:pStyle w:val="29"/>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7BCA7F30">
    <w:pPr>
      <w:pStyle w:val="29"/>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7B53">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F5AED">
                          <w:pPr>
                            <w:pStyle w:val="29"/>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138</w:t>
                          </w:r>
                          <w:r>
                            <w:rPr>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8EF5AED">
                    <w:pPr>
                      <w:pStyle w:val="29"/>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138</w:t>
                    </w:r>
                    <w:r>
                      <w:rPr>
                        <w:sz w:val="16"/>
                        <w:szCs w:val="16"/>
                      </w:rPr>
                      <w:fldChar w:fldCharType="end"/>
                    </w:r>
                  </w:p>
                </w:txbxContent>
              </v:textbox>
            </v:shape>
          </w:pict>
        </mc:Fallback>
      </mc:AlternateContent>
    </w:r>
  </w:p>
  <w:p w14:paraId="559060B1">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03A6">
    <w:pPr>
      <w:pStyle w:val="29"/>
      <w:framePr w:wrap="around" w:vAnchor="text" w:hAnchor="margin" w:xAlign="center" w:y="1"/>
      <w:rPr>
        <w:rStyle w:val="52"/>
      </w:rPr>
    </w:pPr>
    <w:r>
      <w:fldChar w:fldCharType="begin"/>
    </w:r>
    <w:r>
      <w:rPr>
        <w:rStyle w:val="52"/>
      </w:rPr>
      <w:instrText xml:space="preserve">PAGE  </w:instrText>
    </w:r>
    <w:r>
      <w:fldChar w:fldCharType="end"/>
    </w:r>
  </w:p>
  <w:p w14:paraId="4CCD56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DBE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50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C0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DD2B">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0B7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C1C38"/>
    <w:multiLevelType w:val="singleLevel"/>
    <w:tmpl w:val="B9EC1C38"/>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ZjUyYTc5YzM4OTI2MGM5Mzg0NzRlMzgyMzk0ODE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69D"/>
    <w:rsid w:val="000317A5"/>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1A76"/>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9C4"/>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88F"/>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0B70"/>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5D9"/>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2FE5"/>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789"/>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87D98"/>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51E"/>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739"/>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6DC0"/>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6DA"/>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AF"/>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1CE4"/>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3B64"/>
    <w:rsid w:val="003B4494"/>
    <w:rsid w:val="003B4EB0"/>
    <w:rsid w:val="003B5F6A"/>
    <w:rsid w:val="003B6B7F"/>
    <w:rsid w:val="003B7820"/>
    <w:rsid w:val="003C01A4"/>
    <w:rsid w:val="003C0219"/>
    <w:rsid w:val="003C07FE"/>
    <w:rsid w:val="003C0C12"/>
    <w:rsid w:val="003C125F"/>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6C40"/>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1FE7"/>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DAD"/>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8CC"/>
    <w:rsid w:val="00431EBC"/>
    <w:rsid w:val="0043227C"/>
    <w:rsid w:val="004335C0"/>
    <w:rsid w:val="00433AFC"/>
    <w:rsid w:val="00434193"/>
    <w:rsid w:val="00435068"/>
    <w:rsid w:val="00435520"/>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788"/>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4EE"/>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26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A44"/>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2E8"/>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8B4"/>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C6"/>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247F"/>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C29"/>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3D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6094"/>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3DD"/>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0F17"/>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37A"/>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80B"/>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92A"/>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3CA"/>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2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4CF1"/>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2E89"/>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061F"/>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2CA5"/>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1DE"/>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D91"/>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5FF8"/>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681"/>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2CD7"/>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0D6E"/>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707"/>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04F4"/>
    <w:rsid w:val="00AA1044"/>
    <w:rsid w:val="00AA10B1"/>
    <w:rsid w:val="00AA239B"/>
    <w:rsid w:val="00AA2803"/>
    <w:rsid w:val="00AA297E"/>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402"/>
    <w:rsid w:val="00B23F7A"/>
    <w:rsid w:val="00B240B1"/>
    <w:rsid w:val="00B24208"/>
    <w:rsid w:val="00B24728"/>
    <w:rsid w:val="00B248A9"/>
    <w:rsid w:val="00B24D28"/>
    <w:rsid w:val="00B24F1C"/>
    <w:rsid w:val="00B2538A"/>
    <w:rsid w:val="00B25890"/>
    <w:rsid w:val="00B25D76"/>
    <w:rsid w:val="00B27032"/>
    <w:rsid w:val="00B30003"/>
    <w:rsid w:val="00B31201"/>
    <w:rsid w:val="00B3167E"/>
    <w:rsid w:val="00B319F7"/>
    <w:rsid w:val="00B31B4B"/>
    <w:rsid w:val="00B31CD5"/>
    <w:rsid w:val="00B31E36"/>
    <w:rsid w:val="00B32474"/>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B78"/>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06"/>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59"/>
    <w:rsid w:val="00C2177E"/>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1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538"/>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2B27"/>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0E5"/>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50C"/>
    <w:rsid w:val="00E02B64"/>
    <w:rsid w:val="00E02EAD"/>
    <w:rsid w:val="00E03D3F"/>
    <w:rsid w:val="00E04090"/>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2D78"/>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37CC"/>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2E9"/>
    <w:rsid w:val="00EC54EE"/>
    <w:rsid w:val="00EC59B2"/>
    <w:rsid w:val="00EC5A3B"/>
    <w:rsid w:val="00EC6BCB"/>
    <w:rsid w:val="00EC774E"/>
    <w:rsid w:val="00EC786C"/>
    <w:rsid w:val="00EC7ADD"/>
    <w:rsid w:val="00ED04FE"/>
    <w:rsid w:val="00ED0DD0"/>
    <w:rsid w:val="00ED16A2"/>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95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2B0"/>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073"/>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194"/>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3E0A"/>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645"/>
    <w:rsid w:val="00FA3742"/>
    <w:rsid w:val="00FA3837"/>
    <w:rsid w:val="00FA39FC"/>
    <w:rsid w:val="00FA44B4"/>
    <w:rsid w:val="00FA4538"/>
    <w:rsid w:val="00FA486C"/>
    <w:rsid w:val="00FA4998"/>
    <w:rsid w:val="00FA4DC2"/>
    <w:rsid w:val="00FA4E24"/>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B7DC4"/>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9F2050"/>
    <w:rsid w:val="01AA2C10"/>
    <w:rsid w:val="01B43B68"/>
    <w:rsid w:val="0201343C"/>
    <w:rsid w:val="02412B40"/>
    <w:rsid w:val="02BC4522"/>
    <w:rsid w:val="02CB76A6"/>
    <w:rsid w:val="02D7201B"/>
    <w:rsid w:val="0328539C"/>
    <w:rsid w:val="03292E3E"/>
    <w:rsid w:val="037738D8"/>
    <w:rsid w:val="03D814FB"/>
    <w:rsid w:val="03EE579D"/>
    <w:rsid w:val="04137447"/>
    <w:rsid w:val="048C777F"/>
    <w:rsid w:val="059E3096"/>
    <w:rsid w:val="05A96137"/>
    <w:rsid w:val="05B53FF0"/>
    <w:rsid w:val="05C200BF"/>
    <w:rsid w:val="064E058F"/>
    <w:rsid w:val="066C0BFD"/>
    <w:rsid w:val="069908F5"/>
    <w:rsid w:val="06BD3CC0"/>
    <w:rsid w:val="075F0692"/>
    <w:rsid w:val="076D0A84"/>
    <w:rsid w:val="07D60CC2"/>
    <w:rsid w:val="08071A24"/>
    <w:rsid w:val="08E16B89"/>
    <w:rsid w:val="08F53B23"/>
    <w:rsid w:val="097937D1"/>
    <w:rsid w:val="09806BB8"/>
    <w:rsid w:val="09903C9B"/>
    <w:rsid w:val="0993176D"/>
    <w:rsid w:val="0A070656"/>
    <w:rsid w:val="0A48631A"/>
    <w:rsid w:val="0A52393D"/>
    <w:rsid w:val="0A913ED8"/>
    <w:rsid w:val="0B24171E"/>
    <w:rsid w:val="0B4B1C27"/>
    <w:rsid w:val="0B507DEF"/>
    <w:rsid w:val="0B675E29"/>
    <w:rsid w:val="0BB33687"/>
    <w:rsid w:val="0BEF4AC3"/>
    <w:rsid w:val="0BF169FF"/>
    <w:rsid w:val="0C5865E4"/>
    <w:rsid w:val="0C9B098C"/>
    <w:rsid w:val="0D081F34"/>
    <w:rsid w:val="0D38142E"/>
    <w:rsid w:val="0D584403"/>
    <w:rsid w:val="0D5A4775"/>
    <w:rsid w:val="0DDA523F"/>
    <w:rsid w:val="0DDE4BDD"/>
    <w:rsid w:val="0E625C06"/>
    <w:rsid w:val="0EAB6A89"/>
    <w:rsid w:val="0F333B7C"/>
    <w:rsid w:val="0F632E3F"/>
    <w:rsid w:val="0FDC2F2D"/>
    <w:rsid w:val="101C0A97"/>
    <w:rsid w:val="10503315"/>
    <w:rsid w:val="10BE10EE"/>
    <w:rsid w:val="10F67974"/>
    <w:rsid w:val="116353E3"/>
    <w:rsid w:val="117C7228"/>
    <w:rsid w:val="11F748B7"/>
    <w:rsid w:val="12062D6A"/>
    <w:rsid w:val="122D30E1"/>
    <w:rsid w:val="12744836"/>
    <w:rsid w:val="1291787D"/>
    <w:rsid w:val="12D6790A"/>
    <w:rsid w:val="12DB7D35"/>
    <w:rsid w:val="12F438A7"/>
    <w:rsid w:val="133A44C3"/>
    <w:rsid w:val="13592E88"/>
    <w:rsid w:val="135E44C2"/>
    <w:rsid w:val="13977E74"/>
    <w:rsid w:val="141B7F51"/>
    <w:rsid w:val="146F2C7A"/>
    <w:rsid w:val="149C4D8A"/>
    <w:rsid w:val="149E4992"/>
    <w:rsid w:val="14B412C1"/>
    <w:rsid w:val="14D40EDF"/>
    <w:rsid w:val="14EB72AF"/>
    <w:rsid w:val="14FC19F6"/>
    <w:rsid w:val="15510EA2"/>
    <w:rsid w:val="156102B8"/>
    <w:rsid w:val="159B0AFE"/>
    <w:rsid w:val="15A217AD"/>
    <w:rsid w:val="15B55C69"/>
    <w:rsid w:val="15C026F1"/>
    <w:rsid w:val="15C34AB0"/>
    <w:rsid w:val="15CD0F54"/>
    <w:rsid w:val="15E11B06"/>
    <w:rsid w:val="16615DD0"/>
    <w:rsid w:val="1672102C"/>
    <w:rsid w:val="167C2A26"/>
    <w:rsid w:val="16F24A85"/>
    <w:rsid w:val="17064457"/>
    <w:rsid w:val="170C5478"/>
    <w:rsid w:val="17807ED6"/>
    <w:rsid w:val="17B701CF"/>
    <w:rsid w:val="183B4DEC"/>
    <w:rsid w:val="189439F5"/>
    <w:rsid w:val="18C643E3"/>
    <w:rsid w:val="19E35A0F"/>
    <w:rsid w:val="1A3F729E"/>
    <w:rsid w:val="1A442DE9"/>
    <w:rsid w:val="1A516B2E"/>
    <w:rsid w:val="1A554870"/>
    <w:rsid w:val="1A5A3DE4"/>
    <w:rsid w:val="1AB52BBF"/>
    <w:rsid w:val="1BF12377"/>
    <w:rsid w:val="1C022CE0"/>
    <w:rsid w:val="1D321E13"/>
    <w:rsid w:val="1D84721B"/>
    <w:rsid w:val="1DE5415D"/>
    <w:rsid w:val="1E084A5D"/>
    <w:rsid w:val="1E752BE2"/>
    <w:rsid w:val="1E8079E2"/>
    <w:rsid w:val="1EA03AE2"/>
    <w:rsid w:val="1F1A78D0"/>
    <w:rsid w:val="1F2C479B"/>
    <w:rsid w:val="1F3975F4"/>
    <w:rsid w:val="1F462152"/>
    <w:rsid w:val="1F6B6784"/>
    <w:rsid w:val="1F6B68E4"/>
    <w:rsid w:val="1FCE2663"/>
    <w:rsid w:val="20780ECB"/>
    <w:rsid w:val="208704B8"/>
    <w:rsid w:val="210A174A"/>
    <w:rsid w:val="21455F84"/>
    <w:rsid w:val="21466C89"/>
    <w:rsid w:val="21C8332B"/>
    <w:rsid w:val="22066660"/>
    <w:rsid w:val="224176AA"/>
    <w:rsid w:val="2265761B"/>
    <w:rsid w:val="228C1199"/>
    <w:rsid w:val="229870CA"/>
    <w:rsid w:val="22EE44E8"/>
    <w:rsid w:val="22F50136"/>
    <w:rsid w:val="231128A5"/>
    <w:rsid w:val="23241284"/>
    <w:rsid w:val="234B6811"/>
    <w:rsid w:val="235634BB"/>
    <w:rsid w:val="237E3B0E"/>
    <w:rsid w:val="23930DD4"/>
    <w:rsid w:val="23C807C0"/>
    <w:rsid w:val="23CE221A"/>
    <w:rsid w:val="242D24F6"/>
    <w:rsid w:val="24540A05"/>
    <w:rsid w:val="246F4781"/>
    <w:rsid w:val="24801EBF"/>
    <w:rsid w:val="2496315D"/>
    <w:rsid w:val="24977600"/>
    <w:rsid w:val="24B66149"/>
    <w:rsid w:val="24C15E8D"/>
    <w:rsid w:val="2563786A"/>
    <w:rsid w:val="25E95111"/>
    <w:rsid w:val="261849A4"/>
    <w:rsid w:val="264C2FC6"/>
    <w:rsid w:val="26517A4F"/>
    <w:rsid w:val="265D3BB9"/>
    <w:rsid w:val="26AA0F6E"/>
    <w:rsid w:val="26F747B3"/>
    <w:rsid w:val="272F1A96"/>
    <w:rsid w:val="27AC0841"/>
    <w:rsid w:val="27B6199A"/>
    <w:rsid w:val="28260244"/>
    <w:rsid w:val="2848646B"/>
    <w:rsid w:val="286909E6"/>
    <w:rsid w:val="288B2282"/>
    <w:rsid w:val="28D341DE"/>
    <w:rsid w:val="2952197F"/>
    <w:rsid w:val="297B0CF7"/>
    <w:rsid w:val="29F80327"/>
    <w:rsid w:val="2A51423E"/>
    <w:rsid w:val="2A564F1C"/>
    <w:rsid w:val="2A842ABF"/>
    <w:rsid w:val="2AF0459A"/>
    <w:rsid w:val="2AF32708"/>
    <w:rsid w:val="2B1E0D76"/>
    <w:rsid w:val="2B7357F6"/>
    <w:rsid w:val="2BA86AE1"/>
    <w:rsid w:val="2BC52284"/>
    <w:rsid w:val="2C00554D"/>
    <w:rsid w:val="2C5367BE"/>
    <w:rsid w:val="2CB00693"/>
    <w:rsid w:val="2CEB0F5C"/>
    <w:rsid w:val="2D177764"/>
    <w:rsid w:val="2DA336ED"/>
    <w:rsid w:val="2DAE631A"/>
    <w:rsid w:val="2DF767B4"/>
    <w:rsid w:val="2EBF307B"/>
    <w:rsid w:val="2EDD2DD9"/>
    <w:rsid w:val="2EEF2748"/>
    <w:rsid w:val="2EF55319"/>
    <w:rsid w:val="2EFA61AC"/>
    <w:rsid w:val="2F5F53F2"/>
    <w:rsid w:val="2F723467"/>
    <w:rsid w:val="2FF16992"/>
    <w:rsid w:val="3025663B"/>
    <w:rsid w:val="306972E7"/>
    <w:rsid w:val="30A76502"/>
    <w:rsid w:val="30D869D8"/>
    <w:rsid w:val="315B16AB"/>
    <w:rsid w:val="31C66EB6"/>
    <w:rsid w:val="32256095"/>
    <w:rsid w:val="329B2BE5"/>
    <w:rsid w:val="32A001FB"/>
    <w:rsid w:val="32A02B99"/>
    <w:rsid w:val="32A92FC3"/>
    <w:rsid w:val="32D16A1D"/>
    <w:rsid w:val="33015F31"/>
    <w:rsid w:val="337F50A0"/>
    <w:rsid w:val="339969C2"/>
    <w:rsid w:val="33A9017A"/>
    <w:rsid w:val="33C43F5B"/>
    <w:rsid w:val="33C85E8D"/>
    <w:rsid w:val="33D414D0"/>
    <w:rsid w:val="33E365F1"/>
    <w:rsid w:val="34106E72"/>
    <w:rsid w:val="34C76E8F"/>
    <w:rsid w:val="35C67F79"/>
    <w:rsid w:val="35CD358A"/>
    <w:rsid w:val="362A09EF"/>
    <w:rsid w:val="36512FD4"/>
    <w:rsid w:val="36974221"/>
    <w:rsid w:val="369C1105"/>
    <w:rsid w:val="36BB0EBE"/>
    <w:rsid w:val="37467D39"/>
    <w:rsid w:val="37873738"/>
    <w:rsid w:val="37991DE9"/>
    <w:rsid w:val="385F359C"/>
    <w:rsid w:val="389F7439"/>
    <w:rsid w:val="38FF4107"/>
    <w:rsid w:val="396C52DB"/>
    <w:rsid w:val="39F93CF2"/>
    <w:rsid w:val="3A040A3F"/>
    <w:rsid w:val="3A2D4A6A"/>
    <w:rsid w:val="3A550950"/>
    <w:rsid w:val="3A7B4B22"/>
    <w:rsid w:val="3AF11C2B"/>
    <w:rsid w:val="3AFD61EB"/>
    <w:rsid w:val="3B284C72"/>
    <w:rsid w:val="3B305B33"/>
    <w:rsid w:val="3B977BE9"/>
    <w:rsid w:val="3BA80B19"/>
    <w:rsid w:val="3BBF7944"/>
    <w:rsid w:val="3BF5780A"/>
    <w:rsid w:val="3C08753D"/>
    <w:rsid w:val="3C186701"/>
    <w:rsid w:val="3C4240EC"/>
    <w:rsid w:val="3C5D4096"/>
    <w:rsid w:val="3D080631"/>
    <w:rsid w:val="3D2832C7"/>
    <w:rsid w:val="3D670293"/>
    <w:rsid w:val="3DA101CD"/>
    <w:rsid w:val="3DAE1A1E"/>
    <w:rsid w:val="3E3B5C86"/>
    <w:rsid w:val="3E997760"/>
    <w:rsid w:val="3EB03C03"/>
    <w:rsid w:val="3F1E2BD3"/>
    <w:rsid w:val="3F3A1FEB"/>
    <w:rsid w:val="3F610607"/>
    <w:rsid w:val="3F8773DB"/>
    <w:rsid w:val="405F6B9A"/>
    <w:rsid w:val="40805350"/>
    <w:rsid w:val="40885740"/>
    <w:rsid w:val="40912903"/>
    <w:rsid w:val="41067DC3"/>
    <w:rsid w:val="41CB5019"/>
    <w:rsid w:val="42253D73"/>
    <w:rsid w:val="424D27A0"/>
    <w:rsid w:val="427174BE"/>
    <w:rsid w:val="42DC0426"/>
    <w:rsid w:val="430A1DED"/>
    <w:rsid w:val="43561CA9"/>
    <w:rsid w:val="43AB47E9"/>
    <w:rsid w:val="43AF32DF"/>
    <w:rsid w:val="43BF32E9"/>
    <w:rsid w:val="43C76649"/>
    <w:rsid w:val="444B06B6"/>
    <w:rsid w:val="44B91A5D"/>
    <w:rsid w:val="452F03D4"/>
    <w:rsid w:val="454F56BD"/>
    <w:rsid w:val="45967968"/>
    <w:rsid w:val="459A3BBF"/>
    <w:rsid w:val="459C1BB1"/>
    <w:rsid w:val="45DE19D9"/>
    <w:rsid w:val="462311B6"/>
    <w:rsid w:val="46295027"/>
    <w:rsid w:val="46432368"/>
    <w:rsid w:val="46494D56"/>
    <w:rsid w:val="47302557"/>
    <w:rsid w:val="47735BB3"/>
    <w:rsid w:val="47843179"/>
    <w:rsid w:val="47B71E17"/>
    <w:rsid w:val="48457423"/>
    <w:rsid w:val="4878027E"/>
    <w:rsid w:val="48C37541"/>
    <w:rsid w:val="498303BC"/>
    <w:rsid w:val="49AD4EE6"/>
    <w:rsid w:val="49ED4347"/>
    <w:rsid w:val="49FB7291"/>
    <w:rsid w:val="4A1F7490"/>
    <w:rsid w:val="4A6265F6"/>
    <w:rsid w:val="4AAC19DB"/>
    <w:rsid w:val="4AC62FB7"/>
    <w:rsid w:val="4AF875FC"/>
    <w:rsid w:val="4B143684"/>
    <w:rsid w:val="4B515E20"/>
    <w:rsid w:val="4B861669"/>
    <w:rsid w:val="4B9C37FE"/>
    <w:rsid w:val="4D4A1757"/>
    <w:rsid w:val="4D584965"/>
    <w:rsid w:val="4D7009BD"/>
    <w:rsid w:val="4DE730E2"/>
    <w:rsid w:val="4DEC52A6"/>
    <w:rsid w:val="4E51443B"/>
    <w:rsid w:val="4E6268C7"/>
    <w:rsid w:val="4E7445BE"/>
    <w:rsid w:val="4EAC5711"/>
    <w:rsid w:val="4EDA0D8F"/>
    <w:rsid w:val="4F9808BF"/>
    <w:rsid w:val="4FBE01E7"/>
    <w:rsid w:val="4FEA3BF4"/>
    <w:rsid w:val="501E7361"/>
    <w:rsid w:val="50393424"/>
    <w:rsid w:val="50534BE9"/>
    <w:rsid w:val="505C7478"/>
    <w:rsid w:val="509C7EDA"/>
    <w:rsid w:val="50CD0C48"/>
    <w:rsid w:val="51136310"/>
    <w:rsid w:val="514F6023"/>
    <w:rsid w:val="51B2004B"/>
    <w:rsid w:val="51F4182D"/>
    <w:rsid w:val="521A722A"/>
    <w:rsid w:val="525C5CA9"/>
    <w:rsid w:val="527C2D46"/>
    <w:rsid w:val="52B458D1"/>
    <w:rsid w:val="52CA2422"/>
    <w:rsid w:val="532C4DA1"/>
    <w:rsid w:val="53510DA2"/>
    <w:rsid w:val="53715570"/>
    <w:rsid w:val="53C47D96"/>
    <w:rsid w:val="54013662"/>
    <w:rsid w:val="55156127"/>
    <w:rsid w:val="55285859"/>
    <w:rsid w:val="55622629"/>
    <w:rsid w:val="557701D2"/>
    <w:rsid w:val="55B91357"/>
    <w:rsid w:val="56214EC6"/>
    <w:rsid w:val="562626CC"/>
    <w:rsid w:val="56442422"/>
    <w:rsid w:val="56A738A1"/>
    <w:rsid w:val="56FD7EE0"/>
    <w:rsid w:val="57514B11"/>
    <w:rsid w:val="577C0AA7"/>
    <w:rsid w:val="57B341F3"/>
    <w:rsid w:val="58171515"/>
    <w:rsid w:val="581E2406"/>
    <w:rsid w:val="5832241E"/>
    <w:rsid w:val="59350FDF"/>
    <w:rsid w:val="597C69BE"/>
    <w:rsid w:val="59B9618C"/>
    <w:rsid w:val="5A3A2DDD"/>
    <w:rsid w:val="5A417A01"/>
    <w:rsid w:val="5A68152E"/>
    <w:rsid w:val="5AAC6D3A"/>
    <w:rsid w:val="5ADF330A"/>
    <w:rsid w:val="5AE72137"/>
    <w:rsid w:val="5B61411C"/>
    <w:rsid w:val="5B751975"/>
    <w:rsid w:val="5B9F00C5"/>
    <w:rsid w:val="5BCE1AB6"/>
    <w:rsid w:val="5BF84A80"/>
    <w:rsid w:val="5C010D5E"/>
    <w:rsid w:val="5C257476"/>
    <w:rsid w:val="5C4C447D"/>
    <w:rsid w:val="5CAD11D1"/>
    <w:rsid w:val="5D201747"/>
    <w:rsid w:val="5D236C42"/>
    <w:rsid w:val="5D66172C"/>
    <w:rsid w:val="5DA31D4F"/>
    <w:rsid w:val="5DA54957"/>
    <w:rsid w:val="5DF76D59"/>
    <w:rsid w:val="5E016FD2"/>
    <w:rsid w:val="5EC425A6"/>
    <w:rsid w:val="5ECA1FD8"/>
    <w:rsid w:val="5EDA6979"/>
    <w:rsid w:val="5F1162B8"/>
    <w:rsid w:val="5F2D35C0"/>
    <w:rsid w:val="5F5F6BC4"/>
    <w:rsid w:val="6031230F"/>
    <w:rsid w:val="60447752"/>
    <w:rsid w:val="6063409F"/>
    <w:rsid w:val="607C2B6F"/>
    <w:rsid w:val="60855860"/>
    <w:rsid w:val="60AA2E6B"/>
    <w:rsid w:val="613A2954"/>
    <w:rsid w:val="61501C31"/>
    <w:rsid w:val="61C13B66"/>
    <w:rsid w:val="623A6737"/>
    <w:rsid w:val="625247BE"/>
    <w:rsid w:val="62991FE0"/>
    <w:rsid w:val="63352116"/>
    <w:rsid w:val="63730F98"/>
    <w:rsid w:val="63A14D89"/>
    <w:rsid w:val="63CA5CD9"/>
    <w:rsid w:val="63FF1893"/>
    <w:rsid w:val="640970FF"/>
    <w:rsid w:val="64441196"/>
    <w:rsid w:val="644D54B3"/>
    <w:rsid w:val="646978EA"/>
    <w:rsid w:val="64810A22"/>
    <w:rsid w:val="64A532CB"/>
    <w:rsid w:val="64D9684F"/>
    <w:rsid w:val="654A1084"/>
    <w:rsid w:val="657D479F"/>
    <w:rsid w:val="65E87914"/>
    <w:rsid w:val="66925AD1"/>
    <w:rsid w:val="66AA18FE"/>
    <w:rsid w:val="66B04994"/>
    <w:rsid w:val="66BF018E"/>
    <w:rsid w:val="66E423AF"/>
    <w:rsid w:val="66FE2FE9"/>
    <w:rsid w:val="671F7BF6"/>
    <w:rsid w:val="672056DD"/>
    <w:rsid w:val="6761234C"/>
    <w:rsid w:val="677E1BB2"/>
    <w:rsid w:val="67877E34"/>
    <w:rsid w:val="68442DFB"/>
    <w:rsid w:val="68B910F3"/>
    <w:rsid w:val="68C70FC8"/>
    <w:rsid w:val="68F4037D"/>
    <w:rsid w:val="68FD5EA1"/>
    <w:rsid w:val="693410C2"/>
    <w:rsid w:val="69843FC2"/>
    <w:rsid w:val="69F53552"/>
    <w:rsid w:val="6A4D0118"/>
    <w:rsid w:val="6A6652AB"/>
    <w:rsid w:val="6A7744B4"/>
    <w:rsid w:val="6AC61AB6"/>
    <w:rsid w:val="6B241A17"/>
    <w:rsid w:val="6B28556D"/>
    <w:rsid w:val="6B7A2359"/>
    <w:rsid w:val="6C1F3182"/>
    <w:rsid w:val="6C7A6DEC"/>
    <w:rsid w:val="6CFF17A4"/>
    <w:rsid w:val="6D0C5512"/>
    <w:rsid w:val="6D8819DC"/>
    <w:rsid w:val="6DED00D0"/>
    <w:rsid w:val="6E9C0F6F"/>
    <w:rsid w:val="6EC864D6"/>
    <w:rsid w:val="6ECC4A08"/>
    <w:rsid w:val="6EDF575B"/>
    <w:rsid w:val="6F7F37A1"/>
    <w:rsid w:val="6F983C7A"/>
    <w:rsid w:val="6FC13B19"/>
    <w:rsid w:val="6FD902CD"/>
    <w:rsid w:val="70293D7A"/>
    <w:rsid w:val="703A21BF"/>
    <w:rsid w:val="70716758"/>
    <w:rsid w:val="70857767"/>
    <w:rsid w:val="70CC39C6"/>
    <w:rsid w:val="70FA1D0F"/>
    <w:rsid w:val="7103031A"/>
    <w:rsid w:val="71121F70"/>
    <w:rsid w:val="71AD7318"/>
    <w:rsid w:val="71DF7820"/>
    <w:rsid w:val="71FC4D8C"/>
    <w:rsid w:val="72522BEE"/>
    <w:rsid w:val="726D70E7"/>
    <w:rsid w:val="72BE71E2"/>
    <w:rsid w:val="72E27330"/>
    <w:rsid w:val="73BD1556"/>
    <w:rsid w:val="73DA4A3B"/>
    <w:rsid w:val="740C0C71"/>
    <w:rsid w:val="74264E1B"/>
    <w:rsid w:val="744D5EC9"/>
    <w:rsid w:val="75151D30"/>
    <w:rsid w:val="75727FCC"/>
    <w:rsid w:val="75D00F7C"/>
    <w:rsid w:val="75FC6AC3"/>
    <w:rsid w:val="76275962"/>
    <w:rsid w:val="764746B2"/>
    <w:rsid w:val="76D14572"/>
    <w:rsid w:val="7792036D"/>
    <w:rsid w:val="77C10136"/>
    <w:rsid w:val="77CC74DE"/>
    <w:rsid w:val="77E85551"/>
    <w:rsid w:val="783F6BBC"/>
    <w:rsid w:val="786C2AD1"/>
    <w:rsid w:val="78BD70C0"/>
    <w:rsid w:val="78D81A29"/>
    <w:rsid w:val="79E65A52"/>
    <w:rsid w:val="7A00024C"/>
    <w:rsid w:val="7A013D0B"/>
    <w:rsid w:val="7A3538A9"/>
    <w:rsid w:val="7A7C4102"/>
    <w:rsid w:val="7AE2589C"/>
    <w:rsid w:val="7B1403CC"/>
    <w:rsid w:val="7B2745E3"/>
    <w:rsid w:val="7B4A432A"/>
    <w:rsid w:val="7BF614AB"/>
    <w:rsid w:val="7C67035B"/>
    <w:rsid w:val="7C744EE5"/>
    <w:rsid w:val="7C9C4E59"/>
    <w:rsid w:val="7CD442F6"/>
    <w:rsid w:val="7D3B4132"/>
    <w:rsid w:val="7D3D3C30"/>
    <w:rsid w:val="7D6455EB"/>
    <w:rsid w:val="7D755AD9"/>
    <w:rsid w:val="7D776176"/>
    <w:rsid w:val="7D9E7361"/>
    <w:rsid w:val="7DBD6467"/>
    <w:rsid w:val="7E0D6426"/>
    <w:rsid w:val="7E1700E3"/>
    <w:rsid w:val="7E477448"/>
    <w:rsid w:val="7ED2669B"/>
    <w:rsid w:val="7F651B7D"/>
    <w:rsid w:val="7F8E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8"/>
    <w:unhideWhenUsed/>
    <w:qFormat/>
    <w:uiPriority w:val="0"/>
    <w:pPr>
      <w:jc w:val="left"/>
    </w:pPr>
  </w:style>
  <w:style w:type="paragraph" w:styleId="16">
    <w:name w:val="Body Text 3"/>
    <w:basedOn w:val="1"/>
    <w:link w:val="69"/>
    <w:qFormat/>
    <w:uiPriority w:val="0"/>
    <w:pPr>
      <w:spacing w:line="500" w:lineRule="exact"/>
    </w:pPr>
    <w:rPr>
      <w:b/>
      <w:bCs/>
      <w:kern w:val="0"/>
      <w:sz w:val="24"/>
    </w:rPr>
  </w:style>
  <w:style w:type="paragraph" w:styleId="17">
    <w:name w:val="Body Text"/>
    <w:basedOn w:val="1"/>
    <w:link w:val="60"/>
    <w:qFormat/>
    <w:uiPriority w:val="99"/>
    <w:pPr>
      <w:spacing w:line="380" w:lineRule="exact"/>
    </w:pPr>
    <w:rPr>
      <w:kern w:val="0"/>
      <w:sz w:val="24"/>
    </w:rPr>
  </w:style>
  <w:style w:type="paragraph" w:styleId="18">
    <w:name w:val="Body Text Indent"/>
    <w:basedOn w:val="1"/>
    <w:link w:val="70"/>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next w:val="5"/>
    <w:link w:val="71"/>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2"/>
    <w:qFormat/>
    <w:uiPriority w:val="0"/>
    <w:pPr>
      <w:ind w:left="100" w:leftChars="2500"/>
    </w:pPr>
    <w:rPr>
      <w:rFonts w:ascii="宋体" w:hAnsi="Courier New"/>
      <w:kern w:val="0"/>
      <w:sz w:val="20"/>
      <w:szCs w:val="21"/>
    </w:rPr>
  </w:style>
  <w:style w:type="paragraph" w:styleId="26">
    <w:name w:val="Body Text Indent 2"/>
    <w:basedOn w:val="1"/>
    <w:link w:val="73"/>
    <w:qFormat/>
    <w:uiPriority w:val="0"/>
    <w:pPr>
      <w:ind w:firstLine="630"/>
    </w:pPr>
    <w:rPr>
      <w:kern w:val="0"/>
      <w:sz w:val="32"/>
      <w:szCs w:val="20"/>
    </w:rPr>
  </w:style>
  <w:style w:type="paragraph" w:styleId="27">
    <w:name w:val="endnote text"/>
    <w:basedOn w:val="1"/>
    <w:link w:val="74"/>
    <w:unhideWhenUsed/>
    <w:qFormat/>
    <w:uiPriority w:val="99"/>
    <w:pPr>
      <w:snapToGrid w:val="0"/>
      <w:jc w:val="left"/>
    </w:pPr>
  </w:style>
  <w:style w:type="paragraph" w:styleId="28">
    <w:name w:val="Balloon Text"/>
    <w:basedOn w:val="1"/>
    <w:link w:val="75"/>
    <w:semiHidden/>
    <w:qFormat/>
    <w:uiPriority w:val="0"/>
    <w:rPr>
      <w:kern w:val="0"/>
      <w:sz w:val="18"/>
      <w:szCs w:val="18"/>
    </w:rPr>
  </w:style>
  <w:style w:type="paragraph" w:styleId="29">
    <w:name w:val="footer"/>
    <w:basedOn w:val="1"/>
    <w:link w:val="76"/>
    <w:unhideWhenUsed/>
    <w:qFormat/>
    <w:uiPriority w:val="99"/>
    <w:pPr>
      <w:tabs>
        <w:tab w:val="center" w:pos="4153"/>
        <w:tab w:val="right" w:pos="8306"/>
      </w:tabs>
      <w:snapToGrid w:val="0"/>
      <w:jc w:val="left"/>
    </w:pPr>
    <w:rPr>
      <w:kern w:val="0"/>
      <w:sz w:val="18"/>
      <w:szCs w:val="18"/>
    </w:rPr>
  </w:style>
  <w:style w:type="paragraph" w:styleId="30">
    <w:name w:val="envelope return"/>
    <w:basedOn w:val="1"/>
    <w:qFormat/>
    <w:uiPriority w:val="0"/>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2"/>
    <w:unhideWhenUsed/>
    <w:qFormat/>
    <w:uiPriority w:val="99"/>
    <w:rPr>
      <w:b/>
      <w:bCs/>
    </w:rPr>
  </w:style>
  <w:style w:type="paragraph" w:styleId="45">
    <w:name w:val="Body Text First Indent"/>
    <w:basedOn w:val="1"/>
    <w:next w:val="46"/>
    <w:qFormat/>
    <w:uiPriority w:val="0"/>
    <w:pPr>
      <w:spacing w:line="600" w:lineRule="exact"/>
      <w:ind w:firstLine="602"/>
      <w:jc w:val="left"/>
    </w:pPr>
  </w:style>
  <w:style w:type="paragraph" w:styleId="46">
    <w:name w:val="Body Text First Indent 2"/>
    <w:basedOn w:val="18"/>
    <w:qFormat/>
    <w:uiPriority w:val="0"/>
    <w:pPr>
      <w:ind w:firstLine="420" w:firstLineChars="200"/>
    </w:pPr>
    <w:rPr>
      <w:kern w:val="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basedOn w:val="49"/>
    <w:qFormat/>
    <w:uiPriority w:val="20"/>
    <w:rPr>
      <w:i/>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styleId="57">
    <w:name w:val="footnote reference"/>
    <w:unhideWhenUsed/>
    <w:qFormat/>
    <w:uiPriority w:val="99"/>
    <w:rPr>
      <w:vertAlign w:val="superscript"/>
    </w:rPr>
  </w:style>
  <w:style w:type="character" w:customStyle="1" w:styleId="58">
    <w:name w:val="标题 1 字符"/>
    <w:qFormat/>
    <w:uiPriority w:val="9"/>
    <w:rPr>
      <w:rFonts w:ascii="Times New Roman" w:hAnsi="Times New Roman" w:eastAsia="宋体" w:cs="Times New Roman"/>
      <w:b/>
      <w:bCs/>
      <w:kern w:val="44"/>
      <w:sz w:val="44"/>
      <w:szCs w:val="44"/>
    </w:rPr>
  </w:style>
  <w:style w:type="character" w:customStyle="1" w:styleId="59">
    <w:name w:val="标题 2 Char"/>
    <w:link w:val="3"/>
    <w:qFormat/>
    <w:uiPriority w:val="0"/>
    <w:rPr>
      <w:rFonts w:ascii="Arial" w:hAnsi="Arial" w:eastAsia="黑体" w:cs="Times New Roman"/>
      <w:b/>
      <w:bCs/>
      <w:sz w:val="32"/>
      <w:szCs w:val="32"/>
    </w:rPr>
  </w:style>
  <w:style w:type="character" w:customStyle="1" w:styleId="60">
    <w:name w:val="正文文本 Char"/>
    <w:link w:val="17"/>
    <w:qFormat/>
    <w:uiPriority w:val="99"/>
    <w:rPr>
      <w:rFonts w:ascii="Times New Roman" w:hAnsi="Times New Roman" w:eastAsia="宋体" w:cs="Times New Roman"/>
      <w:sz w:val="24"/>
      <w:szCs w:val="24"/>
    </w:rPr>
  </w:style>
  <w:style w:type="character" w:customStyle="1" w:styleId="61">
    <w:name w:val="标题 1 Char"/>
    <w:link w:val="2"/>
    <w:qFormat/>
    <w:uiPriority w:val="0"/>
    <w:rPr>
      <w:rFonts w:ascii="Times New Roman" w:hAnsi="Times New Roman" w:eastAsia="宋体" w:cs="Times New Roman"/>
      <w:b/>
      <w:bCs/>
      <w:kern w:val="44"/>
      <w:sz w:val="44"/>
      <w:szCs w:val="44"/>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2"/>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rFonts w:ascii="Times New Roman" w:hAnsi="Times New Roman"/>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批注文字 Char2"/>
    <w:link w:val="15"/>
    <w:qFormat/>
    <w:uiPriority w:val="0"/>
    <w:rPr>
      <w:rFonts w:ascii="Times New Roman" w:hAnsi="Times New Roman"/>
      <w:kern w:val="2"/>
      <w:sz w:val="21"/>
      <w:szCs w:val="24"/>
    </w:rPr>
  </w:style>
  <w:style w:type="character" w:customStyle="1" w:styleId="69">
    <w:name w:val="正文文本 3 Char"/>
    <w:link w:val="16"/>
    <w:qFormat/>
    <w:uiPriority w:val="0"/>
    <w:rPr>
      <w:rFonts w:ascii="Times New Roman" w:hAnsi="Times New Roman" w:eastAsia="宋体" w:cs="Times New Roman"/>
      <w:b/>
      <w:bCs/>
      <w:sz w:val="24"/>
      <w:szCs w:val="24"/>
    </w:rPr>
  </w:style>
  <w:style w:type="character" w:customStyle="1" w:styleId="70">
    <w:name w:val="正文文本缩进 Char"/>
    <w:link w:val="18"/>
    <w:qFormat/>
    <w:uiPriority w:val="0"/>
    <w:rPr>
      <w:rFonts w:ascii="仿宋_GB2312" w:hAnsi="Times New Roman" w:eastAsia="仿宋_GB2312" w:cs="Times New Roman"/>
      <w:sz w:val="32"/>
      <w:szCs w:val="20"/>
    </w:rPr>
  </w:style>
  <w:style w:type="character" w:customStyle="1" w:styleId="71">
    <w:name w:val="纯文本 Char2"/>
    <w:link w:val="23"/>
    <w:qFormat/>
    <w:uiPriority w:val="0"/>
    <w:rPr>
      <w:rFonts w:ascii="宋体" w:hAnsi="Courier New" w:eastAsia="宋体" w:cs="Courier New"/>
      <w:szCs w:val="21"/>
    </w:rPr>
  </w:style>
  <w:style w:type="character" w:customStyle="1" w:styleId="72">
    <w:name w:val="日期 Char"/>
    <w:link w:val="25"/>
    <w:qFormat/>
    <w:uiPriority w:val="0"/>
    <w:rPr>
      <w:rFonts w:ascii="宋体" w:hAnsi="Courier New" w:eastAsia="宋体" w:cs="Courier New"/>
      <w:szCs w:val="21"/>
    </w:rPr>
  </w:style>
  <w:style w:type="character" w:customStyle="1" w:styleId="73">
    <w:name w:val="正文文本缩进 2 Char"/>
    <w:link w:val="26"/>
    <w:qFormat/>
    <w:uiPriority w:val="0"/>
    <w:rPr>
      <w:rFonts w:ascii="Times New Roman" w:hAnsi="Times New Roman" w:eastAsia="宋体" w:cs="Times New Roman"/>
      <w:sz w:val="32"/>
      <w:szCs w:val="20"/>
    </w:rPr>
  </w:style>
  <w:style w:type="character" w:customStyle="1" w:styleId="74">
    <w:name w:val="尾注文本 Char"/>
    <w:link w:val="27"/>
    <w:semiHidden/>
    <w:qFormat/>
    <w:uiPriority w:val="99"/>
    <w:rPr>
      <w:rFonts w:ascii="Times New Roman" w:hAnsi="Times New Roman"/>
      <w:kern w:val="2"/>
      <w:sz w:val="21"/>
      <w:szCs w:val="24"/>
    </w:rPr>
  </w:style>
  <w:style w:type="character" w:customStyle="1" w:styleId="75">
    <w:name w:val="批注框文本 Char"/>
    <w:link w:val="28"/>
    <w:semiHidden/>
    <w:qFormat/>
    <w:uiPriority w:val="0"/>
    <w:rPr>
      <w:rFonts w:ascii="Times New Roman" w:hAnsi="Times New Roman" w:eastAsia="宋体" w:cs="Times New Roman"/>
      <w:sz w:val="18"/>
      <w:szCs w:val="18"/>
    </w:rPr>
  </w:style>
  <w:style w:type="character" w:customStyle="1" w:styleId="76">
    <w:name w:val="页脚 Char"/>
    <w:link w:val="29"/>
    <w:qFormat/>
    <w:uiPriority w:val="99"/>
    <w:rPr>
      <w:sz w:val="18"/>
      <w:szCs w:val="18"/>
    </w:rPr>
  </w:style>
  <w:style w:type="character" w:customStyle="1" w:styleId="77">
    <w:name w:val="页眉 Char"/>
    <w:link w:val="31"/>
    <w:qFormat/>
    <w:uiPriority w:val="99"/>
    <w:rPr>
      <w:rFonts w:ascii="Times New Roman" w:hAnsi="Times New Roman"/>
      <w:kern w:val="2"/>
      <w:sz w:val="18"/>
      <w:szCs w:val="18"/>
    </w:rPr>
  </w:style>
  <w:style w:type="character" w:customStyle="1" w:styleId="78">
    <w:name w:val="脚注文本 Char"/>
    <w:link w:val="35"/>
    <w:semiHidden/>
    <w:qFormat/>
    <w:uiPriority w:val="99"/>
    <w:rPr>
      <w:rFonts w:ascii="Times New Roman" w:hAnsi="Times New Roman"/>
      <w:kern w:val="2"/>
      <w:sz w:val="18"/>
      <w:szCs w:val="18"/>
    </w:rPr>
  </w:style>
  <w:style w:type="character" w:customStyle="1" w:styleId="79">
    <w:name w:val="正文文本缩进 3 Char"/>
    <w:link w:val="37"/>
    <w:qFormat/>
    <w:uiPriority w:val="0"/>
    <w:rPr>
      <w:rFonts w:ascii="Times New Roman" w:hAnsi="Times New Roman" w:eastAsia="宋体" w:cs="Times New Roman"/>
      <w:sz w:val="16"/>
      <w:szCs w:val="16"/>
    </w:rPr>
  </w:style>
  <w:style w:type="character" w:customStyle="1" w:styleId="80">
    <w:name w:val="正文文本 2 Char"/>
    <w:link w:val="40"/>
    <w:qFormat/>
    <w:uiPriority w:val="0"/>
    <w:rPr>
      <w:rFonts w:ascii="Times New Roman" w:hAnsi="Times New Roman" w:eastAsia="宋体" w:cs="Times New Roman"/>
      <w:szCs w:val="24"/>
    </w:rPr>
  </w:style>
  <w:style w:type="character" w:customStyle="1" w:styleId="81">
    <w:name w:val="标题 Char"/>
    <w:link w:val="43"/>
    <w:qFormat/>
    <w:uiPriority w:val="10"/>
    <w:rPr>
      <w:rFonts w:ascii="Cambria" w:hAnsi="Cambria" w:cs="Times New Roman"/>
      <w:b/>
      <w:bCs/>
      <w:kern w:val="2"/>
      <w:sz w:val="32"/>
      <w:szCs w:val="32"/>
    </w:rPr>
  </w:style>
  <w:style w:type="character" w:customStyle="1" w:styleId="82">
    <w:name w:val="批注主题 Char"/>
    <w:link w:val="44"/>
    <w:semiHidden/>
    <w:qFormat/>
    <w:uiPriority w:val="99"/>
    <w:rPr>
      <w:rFonts w:ascii="Times New Roman" w:hAnsi="Times New Roman"/>
      <w:b/>
      <w:bCs/>
      <w:kern w:val="2"/>
      <w:sz w:val="21"/>
      <w:szCs w:val="24"/>
    </w:rPr>
  </w:style>
  <w:style w:type="character" w:customStyle="1" w:styleId="83">
    <w:name w:val="纯文本 字符1"/>
    <w:qFormat/>
    <w:uiPriority w:val="0"/>
    <w:rPr>
      <w:rFonts w:ascii="宋体" w:hAnsi="Courier New"/>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headline-content4"/>
    <w:qFormat/>
    <w:uiPriority w:val="0"/>
  </w:style>
  <w:style w:type="character" w:customStyle="1" w:styleId="86">
    <w:name w:val="批注文字 字符"/>
    <w:qFormat/>
    <w:uiPriority w:val="0"/>
    <w:rPr>
      <w:rFonts w:ascii="Times New Roman" w:hAnsi="Times New Roman"/>
      <w:kern w:val="2"/>
      <w:sz w:val="21"/>
      <w:szCs w:val="24"/>
    </w:rPr>
  </w:style>
  <w:style w:type="character" w:customStyle="1" w:styleId="87">
    <w:name w:val="标题 5 Char"/>
    <w:qFormat/>
    <w:uiPriority w:val="0"/>
    <w:rPr>
      <w:b/>
      <w:kern w:val="2"/>
      <w:sz w:val="28"/>
      <w:szCs w:val="24"/>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
    <w:qFormat/>
    <w:uiPriority w:val="0"/>
    <w:rPr>
      <w:rFonts w:ascii="Times New Roman" w:hAnsi="Times New Roman"/>
      <w:kern w:val="2"/>
      <w:sz w:val="21"/>
      <w:szCs w:val="24"/>
    </w:rPr>
  </w:style>
  <w:style w:type="character" w:customStyle="1" w:styleId="90">
    <w:name w:val="apple-style-span"/>
    <w:qFormat/>
    <w:uiPriority w:val="0"/>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case31"/>
    <w:qFormat/>
    <w:uiPriority w:val="0"/>
    <w:rPr>
      <w:rFonts w:hint="default" w:ascii="_x000B__x000C_" w:hAnsi="_x000B__x000C_"/>
      <w:sz w:val="21"/>
      <w:szCs w:val="21"/>
    </w:rPr>
  </w:style>
  <w:style w:type="character" w:customStyle="1" w:styleId="93">
    <w:name w:val="纯文本 字符"/>
    <w:qFormat/>
    <w:uiPriority w:val="0"/>
    <w:rPr>
      <w:rFonts w:ascii="宋体" w:hAnsi="Courier New" w:eastAsia="宋体" w:cs="Courier New"/>
      <w:szCs w:val="21"/>
    </w:rPr>
  </w:style>
  <w:style w:type="character" w:customStyle="1" w:styleId="94">
    <w:name w:val="textcontents"/>
    <w:qFormat/>
    <w:uiPriority w:val="0"/>
  </w:style>
  <w:style w:type="character" w:customStyle="1" w:styleId="95">
    <w:name w:val="普通文字 Char Char2"/>
    <w:qFormat/>
    <w:uiPriority w:val="0"/>
    <w:rPr>
      <w:rFonts w:ascii="宋体" w:hAnsi="Courier New" w:eastAsia="宋体"/>
      <w:kern w:val="2"/>
      <w:sz w:val="21"/>
      <w:lang w:val="en-US" w:eastAsia="zh-CN" w:bidi="ar-SA"/>
    </w:rPr>
  </w:style>
  <w:style w:type="paragraph" w:customStyle="1" w:styleId="96">
    <w:name w:val="正文段"/>
    <w:basedOn w:val="1"/>
    <w:qFormat/>
    <w:uiPriority w:val="0"/>
    <w:pPr>
      <w:widowControl/>
      <w:snapToGrid w:val="0"/>
      <w:spacing w:after="50" w:afterLines="50"/>
      <w:ind w:firstLine="200" w:firstLineChars="200"/>
    </w:pPr>
    <w:rPr>
      <w:kern w:val="0"/>
      <w:sz w:val="24"/>
      <w:szCs w:val="20"/>
    </w:rPr>
  </w:style>
  <w:style w:type="paragraph" w:customStyle="1" w:styleId="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8">
    <w:name w:val="默认段落字体 Para Char Char Char Char Char Char Char Char Char1 Char Char Char Char"/>
    <w:basedOn w:val="1"/>
    <w:qFormat/>
    <w:uiPriority w:val="0"/>
    <w:rPr>
      <w:rFonts w:ascii="Tahoma" w:hAnsi="Tahoma"/>
      <w:sz w:val="24"/>
      <w:szCs w:val="20"/>
    </w:rPr>
  </w:style>
  <w:style w:type="paragraph" w:customStyle="1" w:styleId="9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2">
    <w:name w:val="Table Paragraph"/>
    <w:basedOn w:val="1"/>
    <w:qFormat/>
    <w:uiPriority w:val="1"/>
    <w:pPr>
      <w:jc w:val="left"/>
    </w:pPr>
    <w:rPr>
      <w:rFonts w:ascii="Calibri" w:hAnsi="Calibri"/>
      <w:kern w:val="0"/>
      <w:sz w:val="22"/>
      <w:szCs w:val="22"/>
      <w:lang w:eastAsia="en-US"/>
    </w:rPr>
  </w:style>
  <w:style w:type="paragraph" w:customStyle="1" w:styleId="103">
    <w:name w:val="Char1"/>
    <w:basedOn w:val="1"/>
    <w:qFormat/>
    <w:uiPriority w:val="0"/>
    <w:rPr>
      <w:szCs w:val="21"/>
    </w:rPr>
  </w:style>
  <w:style w:type="paragraph" w:customStyle="1" w:styleId="104">
    <w:name w:val="正文首行缩进两字符"/>
    <w:basedOn w:val="1"/>
    <w:qFormat/>
    <w:uiPriority w:val="0"/>
    <w:pPr>
      <w:spacing w:line="360" w:lineRule="auto"/>
      <w:ind w:firstLine="200" w:firstLineChars="200"/>
    </w:p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纯文本1"/>
    <w:basedOn w:val="1"/>
    <w:qFormat/>
    <w:uiPriority w:val="0"/>
    <w:rPr>
      <w:rFonts w:ascii="宋体" w:hAnsi="Courier New" w:cs="Century"/>
      <w:szCs w:val="21"/>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9">
    <w:name w:val="List Paragraph"/>
    <w:basedOn w:val="1"/>
    <w:qFormat/>
    <w:uiPriority w:val="34"/>
    <w:pPr>
      <w:ind w:firstLine="420" w:firstLineChars="200"/>
    </w:pPr>
  </w:style>
  <w:style w:type="table" w:customStyle="1" w:styleId="110">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1">
    <w:name w:val="纯文本 Char1"/>
    <w:qFormat/>
    <w:uiPriority w:val="0"/>
    <w:rPr>
      <w:rFonts w:ascii="宋体" w:hAnsi="Courier New" w:eastAsia="宋体" w:cs="Courier New"/>
      <w:szCs w:val="21"/>
    </w:rPr>
  </w:style>
  <w:style w:type="character" w:customStyle="1" w:styleId="112">
    <w:name w:val="标题 5 Char1"/>
    <w:qFormat/>
    <w:uiPriority w:val="0"/>
    <w:rPr>
      <w:b/>
      <w:kern w:val="2"/>
      <w:sz w:val="28"/>
      <w:szCs w:val="24"/>
    </w:rPr>
  </w:style>
  <w:style w:type="character" w:customStyle="1" w:styleId="113">
    <w:name w:val="批注文字 字符2"/>
    <w:qFormat/>
    <w:uiPriority w:val="0"/>
    <w:rPr>
      <w:rFonts w:ascii="Times New Roman" w:hAnsi="Times New Roman"/>
      <w:kern w:val="2"/>
      <w:sz w:val="21"/>
      <w:szCs w:val="24"/>
    </w:rPr>
  </w:style>
  <w:style w:type="character" w:customStyle="1" w:styleId="114">
    <w:name w:val="纯文本 Char"/>
    <w:qFormat/>
    <w:uiPriority w:val="0"/>
    <w:rPr>
      <w:rFonts w:ascii="宋体" w:hAnsi="Courier New" w:eastAsia="宋体" w:cs="Courier New"/>
      <w:szCs w:val="21"/>
    </w:rPr>
  </w:style>
  <w:style w:type="paragraph" w:customStyle="1" w:styleId="115">
    <w:name w:val="正文2"/>
    <w:basedOn w:val="1"/>
    <w:qFormat/>
    <w:uiPriority w:val="0"/>
    <w:pPr>
      <w:adjustRightInd w:val="0"/>
      <w:spacing w:before="156" w:line="360" w:lineRule="auto"/>
      <w:ind w:firstLine="510" w:firstLineChars="200"/>
    </w:pPr>
    <w:rPr>
      <w:sz w:val="24"/>
      <w:szCs w:val="20"/>
    </w:rPr>
  </w:style>
  <w:style w:type="character" w:customStyle="1" w:styleId="116">
    <w:name w:val="font11"/>
    <w:basedOn w:val="49"/>
    <w:qFormat/>
    <w:uiPriority w:val="0"/>
    <w:rPr>
      <w:rFonts w:hint="eastAsia" w:ascii="宋体" w:hAnsi="宋体" w:eastAsia="宋体" w:cs="宋体"/>
      <w:color w:val="000000"/>
      <w:sz w:val="24"/>
      <w:szCs w:val="24"/>
      <w:u w:val="none"/>
    </w:rPr>
  </w:style>
  <w:style w:type="character" w:customStyle="1" w:styleId="117">
    <w:name w:val="font21"/>
    <w:basedOn w:val="49"/>
    <w:qFormat/>
    <w:uiPriority w:val="0"/>
    <w:rPr>
      <w:rFonts w:hint="eastAsia" w:ascii="宋体" w:hAnsi="宋体" w:eastAsia="宋体" w:cs="宋体"/>
      <w:color w:val="000000"/>
      <w:sz w:val="22"/>
      <w:szCs w:val="22"/>
      <w:u w:val="none"/>
    </w:rPr>
  </w:style>
  <w:style w:type="character" w:customStyle="1" w:styleId="118">
    <w:name w:val="font41"/>
    <w:basedOn w:val="49"/>
    <w:qFormat/>
    <w:uiPriority w:val="0"/>
    <w:rPr>
      <w:rFonts w:hint="default" w:ascii="Arial" w:hAnsi="Arial" w:cs="Arial"/>
      <w:color w:val="000000"/>
      <w:sz w:val="21"/>
      <w:szCs w:val="21"/>
      <w:u w:val="none"/>
    </w:rPr>
  </w:style>
  <w:style w:type="character" w:customStyle="1" w:styleId="119">
    <w:name w:val="font51"/>
    <w:basedOn w:val="49"/>
    <w:qFormat/>
    <w:uiPriority w:val="0"/>
    <w:rPr>
      <w:rFonts w:hint="default" w:ascii="Arial" w:hAnsi="Arial" w:cs="Arial"/>
      <w:color w:val="333333"/>
      <w:sz w:val="21"/>
      <w:szCs w:val="21"/>
      <w:u w:val="none"/>
    </w:rPr>
  </w:style>
  <w:style w:type="character" w:customStyle="1" w:styleId="120">
    <w:name w:val="font141"/>
    <w:basedOn w:val="49"/>
    <w:qFormat/>
    <w:uiPriority w:val="0"/>
    <w:rPr>
      <w:rFonts w:hint="eastAsia" w:ascii="宋体" w:hAnsi="宋体" w:eastAsia="宋体" w:cs="宋体"/>
      <w:color w:val="333333"/>
      <w:sz w:val="21"/>
      <w:szCs w:val="21"/>
      <w:u w:val="none"/>
    </w:rPr>
  </w:style>
  <w:style w:type="character" w:customStyle="1" w:styleId="121">
    <w:name w:val="font91"/>
    <w:basedOn w:val="49"/>
    <w:qFormat/>
    <w:uiPriority w:val="0"/>
    <w:rPr>
      <w:rFonts w:hint="default" w:ascii="Times New Roman" w:hAnsi="Times New Roman" w:cs="Times New Roman"/>
      <w:color w:val="000000"/>
      <w:sz w:val="24"/>
      <w:szCs w:val="24"/>
      <w:u w:val="none"/>
    </w:rPr>
  </w:style>
  <w:style w:type="character" w:customStyle="1" w:styleId="122">
    <w:name w:val="font151"/>
    <w:basedOn w:val="49"/>
    <w:qFormat/>
    <w:uiPriority w:val="0"/>
    <w:rPr>
      <w:rFonts w:hint="eastAsia" w:ascii="宋体" w:hAnsi="宋体" w:eastAsia="宋体" w:cs="宋体"/>
      <w:color w:val="000000"/>
      <w:sz w:val="24"/>
      <w:szCs w:val="24"/>
      <w:u w:val="none"/>
    </w:rPr>
  </w:style>
  <w:style w:type="character" w:customStyle="1" w:styleId="123">
    <w:name w:val="font61"/>
    <w:basedOn w:val="49"/>
    <w:qFormat/>
    <w:uiPriority w:val="0"/>
    <w:rPr>
      <w:rFonts w:hint="default" w:ascii="Arial" w:hAnsi="Arial" w:cs="Arial"/>
      <w:color w:val="333333"/>
      <w:sz w:val="19"/>
      <w:szCs w:val="19"/>
      <w:u w:val="none"/>
    </w:rPr>
  </w:style>
  <w:style w:type="character" w:customStyle="1" w:styleId="124">
    <w:name w:val="font131"/>
    <w:basedOn w:val="49"/>
    <w:qFormat/>
    <w:uiPriority w:val="0"/>
    <w:rPr>
      <w:rFonts w:hint="eastAsia" w:ascii="宋体" w:hAnsi="宋体" w:eastAsia="宋体" w:cs="宋体"/>
      <w:color w:val="000000"/>
      <w:sz w:val="20"/>
      <w:szCs w:val="20"/>
      <w:u w:val="none"/>
    </w:rPr>
  </w:style>
  <w:style w:type="character" w:customStyle="1" w:styleId="125">
    <w:name w:val="font161"/>
    <w:basedOn w:val="49"/>
    <w:qFormat/>
    <w:uiPriority w:val="0"/>
    <w:rPr>
      <w:rFonts w:hint="default" w:ascii="Times New Roman" w:hAnsi="Times New Roman" w:cs="Times New Roman"/>
      <w:color w:val="000000"/>
      <w:sz w:val="16"/>
      <w:szCs w:val="16"/>
      <w:u w:val="none"/>
    </w:rPr>
  </w:style>
  <w:style w:type="character" w:customStyle="1" w:styleId="126">
    <w:name w:val="font81"/>
    <w:basedOn w:val="49"/>
    <w:qFormat/>
    <w:uiPriority w:val="0"/>
    <w:rPr>
      <w:rFonts w:hint="default" w:ascii="Arial" w:hAnsi="Arial" w:cs="Arial"/>
      <w:color w:val="333333"/>
      <w:sz w:val="20"/>
      <w:szCs w:val="20"/>
      <w:u w:val="none"/>
    </w:rPr>
  </w:style>
  <w:style w:type="character" w:customStyle="1" w:styleId="127">
    <w:name w:val="font171"/>
    <w:basedOn w:val="49"/>
    <w:qFormat/>
    <w:uiPriority w:val="0"/>
    <w:rPr>
      <w:rFonts w:hint="eastAsia" w:ascii="宋体" w:hAnsi="宋体" w:eastAsia="宋体" w:cs="宋体"/>
      <w:color w:val="333333"/>
      <w:sz w:val="20"/>
      <w:szCs w:val="20"/>
      <w:u w:val="none"/>
    </w:rPr>
  </w:style>
  <w:style w:type="character" w:customStyle="1" w:styleId="128">
    <w:name w:val="font101"/>
    <w:basedOn w:val="49"/>
    <w:qFormat/>
    <w:uiPriority w:val="0"/>
    <w:rPr>
      <w:rFonts w:hint="default" w:ascii="Times New Roman" w:hAnsi="Times New Roman" w:cs="Times New Roman"/>
      <w:color w:val="000000"/>
      <w:sz w:val="21"/>
      <w:szCs w:val="21"/>
      <w:u w:val="none"/>
    </w:rPr>
  </w:style>
  <w:style w:type="character" w:customStyle="1" w:styleId="129">
    <w:name w:val="font181"/>
    <w:basedOn w:val="49"/>
    <w:qFormat/>
    <w:uiPriority w:val="0"/>
    <w:rPr>
      <w:rFonts w:hint="eastAsia" w:ascii="宋体" w:hAnsi="宋体" w:eastAsia="宋体" w:cs="宋体"/>
      <w:color w:val="000000"/>
      <w:sz w:val="21"/>
      <w:szCs w:val="21"/>
      <w:u w:val="none"/>
    </w:rPr>
  </w:style>
  <w:style w:type="character" w:customStyle="1" w:styleId="130">
    <w:name w:val="font191"/>
    <w:basedOn w:val="49"/>
    <w:qFormat/>
    <w:uiPriority w:val="0"/>
    <w:rPr>
      <w:rFonts w:hint="default" w:ascii="Times New Roman" w:hAnsi="Times New Roman" w:cs="Times New Roman"/>
      <w:color w:val="000000"/>
      <w:sz w:val="21"/>
      <w:szCs w:val="21"/>
      <w:u w:val="none"/>
      <w:vertAlign w:val="subscript"/>
    </w:rPr>
  </w:style>
  <w:style w:type="character" w:customStyle="1" w:styleId="131">
    <w:name w:val="font201"/>
    <w:basedOn w:val="49"/>
    <w:qFormat/>
    <w:uiPriority w:val="0"/>
    <w:rPr>
      <w:rFonts w:hint="default" w:ascii="Arial" w:hAnsi="Arial" w:cs="Arial"/>
      <w:b/>
      <w:bCs/>
      <w:color w:val="333333"/>
      <w:sz w:val="30"/>
      <w:szCs w:val="30"/>
      <w:u w:val="none"/>
    </w:rPr>
  </w:style>
  <w:style w:type="character" w:customStyle="1" w:styleId="132">
    <w:name w:val="font121"/>
    <w:basedOn w:val="49"/>
    <w:qFormat/>
    <w:uiPriority w:val="0"/>
    <w:rPr>
      <w:rFonts w:hint="eastAsia" w:ascii="宋体" w:hAnsi="宋体" w:eastAsia="宋体" w:cs="宋体"/>
      <w:color w:val="000000"/>
      <w:sz w:val="19"/>
      <w:szCs w:val="19"/>
      <w:u w:val="none"/>
    </w:rPr>
  </w:style>
  <w:style w:type="character" w:customStyle="1" w:styleId="133">
    <w:name w:val="font112"/>
    <w:basedOn w:val="49"/>
    <w:qFormat/>
    <w:uiPriority w:val="0"/>
    <w:rPr>
      <w:rFonts w:hint="default" w:ascii="Arial" w:hAnsi="Arial" w:cs="Arial"/>
      <w:color w:val="000000"/>
      <w:sz w:val="19"/>
      <w:szCs w:val="19"/>
      <w:u w:val="none"/>
    </w:rPr>
  </w:style>
  <w:style w:type="character" w:customStyle="1" w:styleId="134">
    <w:name w:val="font212"/>
    <w:basedOn w:val="49"/>
    <w:qFormat/>
    <w:uiPriority w:val="0"/>
    <w:rPr>
      <w:rFonts w:hint="default" w:ascii="Arial" w:hAnsi="Arial" w:cs="Arial"/>
      <w:b/>
      <w:bCs/>
      <w:color w:val="333333"/>
      <w:sz w:val="21"/>
      <w:szCs w:val="21"/>
      <w:u w:val="none"/>
    </w:rPr>
  </w:style>
  <w:style w:type="character" w:customStyle="1" w:styleId="135">
    <w:name w:val="font71"/>
    <w:basedOn w:val="49"/>
    <w:qFormat/>
    <w:uiPriority w:val="0"/>
    <w:rPr>
      <w:rFonts w:hint="default" w:ascii="Times New Roman" w:hAnsi="Times New Roman" w:cs="Times New Roman"/>
      <w:color w:val="000000"/>
      <w:sz w:val="20"/>
      <w:szCs w:val="20"/>
      <w:u w:val="none"/>
    </w:rPr>
  </w:style>
  <w:style w:type="character" w:customStyle="1" w:styleId="136">
    <w:name w:val="font221"/>
    <w:basedOn w:val="49"/>
    <w:qFormat/>
    <w:uiPriority w:val="0"/>
    <w:rPr>
      <w:rFonts w:hint="eastAsia" w:ascii="宋体" w:hAnsi="宋体" w:eastAsia="宋体" w:cs="宋体"/>
      <w:color w:val="333333"/>
      <w:sz w:val="20"/>
      <w:szCs w:val="20"/>
      <w:u w:val="none"/>
    </w:rPr>
  </w:style>
  <w:style w:type="character" w:customStyle="1" w:styleId="137">
    <w:name w:val="font231"/>
    <w:basedOn w:val="49"/>
    <w:qFormat/>
    <w:uiPriority w:val="0"/>
    <w:rPr>
      <w:rFonts w:hint="default" w:ascii="Helvetica" w:hAnsi="Helvetica" w:eastAsia="Helvetica" w:cs="Helvetica"/>
      <w:color w:val="333333"/>
      <w:sz w:val="21"/>
      <w:szCs w:val="21"/>
      <w:u w:val="none"/>
    </w:rPr>
  </w:style>
  <w:style w:type="character" w:customStyle="1" w:styleId="138">
    <w:name w:val="font241"/>
    <w:basedOn w:val="49"/>
    <w:qFormat/>
    <w:uiPriority w:val="0"/>
    <w:rPr>
      <w:rFonts w:hint="eastAsia" w:ascii="宋体" w:hAnsi="宋体" w:eastAsia="宋体" w:cs="宋体"/>
      <w:color w:val="333333"/>
      <w:sz w:val="21"/>
      <w:szCs w:val="21"/>
      <w:u w:val="none"/>
    </w:rPr>
  </w:style>
  <w:style w:type="character" w:customStyle="1" w:styleId="139">
    <w:name w:val="font251"/>
    <w:basedOn w:val="49"/>
    <w:qFormat/>
    <w:uiPriority w:val="0"/>
    <w:rPr>
      <w:rFonts w:hint="default" w:ascii="Times New Roman" w:hAnsi="Times New Roman" w:cs="Times New Roman"/>
      <w:color w:val="000000"/>
      <w:sz w:val="18"/>
      <w:szCs w:val="18"/>
      <w:u w:val="none"/>
    </w:rPr>
  </w:style>
  <w:style w:type="character" w:customStyle="1" w:styleId="140">
    <w:name w:val="font261"/>
    <w:basedOn w:val="49"/>
    <w:qFormat/>
    <w:uiPriority w:val="0"/>
    <w:rPr>
      <w:rFonts w:hint="eastAsia" w:ascii="宋体" w:hAnsi="宋体" w:eastAsia="宋体" w:cs="宋体"/>
      <w:color w:val="000000"/>
      <w:sz w:val="20"/>
      <w:szCs w:val="20"/>
      <w:u w:val="none"/>
    </w:rPr>
  </w:style>
  <w:style w:type="character" w:customStyle="1" w:styleId="141">
    <w:name w:val="font271"/>
    <w:basedOn w:val="49"/>
    <w:qFormat/>
    <w:uiPriority w:val="0"/>
    <w:rPr>
      <w:rFonts w:hint="default" w:ascii="Times New Roman" w:hAnsi="Times New Roman" w:cs="Times New Roman"/>
      <w:color w:val="000000"/>
      <w:sz w:val="20"/>
      <w:szCs w:val="20"/>
      <w:u w:val="none"/>
    </w:rPr>
  </w:style>
  <w:style w:type="character" w:customStyle="1" w:styleId="142">
    <w:name w:val="font281"/>
    <w:basedOn w:val="49"/>
    <w:qFormat/>
    <w:uiPriority w:val="0"/>
    <w:rPr>
      <w:rFonts w:hint="eastAsia" w:ascii="宋体" w:hAnsi="宋体" w:eastAsia="宋体" w:cs="宋体"/>
      <w:color w:val="333333"/>
      <w:sz w:val="22"/>
      <w:szCs w:val="22"/>
      <w:u w:val="none"/>
    </w:rPr>
  </w:style>
  <w:style w:type="character" w:customStyle="1" w:styleId="143">
    <w:name w:val="font22"/>
    <w:basedOn w:val="49"/>
    <w:qFormat/>
    <w:uiPriority w:val="0"/>
    <w:rPr>
      <w:rFonts w:hint="eastAsia" w:ascii="宋体" w:hAnsi="宋体" w:eastAsia="宋体" w:cs="宋体"/>
      <w:color w:val="000000"/>
      <w:sz w:val="22"/>
      <w:szCs w:val="22"/>
      <w:u w:val="none"/>
    </w:rPr>
  </w:style>
  <w:style w:type="character" w:customStyle="1" w:styleId="144">
    <w:name w:val="font211"/>
    <w:basedOn w:val="49"/>
    <w:qFormat/>
    <w:uiPriority w:val="0"/>
    <w:rPr>
      <w:rFonts w:hint="eastAsia" w:ascii="宋体" w:hAnsi="宋体" w:eastAsia="宋体" w:cs="宋体"/>
      <w:b/>
      <w:bCs/>
      <w:color w:val="333333"/>
      <w:sz w:val="22"/>
      <w:szCs w:val="22"/>
      <w:u w:val="none"/>
    </w:rPr>
  </w:style>
  <w:style w:type="character" w:customStyle="1" w:styleId="145">
    <w:name w:val="font01"/>
    <w:basedOn w:val="49"/>
    <w:qFormat/>
    <w:uiPriority w:val="0"/>
    <w:rPr>
      <w:rFonts w:hint="eastAsia" w:ascii="宋体" w:hAnsi="宋体" w:eastAsia="宋体" w:cs="宋体"/>
      <w:color w:val="000000"/>
      <w:sz w:val="22"/>
      <w:szCs w:val="22"/>
      <w:u w:val="none"/>
    </w:rPr>
  </w:style>
  <w:style w:type="character" w:customStyle="1" w:styleId="146">
    <w:name w:val="font31"/>
    <w:basedOn w:val="49"/>
    <w:qFormat/>
    <w:uiPriority w:val="0"/>
    <w:rPr>
      <w:rFonts w:hint="default" w:ascii="Times New Roman" w:hAnsi="Times New Roman" w:cs="Times New Roman"/>
      <w:color w:val="000000"/>
      <w:sz w:val="24"/>
      <w:szCs w:val="24"/>
      <w:u w:val="none"/>
    </w:rPr>
  </w:style>
  <w:style w:type="paragraph" w:customStyle="1" w:styleId="147">
    <w:name w:val="列出段落1"/>
    <w:basedOn w:val="1"/>
    <w:qFormat/>
    <w:uiPriority w:val="0"/>
    <w:pPr>
      <w:ind w:firstLine="420"/>
    </w:pPr>
  </w:style>
  <w:style w:type="paragraph" w:customStyle="1" w:styleId="1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9">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9"/>
      <w:szCs w:val="19"/>
      <w:lang w:val="en-US" w:eastAsia="en-US" w:bidi="ar-SA"/>
    </w:rPr>
  </w:style>
  <w:style w:type="paragraph" w:customStyle="1" w:styleId="150">
    <w:name w:val="表格文字"/>
    <w:basedOn w:val="18"/>
    <w:qFormat/>
    <w:uiPriority w:val="0"/>
    <w:pPr>
      <w:adjustRightInd w:val="0"/>
      <w:spacing w:line="420" w:lineRule="atLeast"/>
      <w:textAlignment w:val="baseline"/>
    </w:pPr>
    <w:rPr>
      <w:rFonts w:ascii="Times New Roman"/>
      <w:sz w:val="21"/>
    </w:rPr>
  </w:style>
  <w:style w:type="paragraph" w:customStyle="1" w:styleId="15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796B7-CCDE-4742-AAF6-A29DCCA0CFD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112</Pages>
  <Words>24773</Words>
  <Characters>25760</Characters>
  <Lines>548</Lines>
  <Paragraphs>154</Paragraphs>
  <TotalTime>39</TotalTime>
  <ScaleCrop>false</ScaleCrop>
  <LinksUpToDate>false</LinksUpToDate>
  <CharactersWithSpaces>25966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2026-04-09T11:54:00Z</dcterms:created>
  <dc:creator>番茄花园</dc:creator>
  <cp:lastModifiedBy>宏冠公司招标二部-冼凌晨</cp:lastModifiedBy>
  <cp:lastPrinted>2026-04-12T16:52:00Z</cp:lastPrinted>
  <dcterms:modified xsi:type="dcterms:W3CDTF">2026-04-30T12:07:00Z</dcterms:modified>
  <dc:title>公开招标采购文件范本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EDD519F21539401080632CBB48D150DC_13</vt:lpwstr>
  </property>
  <property fmtid="{D5CDD505-2E9C-101B-9397-08002B2CF9AE}" pid="4" name="KSOTemplateDocerSaveRecord">
    <vt:lpwstr>eyJoZGlkIjoiOTc5ODk5NDY3MmRjZGIxOGQzYzhhMTllYmU0MjI0ZTgiLCJ1c2VySWQiOiIxNjEwMDEyNjg4In0=</vt:lpwstr>
  </property>
</Properties>
</file>