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EF15F">
      <w:pPr>
        <w:spacing w:before="156" w:beforeLines="50"/>
        <w:jc w:val="center"/>
        <w:rPr>
          <w:rFonts w:ascii="仿宋_GB2312" w:eastAsia="仿宋_GB2312"/>
          <w:b/>
          <w:color w:val="auto"/>
          <w:sz w:val="72"/>
          <w:szCs w:val="72"/>
          <w:highlight w:val="none"/>
        </w:rPr>
      </w:pPr>
    </w:p>
    <w:p w14:paraId="48555401">
      <w:pPr>
        <w:pStyle w:val="2"/>
        <w:rPr>
          <w:color w:val="auto"/>
          <w:highlight w:val="none"/>
        </w:rPr>
      </w:pPr>
    </w:p>
    <w:p w14:paraId="29AB0487">
      <w:pPr>
        <w:spacing w:before="156" w:beforeLines="50"/>
        <w:jc w:val="center"/>
        <w:rPr>
          <w:rFonts w:hint="eastAsia" w:ascii="仿宋" w:hAnsi="仿宋" w:eastAsia="仿宋" w:cs="仿宋"/>
          <w:b/>
          <w:bCs/>
          <w:color w:val="auto"/>
          <w:sz w:val="72"/>
          <w:szCs w:val="72"/>
          <w:highlight w:val="none"/>
        </w:rPr>
      </w:pPr>
      <w:r>
        <w:rPr>
          <w:rFonts w:hint="eastAsia" w:ascii="仿宋" w:hAnsi="仿宋" w:eastAsia="仿宋" w:cs="仿宋"/>
          <w:b/>
          <w:bCs/>
          <w:color w:val="auto"/>
          <w:sz w:val="72"/>
          <w:szCs w:val="72"/>
          <w:highlight w:val="none"/>
        </w:rPr>
        <w:t>公开招标采购文件</w:t>
      </w:r>
    </w:p>
    <w:p w14:paraId="425FB2F0">
      <w:pPr>
        <w:snapToGrid w:val="0"/>
        <w:jc w:val="center"/>
        <w:rPr>
          <w:rFonts w:ascii="仿宋_GB2312" w:eastAsia="仿宋_GB2312"/>
          <w:color w:val="auto"/>
          <w:sz w:val="48"/>
          <w:szCs w:val="48"/>
          <w:highlight w:val="none"/>
        </w:rPr>
      </w:pPr>
    </w:p>
    <w:p w14:paraId="19FFAD07">
      <w:pPr>
        <w:snapToGrid w:val="0"/>
        <w:jc w:val="center"/>
        <w:rPr>
          <w:rFonts w:ascii="仿宋_GB2312" w:eastAsia="仿宋_GB2312"/>
          <w:color w:val="auto"/>
          <w:sz w:val="48"/>
          <w:szCs w:val="48"/>
          <w:highlight w:val="none"/>
        </w:rPr>
      </w:pPr>
    </w:p>
    <w:p w14:paraId="458DC333">
      <w:pPr>
        <w:snapToGrid w:val="0"/>
        <w:jc w:val="center"/>
        <w:rPr>
          <w:rFonts w:ascii="仿宋_GB2312" w:eastAsia="仿宋_GB2312"/>
          <w:color w:val="auto"/>
          <w:sz w:val="48"/>
          <w:szCs w:val="48"/>
          <w:highlight w:val="none"/>
        </w:rPr>
      </w:pPr>
    </w:p>
    <w:p w14:paraId="05A30AA6">
      <w:pPr>
        <w:snapToGrid w:val="0"/>
        <w:jc w:val="center"/>
        <w:rPr>
          <w:rFonts w:ascii="仿宋_GB2312" w:eastAsia="仿宋_GB2312"/>
          <w:color w:val="auto"/>
          <w:sz w:val="48"/>
          <w:szCs w:val="48"/>
          <w:highlight w:val="none"/>
        </w:rPr>
      </w:pPr>
    </w:p>
    <w:p w14:paraId="12DAAA37">
      <w:pPr>
        <w:pageBreakBefore w:val="0"/>
        <w:widowControl w:val="0"/>
        <w:kinsoku/>
        <w:wordWrap/>
        <w:overflowPunct/>
        <w:topLinePunct w:val="0"/>
        <w:autoSpaceDE/>
        <w:autoSpaceDN/>
        <w:bidi w:val="0"/>
        <w:adjustRightInd/>
        <w:snapToGrid w:val="0"/>
        <w:spacing w:line="500" w:lineRule="exact"/>
        <w:ind w:firstLine="1584" w:firstLineChars="493"/>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项目编号：</w:t>
      </w:r>
      <w:r>
        <w:rPr>
          <w:rFonts w:hint="eastAsia" w:ascii="宋体" w:hAnsi="宋体" w:eastAsia="宋体" w:cs="宋体"/>
          <w:b/>
          <w:bCs/>
          <w:color w:val="auto"/>
          <w:sz w:val="32"/>
          <w:szCs w:val="32"/>
          <w:highlight w:val="none"/>
          <w:lang w:eastAsia="zh-CN"/>
        </w:rPr>
        <w:t>GXZC2026-G1-003166-CGZX</w:t>
      </w:r>
      <w:r>
        <w:rPr>
          <w:rFonts w:hint="eastAsia" w:ascii="宋体" w:hAnsi="宋体" w:eastAsia="宋体" w:cs="宋体"/>
          <w:b/>
          <w:bCs/>
          <w:color w:val="auto"/>
          <w:sz w:val="32"/>
          <w:szCs w:val="32"/>
          <w:highlight w:val="none"/>
        </w:rPr>
        <w:t xml:space="preserve"> </w:t>
      </w:r>
    </w:p>
    <w:p w14:paraId="10E0CAB9">
      <w:pPr>
        <w:pageBreakBefore w:val="0"/>
        <w:widowControl w:val="0"/>
        <w:kinsoku/>
        <w:wordWrap/>
        <w:overflowPunct/>
        <w:topLinePunct w:val="0"/>
        <w:autoSpaceDE/>
        <w:autoSpaceDN/>
        <w:bidi w:val="0"/>
        <w:adjustRightInd/>
        <w:snapToGrid w:val="0"/>
        <w:spacing w:line="500" w:lineRule="exact"/>
        <w:ind w:firstLine="1843"/>
        <w:textAlignment w:val="auto"/>
        <w:rPr>
          <w:rFonts w:hint="eastAsia" w:ascii="宋体" w:hAnsi="宋体" w:eastAsia="宋体" w:cs="宋体"/>
          <w:b/>
          <w:bCs/>
          <w:color w:val="auto"/>
          <w:sz w:val="32"/>
          <w:szCs w:val="32"/>
          <w:highlight w:val="none"/>
        </w:rPr>
      </w:pPr>
    </w:p>
    <w:p w14:paraId="1475C7C7">
      <w:pPr>
        <w:pageBreakBefore w:val="0"/>
        <w:widowControl w:val="0"/>
        <w:kinsoku/>
        <w:wordWrap/>
        <w:overflowPunct/>
        <w:topLinePunct w:val="0"/>
        <w:autoSpaceDE/>
        <w:autoSpaceDN/>
        <w:bidi w:val="0"/>
        <w:adjustRightInd/>
        <w:snapToGrid w:val="0"/>
        <w:spacing w:line="500" w:lineRule="exact"/>
        <w:ind w:left="3202" w:leftChars="760" w:hanging="1606" w:hangingChars="500"/>
        <w:textAlignment w:val="auto"/>
        <w:rPr>
          <w:rFonts w:hint="eastAsia" w:ascii="宋体" w:hAnsi="宋体" w:eastAsia="宋体" w:cs="宋体"/>
          <w:b/>
          <w:bCs w:val="0"/>
          <w:color w:val="auto"/>
          <w:sz w:val="32"/>
          <w:highlight w:val="none"/>
          <w:lang w:eastAsia="zh-CN"/>
        </w:rPr>
      </w:pPr>
      <w:r>
        <w:rPr>
          <w:rFonts w:hint="eastAsia" w:ascii="宋体" w:hAnsi="宋体" w:eastAsia="宋体" w:cs="宋体"/>
          <w:b/>
          <w:color w:val="auto"/>
          <w:sz w:val="32"/>
          <w:szCs w:val="32"/>
          <w:highlight w:val="none"/>
        </w:rPr>
        <w:t>项</w:t>
      </w:r>
      <w:r>
        <w:rPr>
          <w:rFonts w:hint="eastAsia" w:ascii="宋体" w:hAnsi="宋体" w:eastAsia="宋体" w:cs="宋体"/>
          <w:b/>
          <w:bCs w:val="0"/>
          <w:color w:val="auto"/>
          <w:sz w:val="32"/>
          <w:szCs w:val="32"/>
          <w:highlight w:val="none"/>
        </w:rPr>
        <w:t>目名称：</w:t>
      </w:r>
      <w:r>
        <w:rPr>
          <w:rFonts w:hint="eastAsia" w:ascii="宋体" w:hAnsi="宋体" w:eastAsia="宋体" w:cs="宋体"/>
          <w:b/>
          <w:bCs w:val="0"/>
          <w:color w:val="auto"/>
          <w:sz w:val="32"/>
          <w:highlight w:val="none"/>
          <w:lang w:eastAsia="zh-CN"/>
        </w:rPr>
        <w:t>广西天然药物研究院及智慧康养护理中心</w:t>
      </w:r>
    </w:p>
    <w:p w14:paraId="374AEEAD">
      <w:pPr>
        <w:pageBreakBefore w:val="0"/>
        <w:widowControl w:val="0"/>
        <w:kinsoku/>
        <w:wordWrap/>
        <w:overflowPunct/>
        <w:topLinePunct w:val="0"/>
        <w:autoSpaceDE/>
        <w:autoSpaceDN/>
        <w:bidi w:val="0"/>
        <w:adjustRightInd/>
        <w:snapToGrid w:val="0"/>
        <w:spacing w:line="500" w:lineRule="exact"/>
        <w:ind w:left="3192" w:leftChars="1520" w:firstLine="0" w:firstLineChars="0"/>
        <w:textAlignment w:val="auto"/>
        <w:rPr>
          <w:rFonts w:hint="eastAsia" w:ascii="宋体" w:hAnsi="宋体" w:eastAsia="宋体" w:cs="宋体"/>
          <w:b/>
          <w:color w:val="auto"/>
          <w:sz w:val="32"/>
          <w:szCs w:val="32"/>
          <w:highlight w:val="none"/>
        </w:rPr>
      </w:pPr>
      <w:r>
        <w:rPr>
          <w:rFonts w:hint="eastAsia" w:ascii="宋体" w:hAnsi="宋体" w:eastAsia="宋体" w:cs="宋体"/>
          <w:b/>
          <w:bCs w:val="0"/>
          <w:color w:val="auto"/>
          <w:sz w:val="32"/>
          <w:highlight w:val="none"/>
          <w:lang w:eastAsia="zh-CN"/>
        </w:rPr>
        <w:t>实验家具采购</w:t>
      </w:r>
    </w:p>
    <w:p w14:paraId="26180109">
      <w:pPr>
        <w:pStyle w:val="11"/>
        <w:rPr>
          <w:rFonts w:hint="eastAsia"/>
          <w:color w:val="auto"/>
          <w:highlight w:val="none"/>
        </w:rPr>
      </w:pPr>
    </w:p>
    <w:p w14:paraId="49F32D43">
      <w:pPr>
        <w:pageBreakBefore w:val="0"/>
        <w:widowControl w:val="0"/>
        <w:kinsoku/>
        <w:wordWrap/>
        <w:overflowPunct/>
        <w:topLinePunct w:val="0"/>
        <w:autoSpaceDE/>
        <w:autoSpaceDN/>
        <w:bidi w:val="0"/>
        <w:adjustRightInd/>
        <w:snapToGrid w:val="0"/>
        <w:spacing w:line="500" w:lineRule="exact"/>
        <w:ind w:firstLine="1584" w:firstLineChars="493"/>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采购单位：</w:t>
      </w:r>
      <w:r>
        <w:rPr>
          <w:rFonts w:hint="eastAsia" w:ascii="宋体" w:hAnsi="宋体" w:eastAsia="宋体" w:cs="宋体"/>
          <w:b/>
          <w:color w:val="auto"/>
          <w:sz w:val="32"/>
          <w:szCs w:val="32"/>
          <w:highlight w:val="none"/>
          <w:lang w:eastAsia="zh-CN"/>
        </w:rPr>
        <w:t>广西中医药大学</w:t>
      </w:r>
      <w:r>
        <w:rPr>
          <w:rFonts w:hint="eastAsia" w:ascii="宋体" w:hAnsi="宋体" w:eastAsia="宋体" w:cs="宋体"/>
          <w:b/>
          <w:color w:val="auto"/>
          <w:sz w:val="32"/>
          <w:szCs w:val="32"/>
          <w:highlight w:val="none"/>
        </w:rPr>
        <w:t xml:space="preserve"> </w:t>
      </w:r>
    </w:p>
    <w:p w14:paraId="342C2216">
      <w:pPr>
        <w:pageBreakBefore w:val="0"/>
        <w:widowControl w:val="0"/>
        <w:kinsoku/>
        <w:wordWrap/>
        <w:overflowPunct/>
        <w:topLinePunct w:val="0"/>
        <w:autoSpaceDE/>
        <w:autoSpaceDN/>
        <w:bidi w:val="0"/>
        <w:adjustRightInd/>
        <w:snapToGrid w:val="0"/>
        <w:spacing w:line="500" w:lineRule="exact"/>
        <w:ind w:firstLine="3052" w:firstLineChars="950"/>
        <w:textAlignment w:val="auto"/>
        <w:rPr>
          <w:rFonts w:hint="eastAsia" w:ascii="宋体" w:hAnsi="宋体" w:eastAsia="宋体" w:cs="宋体"/>
          <w:b/>
          <w:color w:val="auto"/>
          <w:sz w:val="32"/>
          <w:szCs w:val="32"/>
          <w:highlight w:val="none"/>
        </w:rPr>
      </w:pPr>
    </w:p>
    <w:p w14:paraId="20BF8BE4">
      <w:pPr>
        <w:pageBreakBefore w:val="0"/>
        <w:widowControl w:val="0"/>
        <w:kinsoku/>
        <w:wordWrap/>
        <w:overflowPunct/>
        <w:topLinePunct w:val="0"/>
        <w:autoSpaceDE/>
        <w:autoSpaceDN/>
        <w:bidi w:val="0"/>
        <w:adjustRightInd/>
        <w:spacing w:line="500" w:lineRule="exact"/>
        <w:ind w:firstLine="3052" w:firstLineChars="950"/>
        <w:textAlignment w:val="auto"/>
        <w:rPr>
          <w:rFonts w:hint="eastAsia" w:ascii="宋体" w:hAnsi="宋体" w:eastAsia="宋体" w:cs="宋体"/>
          <w:b/>
          <w:color w:val="auto"/>
          <w:sz w:val="32"/>
          <w:szCs w:val="32"/>
          <w:highlight w:val="none"/>
        </w:rPr>
      </w:pPr>
    </w:p>
    <w:p w14:paraId="7C6A1B0D">
      <w:pPr>
        <w:pageBreakBefore w:val="0"/>
        <w:widowControl w:val="0"/>
        <w:kinsoku/>
        <w:wordWrap/>
        <w:overflowPunct/>
        <w:topLinePunct w:val="0"/>
        <w:autoSpaceDE/>
        <w:autoSpaceDN/>
        <w:bidi w:val="0"/>
        <w:adjustRightInd/>
        <w:spacing w:line="500" w:lineRule="exact"/>
        <w:ind w:firstLine="3052" w:firstLineChars="950"/>
        <w:textAlignment w:val="auto"/>
        <w:rPr>
          <w:rFonts w:hint="eastAsia" w:ascii="宋体" w:hAnsi="宋体" w:eastAsia="宋体" w:cs="宋体"/>
          <w:b/>
          <w:color w:val="auto"/>
          <w:sz w:val="32"/>
          <w:szCs w:val="32"/>
          <w:highlight w:val="none"/>
        </w:rPr>
      </w:pPr>
    </w:p>
    <w:p w14:paraId="53C5A0F0">
      <w:pPr>
        <w:pageBreakBefore w:val="0"/>
        <w:widowControl w:val="0"/>
        <w:kinsoku/>
        <w:wordWrap/>
        <w:overflowPunct/>
        <w:topLinePunct w:val="0"/>
        <w:autoSpaceDE/>
        <w:autoSpaceDN/>
        <w:bidi w:val="0"/>
        <w:adjustRightInd/>
        <w:spacing w:line="500" w:lineRule="exact"/>
        <w:ind w:firstLine="3052" w:firstLineChars="950"/>
        <w:textAlignment w:val="auto"/>
        <w:rPr>
          <w:rFonts w:hint="eastAsia" w:ascii="宋体" w:hAnsi="宋体" w:eastAsia="宋体" w:cs="宋体"/>
          <w:b/>
          <w:color w:val="auto"/>
          <w:sz w:val="32"/>
          <w:szCs w:val="32"/>
          <w:highlight w:val="none"/>
        </w:rPr>
      </w:pPr>
    </w:p>
    <w:p w14:paraId="7F0C8684">
      <w:pPr>
        <w:pageBreakBefore w:val="0"/>
        <w:widowControl w:val="0"/>
        <w:kinsoku/>
        <w:wordWrap/>
        <w:overflowPunct/>
        <w:topLinePunct w:val="0"/>
        <w:autoSpaceDE/>
        <w:autoSpaceDN/>
        <w:bidi w:val="0"/>
        <w:adjustRightInd/>
        <w:spacing w:line="500" w:lineRule="exact"/>
        <w:textAlignment w:val="auto"/>
        <w:rPr>
          <w:rFonts w:hint="eastAsia" w:ascii="宋体" w:hAnsi="宋体" w:eastAsia="宋体" w:cs="宋体"/>
          <w:b/>
          <w:color w:val="auto"/>
          <w:sz w:val="32"/>
          <w:szCs w:val="32"/>
          <w:highlight w:val="none"/>
        </w:rPr>
      </w:pPr>
    </w:p>
    <w:p w14:paraId="6E9D8820">
      <w:pPr>
        <w:pStyle w:val="4"/>
        <w:pageBreakBefore w:val="0"/>
        <w:widowControl w:val="0"/>
        <w:kinsoku/>
        <w:wordWrap/>
        <w:overflowPunct/>
        <w:topLinePunct w:val="0"/>
        <w:autoSpaceDE/>
        <w:autoSpaceDN/>
        <w:bidi w:val="0"/>
        <w:adjustRightInd/>
        <w:spacing w:line="500" w:lineRule="exact"/>
        <w:textAlignment w:val="auto"/>
        <w:rPr>
          <w:rFonts w:hint="eastAsia" w:ascii="宋体" w:hAnsi="宋体" w:eastAsia="宋体" w:cs="宋体"/>
          <w:color w:val="auto"/>
          <w:sz w:val="32"/>
          <w:szCs w:val="32"/>
          <w:highlight w:val="none"/>
        </w:rPr>
      </w:pPr>
    </w:p>
    <w:p w14:paraId="166D586F">
      <w:pPr>
        <w:pageBreakBefore w:val="0"/>
        <w:widowControl w:val="0"/>
        <w:kinsoku/>
        <w:wordWrap/>
        <w:overflowPunct/>
        <w:topLinePunct w:val="0"/>
        <w:autoSpaceDE/>
        <w:autoSpaceDN/>
        <w:bidi w:val="0"/>
        <w:adjustRightInd/>
        <w:snapToGrid w:val="0"/>
        <w:spacing w:before="156" w:beforeLines="50" w:line="500" w:lineRule="exact"/>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 xml:space="preserve">        采购代理机构：广西壮族自治区政府采购中心</w:t>
      </w:r>
    </w:p>
    <w:p w14:paraId="5365F8C6">
      <w:pPr>
        <w:pageBreakBefore w:val="0"/>
        <w:widowControl w:val="0"/>
        <w:kinsoku/>
        <w:wordWrap/>
        <w:overflowPunct/>
        <w:topLinePunct w:val="0"/>
        <w:autoSpaceDE/>
        <w:autoSpaceDN/>
        <w:bidi w:val="0"/>
        <w:adjustRightInd/>
        <w:snapToGrid w:val="0"/>
        <w:spacing w:before="156" w:beforeLines="50" w:line="500" w:lineRule="exact"/>
        <w:jc w:val="center"/>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2026年</w:t>
      </w:r>
      <w:r>
        <w:rPr>
          <w:rFonts w:hint="eastAsia" w:ascii="宋体" w:hAnsi="宋体" w:eastAsia="宋体" w:cs="宋体"/>
          <w:b/>
          <w:color w:val="auto"/>
          <w:sz w:val="32"/>
          <w:szCs w:val="32"/>
          <w:highlight w:val="none"/>
          <w:lang w:val="en-US" w:eastAsia="zh-CN"/>
        </w:rPr>
        <w:t>9</w:t>
      </w:r>
      <w:r>
        <w:rPr>
          <w:rFonts w:hint="eastAsia" w:ascii="宋体" w:hAnsi="宋体" w:eastAsia="宋体" w:cs="宋体"/>
          <w:b/>
          <w:color w:val="auto"/>
          <w:sz w:val="32"/>
          <w:szCs w:val="32"/>
          <w:highlight w:val="none"/>
        </w:rPr>
        <w:t>月</w:t>
      </w:r>
    </w:p>
    <w:p w14:paraId="5A16478C">
      <w:pPr>
        <w:pStyle w:val="1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32"/>
          <w:szCs w:val="32"/>
          <w:highlight w:val="none"/>
        </w:rPr>
      </w:pPr>
    </w:p>
    <w:p w14:paraId="38AD0CF8">
      <w:pPr>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32"/>
          <w:szCs w:val="32"/>
          <w:highlight w:val="none"/>
        </w:rPr>
        <w:sectPr>
          <w:footerReference r:id="rId3" w:type="default"/>
          <w:pgSz w:w="11906" w:h="16838"/>
          <w:pgMar w:top="1247" w:right="1247" w:bottom="1247" w:left="1247" w:header="851" w:footer="992" w:gutter="0"/>
          <w:pgNumType w:fmt="decimal" w:start="1"/>
          <w:cols w:space="720" w:num="1"/>
          <w:docGrid w:type="lines" w:linePitch="312" w:charSpace="0"/>
        </w:sectPr>
      </w:pPr>
    </w:p>
    <w:p w14:paraId="01B034B6">
      <w:pPr>
        <w:pageBreakBefore w:val="0"/>
        <w:widowControl w:val="0"/>
        <w:tabs>
          <w:tab w:val="left" w:pos="5969"/>
        </w:tabs>
        <w:kinsoku/>
        <w:wordWrap/>
        <w:overflowPunct/>
        <w:topLinePunct w:val="0"/>
        <w:autoSpaceDE/>
        <w:autoSpaceDN/>
        <w:bidi w:val="0"/>
        <w:spacing w:line="360" w:lineRule="exact"/>
        <w:textAlignment w:val="auto"/>
        <w:rPr>
          <w:rFonts w:hint="eastAsia" w:ascii="宋体" w:hAnsi="宋体" w:eastAsia="宋体" w:cs="宋体"/>
          <w:color w:val="auto"/>
          <w:sz w:val="36"/>
          <w:szCs w:val="36"/>
          <w:highlight w:val="none"/>
          <w:lang w:eastAsia="zh-CN"/>
        </w:rPr>
      </w:pPr>
      <w:r>
        <w:rPr>
          <w:rFonts w:hint="eastAsia" w:ascii="宋体" w:hAnsi="宋体" w:eastAsia="宋体" w:cs="宋体"/>
          <w:color w:val="auto"/>
          <w:sz w:val="36"/>
          <w:szCs w:val="36"/>
          <w:highlight w:val="none"/>
          <w:lang w:eastAsia="zh-CN"/>
        </w:rPr>
        <w:tab/>
      </w:r>
    </w:p>
    <w:p w14:paraId="1F7D362B">
      <w:pPr>
        <w:pStyle w:val="14"/>
        <w:keepNext w:val="0"/>
        <w:keepLines w:val="0"/>
        <w:pageBreakBefore w:val="0"/>
        <w:widowControl w:val="0"/>
        <w:tabs>
          <w:tab w:val="left" w:pos="4204"/>
        </w:tabs>
        <w:kinsoku/>
        <w:wordWrap/>
        <w:overflowPunct/>
        <w:topLinePunct w:val="0"/>
        <w:autoSpaceDE/>
        <w:autoSpaceDN/>
        <w:bidi w:val="0"/>
        <w:adjustRightInd/>
        <w:snapToGrid/>
        <w:spacing w:line="800" w:lineRule="exact"/>
        <w:jc w:val="center"/>
        <w:textAlignment w:val="auto"/>
        <w:rPr>
          <w:rFonts w:hint="eastAsia" w:ascii="宋体" w:hAnsi="宋体" w:eastAsia="宋体" w:cs="宋体"/>
          <w:b/>
          <w:color w:val="auto"/>
          <w:sz w:val="52"/>
          <w:szCs w:val="52"/>
          <w:highlight w:val="none"/>
        </w:rPr>
      </w:pPr>
      <w:r>
        <w:rPr>
          <w:rFonts w:hint="eastAsia" w:ascii="宋体" w:hAnsi="宋体" w:eastAsia="宋体" w:cs="宋体"/>
          <w:b/>
          <w:color w:val="auto"/>
          <w:sz w:val="52"/>
          <w:szCs w:val="52"/>
          <w:highlight w:val="none"/>
        </w:rPr>
        <w:t>目   录</w:t>
      </w:r>
    </w:p>
    <w:p w14:paraId="28A0925D">
      <w:pPr>
        <w:pStyle w:val="6"/>
        <w:rPr>
          <w:rFonts w:hint="eastAsia"/>
          <w:color w:val="auto"/>
          <w:highlight w:val="none"/>
        </w:rPr>
      </w:pPr>
    </w:p>
    <w:p w14:paraId="4013EC70">
      <w:pPr>
        <w:keepNext w:val="0"/>
        <w:keepLines w:val="0"/>
        <w:pageBreakBefore w:val="0"/>
        <w:widowControl w:val="0"/>
        <w:kinsoku/>
        <w:wordWrap/>
        <w:overflowPunct/>
        <w:topLinePunct w:val="0"/>
        <w:autoSpaceDE/>
        <w:autoSpaceDN/>
        <w:bidi w:val="0"/>
        <w:adjustRightInd/>
        <w:snapToGrid/>
        <w:spacing w:before="156" w:beforeLines="50" w:line="1000" w:lineRule="exact"/>
        <w:ind w:firstLine="843" w:firstLineChars="300"/>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 xml:space="preserve">第一章 公开招标公告……………………………………………… </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2</w:t>
      </w:r>
    </w:p>
    <w:p w14:paraId="3C70ED7C">
      <w:pPr>
        <w:keepNext w:val="0"/>
        <w:keepLines w:val="0"/>
        <w:pageBreakBefore w:val="0"/>
        <w:widowControl w:val="0"/>
        <w:kinsoku/>
        <w:wordWrap/>
        <w:overflowPunct/>
        <w:topLinePunct w:val="0"/>
        <w:autoSpaceDE/>
        <w:autoSpaceDN/>
        <w:bidi w:val="0"/>
        <w:adjustRightInd/>
        <w:snapToGrid/>
        <w:spacing w:before="156" w:beforeLines="50" w:line="1000" w:lineRule="exact"/>
        <w:ind w:firstLine="843" w:firstLineChars="300"/>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第二章 招标项目采购需求 …………………………………………</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 xml:space="preserve">6 </w:t>
      </w:r>
    </w:p>
    <w:p w14:paraId="0B7054E5">
      <w:pPr>
        <w:keepNext w:val="0"/>
        <w:keepLines w:val="0"/>
        <w:pageBreakBefore w:val="0"/>
        <w:widowControl w:val="0"/>
        <w:kinsoku/>
        <w:wordWrap/>
        <w:overflowPunct/>
        <w:topLinePunct w:val="0"/>
        <w:autoSpaceDE/>
        <w:autoSpaceDN/>
        <w:bidi w:val="0"/>
        <w:adjustRightInd/>
        <w:snapToGrid/>
        <w:spacing w:before="156" w:beforeLines="50" w:line="1000" w:lineRule="exact"/>
        <w:ind w:left="360" w:firstLine="562" w:firstLineChars="200"/>
        <w:textAlignment w:val="auto"/>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第三章 投标人须知…………………………………………………</w:t>
      </w:r>
      <w:r>
        <w:rPr>
          <w:rFonts w:hint="eastAsia" w:ascii="宋体" w:hAnsi="宋体" w:eastAsia="宋体" w:cs="宋体"/>
          <w:b/>
          <w:color w:val="auto"/>
          <w:sz w:val="28"/>
          <w:szCs w:val="28"/>
          <w:highlight w:val="none"/>
          <w:lang w:val="en-US" w:eastAsia="zh-CN"/>
        </w:rPr>
        <w:t>107</w:t>
      </w:r>
    </w:p>
    <w:p w14:paraId="538223BC">
      <w:pPr>
        <w:pStyle w:val="2"/>
        <w:rPr>
          <w:rFonts w:hint="default"/>
          <w:lang w:val="en-US" w:eastAsia="zh-CN"/>
        </w:rPr>
      </w:pPr>
    </w:p>
    <w:p w14:paraId="6DC2F8A8">
      <w:pPr>
        <w:keepNext w:val="0"/>
        <w:keepLines w:val="0"/>
        <w:pageBreakBefore w:val="0"/>
        <w:widowControl w:val="0"/>
        <w:kinsoku/>
        <w:wordWrap/>
        <w:overflowPunct/>
        <w:topLinePunct w:val="0"/>
        <w:autoSpaceDE/>
        <w:autoSpaceDN/>
        <w:bidi w:val="0"/>
        <w:adjustRightInd/>
        <w:snapToGrid/>
        <w:spacing w:before="156" w:beforeLines="50" w:line="1000" w:lineRule="exact"/>
        <w:ind w:left="360" w:firstLine="562" w:firstLineChars="200"/>
        <w:textAlignment w:val="auto"/>
        <w:rPr>
          <w:rFonts w:hint="default"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第四章 评标方法及评分标准………………………………………</w:t>
      </w:r>
      <w:r>
        <w:rPr>
          <w:rFonts w:hint="eastAsia" w:ascii="宋体" w:hAnsi="宋体" w:eastAsia="宋体" w:cs="宋体"/>
          <w:b/>
          <w:color w:val="auto"/>
          <w:sz w:val="28"/>
          <w:szCs w:val="28"/>
          <w:highlight w:val="none"/>
          <w:lang w:val="en-US" w:eastAsia="zh-CN"/>
        </w:rPr>
        <w:t>123</w:t>
      </w:r>
    </w:p>
    <w:p w14:paraId="6A449A90">
      <w:pPr>
        <w:keepNext w:val="0"/>
        <w:keepLines w:val="0"/>
        <w:pageBreakBefore w:val="0"/>
        <w:widowControl w:val="0"/>
        <w:kinsoku/>
        <w:wordWrap/>
        <w:overflowPunct/>
        <w:topLinePunct w:val="0"/>
        <w:autoSpaceDE/>
        <w:autoSpaceDN/>
        <w:bidi w:val="0"/>
        <w:adjustRightInd/>
        <w:snapToGrid/>
        <w:spacing w:before="156" w:beforeLines="50" w:line="1000" w:lineRule="exact"/>
        <w:ind w:left="360" w:firstLine="562" w:firstLineChars="200"/>
        <w:textAlignment w:val="auto"/>
        <w:rPr>
          <w:rFonts w:hint="default"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第五章 政府采购合同主要条款……………………………………</w:t>
      </w:r>
      <w:r>
        <w:rPr>
          <w:rFonts w:hint="eastAsia" w:ascii="宋体" w:hAnsi="宋体" w:eastAsia="宋体" w:cs="宋体"/>
          <w:b/>
          <w:color w:val="auto"/>
          <w:sz w:val="28"/>
          <w:szCs w:val="28"/>
          <w:highlight w:val="none"/>
          <w:lang w:val="en-US" w:eastAsia="zh-CN"/>
        </w:rPr>
        <w:t>130</w:t>
      </w:r>
    </w:p>
    <w:p w14:paraId="512A209C">
      <w:pPr>
        <w:keepNext w:val="0"/>
        <w:keepLines w:val="0"/>
        <w:pageBreakBefore w:val="0"/>
        <w:widowControl w:val="0"/>
        <w:kinsoku/>
        <w:wordWrap/>
        <w:overflowPunct/>
        <w:topLinePunct w:val="0"/>
        <w:autoSpaceDE/>
        <w:autoSpaceDN/>
        <w:bidi w:val="0"/>
        <w:adjustRightInd/>
        <w:snapToGrid/>
        <w:spacing w:before="156" w:beforeLines="50" w:line="1000" w:lineRule="exact"/>
        <w:ind w:left="360" w:firstLine="562" w:firstLineChars="200"/>
        <w:textAlignment w:val="auto"/>
        <w:rPr>
          <w:rFonts w:hint="default"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第六章 投标文件格式………………………………………………</w:t>
      </w:r>
      <w:r>
        <w:rPr>
          <w:rFonts w:hint="eastAsia" w:ascii="宋体" w:hAnsi="宋体" w:eastAsia="宋体" w:cs="宋体"/>
          <w:b/>
          <w:color w:val="auto"/>
          <w:sz w:val="28"/>
          <w:szCs w:val="28"/>
          <w:highlight w:val="none"/>
          <w:lang w:val="en-US" w:eastAsia="zh-CN"/>
        </w:rPr>
        <w:t>139</w:t>
      </w:r>
      <w:bookmarkStart w:id="14" w:name="_GoBack"/>
      <w:bookmarkEnd w:id="14"/>
    </w:p>
    <w:p w14:paraId="7195D593">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6"/>
          <w:szCs w:val="36"/>
          <w:highlight w:val="none"/>
        </w:rPr>
      </w:pPr>
    </w:p>
    <w:p w14:paraId="726528F0">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14:paraId="59BF70DD">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14:paraId="36CCE6A3">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14:paraId="3242841E">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14:paraId="056999CF">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14:paraId="5DEF040A">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14:paraId="1643C8F0">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14:paraId="69CC7B04">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14:paraId="14579714">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14:paraId="3D280F98">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sectPr>
          <w:headerReference r:id="rId4" w:type="default"/>
          <w:footerReference r:id="rId5" w:type="default"/>
          <w:pgSz w:w="11850" w:h="16783"/>
          <w:pgMar w:top="1440" w:right="1230" w:bottom="1440" w:left="1180" w:header="851" w:footer="992" w:gutter="0"/>
          <w:pgNumType w:fmt="decimal" w:start="1"/>
          <w:cols w:space="425" w:num="1"/>
          <w:docGrid w:type="lines" w:linePitch="312" w:charSpace="0"/>
        </w:sectPr>
      </w:pPr>
    </w:p>
    <w:p w14:paraId="16B5C412">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14:paraId="5B3E83C6">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14:paraId="659169D3">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14:paraId="6931CBB3">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14:paraId="2FDED980">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14:paraId="3FC9719A">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14:paraId="4D314F99">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14:paraId="7A0634D6">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14:paraId="1A91916C">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14:paraId="521E1FD0">
      <w:pPr>
        <w:pStyle w:val="29"/>
        <w:keepNext w:val="0"/>
        <w:keepLines w:val="0"/>
        <w:pageBreakBefore w:val="0"/>
        <w:widowControl w:val="0"/>
        <w:kinsoku/>
        <w:wordWrap/>
        <w:overflowPunct/>
        <w:topLinePunct w:val="0"/>
        <w:autoSpaceDE/>
        <w:autoSpaceDN/>
        <w:bidi w:val="0"/>
        <w:adjustRightInd/>
        <w:snapToGrid w:val="0"/>
        <w:spacing w:line="800" w:lineRule="exact"/>
        <w:ind w:firstLine="422"/>
        <w:jc w:val="center"/>
        <w:textAlignment w:val="auto"/>
        <w:rPr>
          <w:rFonts w:hint="eastAsia" w:ascii="宋体" w:hAnsi="宋体" w:eastAsia="宋体" w:cs="宋体"/>
          <w:b/>
          <w:color w:val="auto"/>
          <w:sz w:val="52"/>
          <w:szCs w:val="52"/>
          <w:highlight w:val="none"/>
        </w:rPr>
      </w:pPr>
    </w:p>
    <w:p w14:paraId="77E0F992">
      <w:pPr>
        <w:pStyle w:val="29"/>
        <w:keepNext w:val="0"/>
        <w:keepLines w:val="0"/>
        <w:pageBreakBefore w:val="0"/>
        <w:widowControl w:val="0"/>
        <w:kinsoku/>
        <w:wordWrap/>
        <w:overflowPunct/>
        <w:topLinePunct w:val="0"/>
        <w:autoSpaceDE/>
        <w:autoSpaceDN/>
        <w:bidi w:val="0"/>
        <w:adjustRightInd/>
        <w:snapToGrid w:val="0"/>
        <w:spacing w:line="800" w:lineRule="exact"/>
        <w:ind w:left="0" w:leftChars="0" w:firstLine="0" w:firstLineChars="0"/>
        <w:jc w:val="center"/>
        <w:textAlignment w:val="auto"/>
        <w:rPr>
          <w:rFonts w:hint="eastAsia" w:ascii="宋体" w:hAnsi="宋体" w:eastAsia="宋体" w:cs="宋体"/>
          <w:color w:val="auto"/>
          <w:sz w:val="48"/>
          <w:szCs w:val="48"/>
          <w:highlight w:val="none"/>
        </w:rPr>
      </w:pPr>
      <w:r>
        <w:rPr>
          <w:rFonts w:hint="eastAsia" w:ascii="宋体" w:hAnsi="宋体" w:eastAsia="宋体" w:cs="宋体"/>
          <w:b/>
          <w:color w:val="auto"/>
          <w:sz w:val="48"/>
          <w:szCs w:val="48"/>
          <w:highlight w:val="none"/>
        </w:rPr>
        <w:t>第一章  公开招标公告</w:t>
      </w:r>
    </w:p>
    <w:p w14:paraId="30ED3369">
      <w:pPr>
        <w:pStyle w:val="29"/>
        <w:keepNext w:val="0"/>
        <w:keepLines w:val="0"/>
        <w:pageBreakBefore w:val="0"/>
        <w:widowControl w:val="0"/>
        <w:kinsoku/>
        <w:wordWrap/>
        <w:overflowPunct/>
        <w:topLinePunct w:val="0"/>
        <w:autoSpaceDE/>
        <w:autoSpaceDN/>
        <w:bidi w:val="0"/>
        <w:adjustRightInd/>
        <w:snapToGrid w:val="0"/>
        <w:spacing w:line="800" w:lineRule="exact"/>
        <w:ind w:left="0" w:leftChars="0" w:firstLine="0" w:firstLineChars="0"/>
        <w:jc w:val="center"/>
        <w:textAlignment w:val="auto"/>
        <w:rPr>
          <w:rFonts w:hint="eastAsia" w:ascii="宋体" w:hAnsi="宋体" w:eastAsia="宋体" w:cs="宋体"/>
          <w:b/>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eastAsia="宋体" w:cs="宋体"/>
          <w:b/>
          <w:color w:val="auto"/>
          <w:sz w:val="48"/>
          <w:szCs w:val="48"/>
          <w:highlight w:val="none"/>
        </w:rPr>
        <w:t>招标公告</w:t>
      </w:r>
    </w:p>
    <w:p w14:paraId="2B0981B6">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项目概况</w:t>
      </w:r>
    </w:p>
    <w:p w14:paraId="595FC7A7">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lang w:eastAsia="zh-CN"/>
        </w:rPr>
        <w:t>广西天然药物研究院及智慧康养护理中心实验家具采购</w:t>
      </w:r>
      <w:r>
        <w:rPr>
          <w:rFonts w:hint="eastAsia" w:ascii="宋体" w:hAnsi="宋体" w:eastAsia="宋体" w:cs="宋体"/>
          <w:color w:val="auto"/>
          <w:sz w:val="21"/>
          <w:szCs w:val="21"/>
          <w:highlight w:val="none"/>
        </w:rPr>
        <w:t>项目的潜在投标人应在广西政府采购云平台（网址：http://www.gcy.zfcg.gxzf.gov.cn）获取招标文件，并于 2026年</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23</w:t>
      </w:r>
      <w:r>
        <w:rPr>
          <w:rFonts w:hint="eastAsia" w:ascii="宋体" w:hAnsi="宋体" w:eastAsia="宋体" w:cs="宋体"/>
          <w:color w:val="auto"/>
          <w:sz w:val="21"/>
          <w:szCs w:val="21"/>
          <w:highlight w:val="none"/>
        </w:rPr>
        <w:t>日 10:00（北京时间）前递交投标文件。</w:t>
      </w:r>
    </w:p>
    <w:p w14:paraId="1A875CC6">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宋体" w:hAnsi="宋体" w:eastAsia="宋体" w:cs="宋体"/>
          <w:b/>
          <w:color w:val="auto"/>
          <w:sz w:val="21"/>
          <w:szCs w:val="21"/>
          <w:highlight w:val="none"/>
        </w:rPr>
      </w:pPr>
      <w:bookmarkStart w:id="0" w:name="_Toc28359086"/>
      <w:bookmarkStart w:id="1" w:name="_Toc28359009"/>
    </w:p>
    <w:p w14:paraId="24DA340A">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一、项目基本情况</w:t>
      </w:r>
    </w:p>
    <w:p w14:paraId="2DC86B7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lang w:eastAsia="zh-CN"/>
        </w:rPr>
        <w:t>GXZC2026-G1-003166-CGZX</w:t>
      </w:r>
    </w:p>
    <w:p w14:paraId="6F58902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eastAsia="zh-CN"/>
        </w:rPr>
        <w:t>广西天然药物研究院及智慧康养护理中心实验家具采购</w:t>
      </w:r>
    </w:p>
    <w:p w14:paraId="5181897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预算总金额（元）：</w:t>
      </w:r>
      <w:r>
        <w:rPr>
          <w:rFonts w:hint="eastAsia" w:ascii="宋体" w:hAnsi="宋体" w:eastAsia="宋体" w:cs="宋体"/>
          <w:color w:val="auto"/>
          <w:sz w:val="21"/>
          <w:szCs w:val="21"/>
          <w:highlight w:val="none"/>
          <w:lang w:eastAsia="zh-CN"/>
        </w:rPr>
        <w:t>7040000</w:t>
      </w:r>
    </w:p>
    <w:p w14:paraId="654E90D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采购需求：</w:t>
      </w:r>
    </w:p>
    <w:p w14:paraId="7D1CCCB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标项名称：</w:t>
      </w:r>
      <w:r>
        <w:rPr>
          <w:rFonts w:hint="eastAsia" w:ascii="宋体" w:hAnsi="宋体" w:eastAsia="宋体" w:cs="宋体"/>
          <w:color w:val="auto"/>
          <w:sz w:val="21"/>
          <w:szCs w:val="21"/>
          <w:highlight w:val="none"/>
          <w:lang w:eastAsia="zh-CN"/>
        </w:rPr>
        <w:t>广西天然药物研究院及智慧康养护理中心实验家具采购</w:t>
      </w:r>
      <w:r>
        <w:rPr>
          <w:rFonts w:hint="eastAsia" w:ascii="宋体" w:hAnsi="宋体" w:eastAsia="宋体" w:cs="宋体"/>
          <w:color w:val="auto"/>
          <w:sz w:val="21"/>
          <w:szCs w:val="21"/>
          <w:highlight w:val="none"/>
        </w:rPr>
        <w:t xml:space="preserve"> </w:t>
      </w:r>
    </w:p>
    <w:p w14:paraId="4418CB6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数量:1 </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 xml:space="preserve">    预算金额（元）：</w:t>
      </w:r>
      <w:r>
        <w:rPr>
          <w:rFonts w:hint="eastAsia" w:ascii="宋体" w:hAnsi="宋体" w:eastAsia="宋体" w:cs="宋体"/>
          <w:color w:val="auto"/>
          <w:sz w:val="21"/>
          <w:szCs w:val="21"/>
          <w:highlight w:val="none"/>
          <w:lang w:eastAsia="zh-CN"/>
        </w:rPr>
        <w:t>7040000</w:t>
      </w:r>
    </w:p>
    <w:p w14:paraId="18AE6F4E">
      <w:pPr>
        <w:keepNext w:val="0"/>
        <w:keepLines w:val="0"/>
        <w:pageBreakBefore w:val="0"/>
        <w:widowControl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简要规格描述或项目基本概况介绍、用途：</w:t>
      </w:r>
      <w:r>
        <w:rPr>
          <w:rFonts w:hint="eastAsia" w:ascii="宋体" w:hAnsi="宋体" w:eastAsia="宋体" w:cs="宋体"/>
          <w:b/>
          <w:bCs/>
          <w:color w:val="auto"/>
          <w:sz w:val="21"/>
          <w:szCs w:val="21"/>
          <w:highlight w:val="none"/>
          <w:lang w:eastAsia="zh-CN"/>
        </w:rPr>
        <w:t>采购</w:t>
      </w:r>
      <w:r>
        <w:rPr>
          <w:rFonts w:hint="eastAsia" w:ascii="宋体" w:hAnsi="宋体" w:eastAsia="宋体" w:cs="宋体"/>
          <w:b/>
          <w:bCs/>
          <w:color w:val="auto"/>
          <w:sz w:val="21"/>
          <w:szCs w:val="21"/>
          <w:highlight w:val="none"/>
        </w:rPr>
        <w:t>中央台</w:t>
      </w:r>
      <w:r>
        <w:rPr>
          <w:rFonts w:hint="eastAsia" w:ascii="宋体" w:hAnsi="宋体" w:eastAsia="宋体" w:cs="宋体"/>
          <w:b/>
          <w:bCs/>
          <w:color w:val="auto"/>
          <w:sz w:val="21"/>
          <w:szCs w:val="21"/>
          <w:highlight w:val="none"/>
          <w:lang w:eastAsia="zh-CN"/>
        </w:rPr>
        <w:t>实验</w:t>
      </w:r>
      <w:r>
        <w:rPr>
          <w:rFonts w:hint="eastAsia" w:ascii="宋体" w:hAnsi="宋体" w:eastAsia="宋体" w:cs="宋体"/>
          <w:b/>
          <w:bCs/>
          <w:color w:val="auto"/>
          <w:sz w:val="21"/>
          <w:szCs w:val="21"/>
          <w:highlight w:val="none"/>
        </w:rPr>
        <w:t>家具</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批</w:t>
      </w:r>
      <w:r>
        <w:rPr>
          <w:rFonts w:hint="eastAsia" w:ascii="宋体" w:hAnsi="宋体" w:eastAsia="宋体" w:cs="宋体"/>
          <w:color w:val="auto"/>
          <w:sz w:val="21"/>
          <w:szCs w:val="21"/>
          <w:highlight w:val="none"/>
        </w:rPr>
        <w:t>。如需进一步了解详细内容，详见采购文件。</w:t>
      </w:r>
    </w:p>
    <w:p w14:paraId="62CEA03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最高限价（如有）：</w:t>
      </w:r>
      <w:r>
        <w:rPr>
          <w:rFonts w:hint="eastAsia" w:ascii="宋体" w:hAnsi="宋体" w:eastAsia="宋体" w:cs="宋体"/>
          <w:color w:val="auto"/>
          <w:sz w:val="21"/>
          <w:szCs w:val="21"/>
          <w:highlight w:val="none"/>
          <w:lang w:eastAsia="zh-CN"/>
        </w:rPr>
        <w:t>7040000</w:t>
      </w:r>
    </w:p>
    <w:p w14:paraId="0E9CDE8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合同履约期限：自合同签订之日起至项目履约完毕</w:t>
      </w:r>
      <w:r>
        <w:rPr>
          <w:rFonts w:hint="eastAsia" w:ascii="宋体" w:hAnsi="宋体" w:eastAsia="宋体" w:cs="宋体"/>
          <w:color w:val="auto"/>
          <w:sz w:val="21"/>
          <w:szCs w:val="21"/>
          <w:highlight w:val="none"/>
          <w:lang w:eastAsia="zh-CN"/>
        </w:rPr>
        <w:t>。</w:t>
      </w:r>
    </w:p>
    <w:p w14:paraId="5CA80BF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本项目（否）接受联合体投标</w:t>
      </w:r>
    </w:p>
    <w:p w14:paraId="274D903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备注：本项目为线上电子招标项目，有意向参与本项目的供应商应当做好参与全流程电子招投标交易的充分准备。</w:t>
      </w:r>
    </w:p>
    <w:p w14:paraId="6CCC68A0">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二、申请人的资格要求：</w:t>
      </w:r>
    </w:p>
    <w:p w14:paraId="56BAC17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1.满足《中华人民共和国政府采购法》第二十二条规定；</w:t>
      </w:r>
    </w:p>
    <w:p w14:paraId="7974A7C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2.落实政府采购政策需满足的资格要求：</w:t>
      </w:r>
      <w:r>
        <w:rPr>
          <w:rFonts w:hint="eastAsia" w:ascii="宋体" w:hAnsi="宋体" w:eastAsia="宋体" w:cs="宋体"/>
          <w:color w:val="auto"/>
          <w:sz w:val="21"/>
          <w:szCs w:val="21"/>
          <w:highlight w:val="none"/>
          <w:lang w:eastAsia="zh-CN"/>
        </w:rPr>
        <w:t>分标</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无； </w:t>
      </w:r>
    </w:p>
    <w:p w14:paraId="3E0E0F3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3.本项目的特定资格要求：</w:t>
      </w:r>
      <w:r>
        <w:rPr>
          <w:rFonts w:hint="eastAsia" w:ascii="宋体" w:hAnsi="宋体" w:eastAsia="宋体" w:cs="宋体"/>
          <w:color w:val="auto"/>
          <w:sz w:val="21"/>
          <w:szCs w:val="21"/>
          <w:highlight w:val="none"/>
          <w:lang w:eastAsia="zh-CN"/>
        </w:rPr>
        <w:t>分标：</w:t>
      </w:r>
      <w:r>
        <w:rPr>
          <w:rFonts w:hint="eastAsia" w:ascii="宋体" w:hAnsi="宋体" w:eastAsia="宋体" w:cs="宋体"/>
          <w:color w:val="auto"/>
          <w:sz w:val="21"/>
          <w:szCs w:val="21"/>
          <w:highlight w:val="none"/>
        </w:rPr>
        <w:t>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p>
    <w:p w14:paraId="54B13FFF">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三、获取招标文件 </w:t>
      </w:r>
    </w:p>
    <w:p w14:paraId="2120D46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w:t>
      </w:r>
      <w:r>
        <w:rPr>
          <w:rFonts w:hint="eastAsia" w:ascii="宋体" w:hAnsi="宋体" w:eastAsia="宋体" w:cs="宋体"/>
          <w:b/>
          <w:bCs/>
          <w:color w:val="auto"/>
          <w:sz w:val="21"/>
          <w:szCs w:val="21"/>
          <w:highlight w:val="none"/>
        </w:rPr>
        <w:t>2026年</w:t>
      </w:r>
      <w:r>
        <w:rPr>
          <w:rFonts w:hint="eastAsia" w:ascii="宋体" w:hAnsi="宋体" w:eastAsia="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月</w:t>
      </w:r>
      <w:r>
        <w:rPr>
          <w:rFonts w:hint="eastAsia" w:ascii="宋体" w:hAnsi="宋体" w:eastAsia="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日至2026年</w:t>
      </w:r>
      <w:r>
        <w:rPr>
          <w:rFonts w:hint="eastAsia" w:ascii="宋体" w:hAnsi="宋体" w:eastAsia="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eastAsia="宋体" w:cs="宋体"/>
          <w:b/>
          <w:bCs/>
          <w:color w:val="auto"/>
          <w:sz w:val="21"/>
          <w:szCs w:val="21"/>
          <w:highlight w:val="none"/>
          <w:lang w:val="en-US" w:eastAsia="zh-CN"/>
        </w:rPr>
        <w:t>13</w:t>
      </w:r>
      <w:r>
        <w:rPr>
          <w:rFonts w:hint="eastAsia" w:ascii="宋体" w:hAnsi="宋体" w:eastAsia="宋体" w:cs="宋体"/>
          <w:b/>
          <w:bCs/>
          <w:color w:val="auto"/>
          <w:sz w:val="21"/>
          <w:szCs w:val="21"/>
          <w:highlight w:val="none"/>
        </w:rPr>
        <w:t>日</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每天上午00:00至12:00，下午12:00至23:59</w:t>
      </w:r>
      <w:r>
        <w:rPr>
          <w:rFonts w:hint="eastAsia" w:ascii="宋体" w:hAnsi="宋体" w:eastAsia="宋体" w:cs="宋体"/>
          <w:color w:val="auto"/>
          <w:sz w:val="21"/>
          <w:szCs w:val="21"/>
          <w:highlight w:val="none"/>
        </w:rPr>
        <w:t>（北京时间，法定节假日除外）</w:t>
      </w:r>
    </w:p>
    <w:p w14:paraId="73EB76B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地点（网址）：广西政府采购云平台（网址：http://www.gcy.zfcg.gxzf.gov.cn） </w:t>
      </w:r>
    </w:p>
    <w:p w14:paraId="52552B4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请登录广西政府采购云平台（网址：http://www.gcy.zfcg.gxzf.gov.cn）进行报名并获取采购文件；未注册的供应商可在广西政府采购云平台完成注册后再行报名。如在操作过程中遇到问题或需技术支持，请致电广西政府采购云客服热线：95763。</w:t>
      </w:r>
    </w:p>
    <w:p w14:paraId="5A996D5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示：公开招标公告附件内的招标文件仅供阅览使用；供应商只有在“广西政府采购云平台”完成获取招标文件申请并下载了招标文件后才视作依法获取招标文件（法律法规所指的供应商获取招标文件时间以供应商完成获取招标文件申请后下载招标文件的时间为准）。</w:t>
      </w:r>
    </w:p>
    <w:p w14:paraId="68B8365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售价（元）：0 </w:t>
      </w:r>
    </w:p>
    <w:p w14:paraId="4D6D2A85">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四、提交投标文件截止时间、开标时间和地点</w:t>
      </w:r>
    </w:p>
    <w:p w14:paraId="79EB24C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提交投标文件截止时间：</w:t>
      </w:r>
      <w:r>
        <w:rPr>
          <w:rFonts w:hint="eastAsia" w:ascii="宋体" w:hAnsi="宋体" w:eastAsia="宋体" w:cs="宋体"/>
          <w:b/>
          <w:bCs/>
          <w:color w:val="auto"/>
          <w:sz w:val="21"/>
          <w:szCs w:val="21"/>
          <w:highlight w:val="none"/>
        </w:rPr>
        <w:t>2026年</w:t>
      </w:r>
      <w:r>
        <w:rPr>
          <w:rFonts w:hint="eastAsia" w:ascii="宋体" w:hAnsi="宋体" w:eastAsia="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eastAsia="宋体" w:cs="宋体"/>
          <w:b/>
          <w:bCs/>
          <w:color w:val="auto"/>
          <w:sz w:val="21"/>
          <w:szCs w:val="21"/>
          <w:highlight w:val="none"/>
          <w:lang w:val="en-US" w:eastAsia="zh-CN"/>
        </w:rPr>
        <w:t>23</w:t>
      </w:r>
      <w:r>
        <w:rPr>
          <w:rFonts w:hint="eastAsia" w:ascii="宋体" w:hAnsi="宋体" w:eastAsia="宋体" w:cs="宋体"/>
          <w:b/>
          <w:bCs/>
          <w:color w:val="auto"/>
          <w:sz w:val="21"/>
          <w:szCs w:val="21"/>
          <w:highlight w:val="none"/>
        </w:rPr>
        <w:t>日10:00</w:t>
      </w:r>
      <w:r>
        <w:rPr>
          <w:rFonts w:hint="eastAsia" w:ascii="宋体" w:hAnsi="宋体" w:eastAsia="宋体" w:cs="宋体"/>
          <w:color w:val="auto"/>
          <w:sz w:val="21"/>
          <w:szCs w:val="21"/>
          <w:highlight w:val="none"/>
        </w:rPr>
        <w:t>（北京时间）</w:t>
      </w:r>
    </w:p>
    <w:p w14:paraId="4A0352D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地点（网址）：http://www.gcy.zfcg.gxzf.gov.cn（本项目不要求投标供应商到达开标现场，但供应商应派法定代表人或委托代理人准时在线出席电子开评标会议，随时关注开评标进度，如在开评标过程中有电子询标，应在规定的时间内对电子询标函进行澄清回复。）</w:t>
      </w:r>
    </w:p>
    <w:p w14:paraId="5024577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w:t>
      </w:r>
      <w:r>
        <w:rPr>
          <w:rFonts w:hint="eastAsia" w:ascii="宋体" w:hAnsi="宋体" w:eastAsia="宋体" w:cs="宋体"/>
          <w:b/>
          <w:bCs/>
          <w:color w:val="auto"/>
          <w:sz w:val="21"/>
          <w:szCs w:val="21"/>
          <w:highlight w:val="none"/>
        </w:rPr>
        <w:t>2026年</w:t>
      </w:r>
      <w:r>
        <w:rPr>
          <w:rFonts w:hint="eastAsia" w:ascii="宋体" w:hAnsi="宋体" w:eastAsia="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eastAsia="宋体" w:cs="宋体"/>
          <w:b/>
          <w:bCs/>
          <w:color w:val="auto"/>
          <w:sz w:val="21"/>
          <w:szCs w:val="21"/>
          <w:highlight w:val="none"/>
          <w:lang w:val="en-US" w:eastAsia="zh-CN"/>
        </w:rPr>
        <w:t>23</w:t>
      </w:r>
      <w:r>
        <w:rPr>
          <w:rFonts w:hint="eastAsia" w:ascii="宋体" w:hAnsi="宋体" w:eastAsia="宋体" w:cs="宋体"/>
          <w:b/>
          <w:bCs/>
          <w:color w:val="auto"/>
          <w:sz w:val="21"/>
          <w:szCs w:val="21"/>
          <w:highlight w:val="none"/>
        </w:rPr>
        <w:t>日10:00</w:t>
      </w:r>
      <w:r>
        <w:rPr>
          <w:rFonts w:hint="eastAsia" w:ascii="宋体" w:hAnsi="宋体" w:eastAsia="宋体" w:cs="宋体"/>
          <w:color w:val="auto"/>
          <w:sz w:val="21"/>
          <w:szCs w:val="21"/>
          <w:highlight w:val="none"/>
        </w:rPr>
        <w:t>（北京时间）</w:t>
      </w:r>
    </w:p>
    <w:p w14:paraId="25CC5E7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开标地点：广西壮族自治区南宁市青秀区广西政府采购云平台开标大厅</w:t>
      </w:r>
    </w:p>
    <w:p w14:paraId="6C344D29">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五、公告期限 </w:t>
      </w:r>
    </w:p>
    <w:p w14:paraId="27CC4AA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自本公告发布之日起5个工作日。</w:t>
      </w:r>
    </w:p>
    <w:p w14:paraId="7A303984">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六、其他补充事宜</w:t>
      </w:r>
    </w:p>
    <w:p w14:paraId="1652493E">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xml:space="preserve"> </w:t>
      </w:r>
      <w:r>
        <w:rPr>
          <w:rFonts w:hint="eastAsia" w:ascii="宋体" w:hAnsi="宋体" w:eastAsia="宋体" w:cs="宋体"/>
          <w:color w:val="auto"/>
          <w:sz w:val="21"/>
          <w:szCs w:val="21"/>
          <w:highlight w:val="none"/>
        </w:rPr>
        <w:t>1.投标保证金（人民币）：</w:t>
      </w:r>
      <w:r>
        <w:rPr>
          <w:rFonts w:hint="eastAsia" w:ascii="宋体" w:hAnsi="宋体" w:eastAsia="宋体" w:cs="宋体"/>
          <w:b/>
          <w:bCs/>
          <w:color w:val="auto"/>
          <w:sz w:val="21"/>
          <w:szCs w:val="21"/>
          <w:highlight w:val="none"/>
          <w:u w:val="single"/>
        </w:rPr>
        <w:t xml:space="preserve"> </w:t>
      </w:r>
      <w:r>
        <w:rPr>
          <w:rFonts w:hint="eastAsia" w:ascii="宋体" w:hAnsi="宋体" w:eastAsia="宋体" w:cs="宋体"/>
          <w:b/>
          <w:bCs/>
          <w:color w:val="auto"/>
          <w:sz w:val="21"/>
          <w:szCs w:val="21"/>
          <w:highlight w:val="none"/>
          <w:u w:val="single"/>
          <w:lang w:val="en-US" w:eastAsia="zh-CN"/>
        </w:rPr>
        <w:t>7</w:t>
      </w:r>
      <w:r>
        <w:rPr>
          <w:rFonts w:hint="eastAsia" w:ascii="宋体" w:hAnsi="宋体" w:eastAsia="宋体" w:cs="宋体"/>
          <w:b/>
          <w:bCs/>
          <w:color w:val="auto"/>
          <w:sz w:val="21"/>
          <w:szCs w:val="21"/>
          <w:highlight w:val="none"/>
          <w:u w:val="single"/>
        </w:rPr>
        <w:t xml:space="preserve"> </w:t>
      </w:r>
      <w:r>
        <w:rPr>
          <w:rFonts w:hint="eastAsia" w:ascii="宋体" w:hAnsi="宋体" w:eastAsia="宋体" w:cs="宋体"/>
          <w:b/>
          <w:bCs/>
          <w:color w:val="auto"/>
          <w:sz w:val="21"/>
          <w:szCs w:val="21"/>
          <w:highlight w:val="none"/>
        </w:rPr>
        <w:t>万元。</w:t>
      </w:r>
      <w:r>
        <w:rPr>
          <w:rFonts w:hint="eastAsia" w:ascii="宋体" w:hAnsi="宋体" w:eastAsia="宋体" w:cs="宋体"/>
          <w:color w:val="auto"/>
          <w:sz w:val="21"/>
          <w:szCs w:val="21"/>
          <w:highlight w:val="none"/>
        </w:rPr>
        <w:t>(必须足额交纳)</w:t>
      </w:r>
    </w:p>
    <w:p w14:paraId="15204C6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（1）投标保证金交纳形式：支票、汇票、本票、金融机构、担保机构出具的保函等非现金形式。</w:t>
      </w:r>
    </w:p>
    <w:p w14:paraId="0AB39E1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（2）采用网上银行转账形式的，投标人应于提交投标文件截止时间前将投标保证金交至以下账户。</w:t>
      </w:r>
    </w:p>
    <w:p w14:paraId="4FEBAB1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开户名称：广西壮族自治区政府采购中心</w:t>
      </w:r>
    </w:p>
    <w:p w14:paraId="63823C7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开户银行：中国农业银行股份有限公司南宁市古城支行</w:t>
      </w:r>
    </w:p>
    <w:p w14:paraId="16690F9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银行账号：20009101040051648</w:t>
      </w:r>
    </w:p>
    <w:p w14:paraId="5898CF0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rPr>
        <w:t>（3）采用支票、汇票、本票或者</w:t>
      </w:r>
      <w:r>
        <w:rPr>
          <w:rFonts w:hint="eastAsia" w:ascii="宋体" w:hAnsi="宋体" w:eastAsia="宋体" w:cs="宋体"/>
          <w:color w:val="auto"/>
          <w:sz w:val="21"/>
          <w:szCs w:val="21"/>
          <w:highlight w:val="none"/>
        </w:rPr>
        <w:t>保函等形式的，投标人应于提交投标文件截止时间前递交单独密封的支票、汇票、本票或者保函原件至我中心财务处。</w:t>
      </w:r>
    </w:p>
    <w:p w14:paraId="45AC6B5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（4）本中心财务处联系方式：</w:t>
      </w:r>
    </w:p>
    <w:p w14:paraId="15CDFD1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地址：广西南宁市星湖路22号广西壮族自治区政府采购中心综合楼3楼306室； 电话：0771-8600309。</w:t>
      </w:r>
    </w:p>
    <w:p w14:paraId="6CD39F2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2.本项目需要落实的政府采购政策</w:t>
      </w:r>
    </w:p>
    <w:p w14:paraId="328D87F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促进中小企业发展；政府采购支持采用本国产品的政策；强制采购节能产品；优先采购节能产品、环境标志产品；政府采购促进残疾人就业政策；政府采购支持监狱企业发展；政府采购扶持不发达地区和少数民族地区等。</w:t>
      </w:r>
    </w:p>
    <w:p w14:paraId="4A8BE85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3.网上公告媒体查询</w:t>
      </w:r>
    </w:p>
    <w:p w14:paraId="4F5042B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中国政府采购网（www.ccgp.gov.cn）、广西壮族自治区政府采购网（zfcg.gxzf.gov.cn）、广西壮族自治区政府采购中心网站（gxggzy.gxzf.gov.cn）。</w:t>
      </w:r>
    </w:p>
    <w:p w14:paraId="3DEE2CD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4.其他注意事项</w:t>
      </w:r>
    </w:p>
    <w:p w14:paraId="5E1B195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本项目实行电子投标，供应商应按照本项目招标文件和广西政府采购云平台的要求编制、加密并提交投标文件。供应商在使用系统参与投标过程中遇到涉及平台使用的任何问题，可致电广西政府采购云平台技术支持热线咨询，联系方式：95763。 </w:t>
      </w:r>
    </w:p>
    <w:p w14:paraId="79981A88">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（2）供应商应及时熟悉掌握电子标系统操作指南（见广西政府采购云电子卖场首页右上角—服务中心—帮助文档—项目采购）：</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"https://service.zcygov.cn/#/knowledges/tree?tag=AG1DtGwBFdiHxlNdhY0r。"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https://service.zcygov.cn/#/knowledges/tree?tag=AG1DtGwBFdiHxlNdhY0r。</w:t>
      </w:r>
      <w:r>
        <w:rPr>
          <w:rFonts w:hint="eastAsia" w:ascii="宋体" w:hAnsi="宋体" w:eastAsia="宋体" w:cs="宋体"/>
          <w:color w:val="auto"/>
          <w:sz w:val="21"/>
          <w:szCs w:val="21"/>
          <w:highlight w:val="none"/>
        </w:rPr>
        <w:fldChar w:fldCharType="end"/>
      </w:r>
    </w:p>
    <w:p w14:paraId="4CC30FD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（3）供应商应及时完成CA申领和绑定（见广西壮族自治区政府采购网—办事服务—下载专区-政采云CA证书办理操作指南）。</w:t>
      </w:r>
    </w:p>
    <w:p w14:paraId="0AF61CF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供应商通过广西政府采购云投标客户端软件制作投标文件，广西政府采购云投标客户端软件请供应商自行前往下载并安装（见广西壮族自治区政府采购网—办事服务—下载专区-广西壮族自治区全流程电子招投标项目管理系统--供应商客户端）。 </w:t>
      </w:r>
    </w:p>
    <w:p w14:paraId="05C3A6B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（5）因未注册入库、未办理CA数字证书、CA证书故障、操作不当等原因造成无法投标或投标失败等后果由供应商自行承担。</w:t>
      </w:r>
    </w:p>
    <w:p w14:paraId="4B747A0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文件网上提交截止后，广西政府采购云（电子标系统）自动提取所有投标文件，各供应商须在开标开始后30分钟内对上传广西政府采购云的投标文件进行解密，所有供应商在规定的解密时限内解密完成或解密时限结束后，我中心开启投标文件；供应商超过解密时限的，系统默认自动放弃。</w:t>
      </w:r>
    </w:p>
    <w:p w14:paraId="49E0F3F7">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七、对本次采购提出询问，请按以下方式联系</w:t>
      </w:r>
      <w:r>
        <w:rPr>
          <w:rFonts w:hint="eastAsia" w:ascii="宋体" w:hAnsi="宋体" w:eastAsia="宋体" w:cs="宋体"/>
          <w:b/>
          <w:color w:val="auto"/>
          <w:sz w:val="21"/>
          <w:szCs w:val="21"/>
          <w:highlight w:val="none"/>
          <w:lang w:eastAsia="zh-CN"/>
        </w:rPr>
        <w:t>：</w:t>
      </w:r>
    </w:p>
    <w:p w14:paraId="6FB9E4B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1.采购人信息</w:t>
      </w:r>
    </w:p>
    <w:p w14:paraId="4968CEE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名   称：</w:t>
      </w:r>
      <w:r>
        <w:rPr>
          <w:rFonts w:hint="eastAsia" w:ascii="宋体" w:hAnsi="宋体" w:eastAsia="宋体" w:cs="宋体"/>
          <w:color w:val="auto"/>
          <w:sz w:val="21"/>
          <w:szCs w:val="21"/>
          <w:highlight w:val="none"/>
          <w:lang w:eastAsia="zh-CN"/>
        </w:rPr>
        <w:t>广西中医药大学</w:t>
      </w:r>
      <w:r>
        <w:rPr>
          <w:rFonts w:hint="eastAsia" w:ascii="宋体" w:hAnsi="宋体" w:eastAsia="宋体" w:cs="宋体"/>
          <w:color w:val="auto"/>
          <w:sz w:val="21"/>
          <w:szCs w:val="21"/>
          <w:highlight w:val="none"/>
        </w:rPr>
        <w:t xml:space="preserve"> </w:t>
      </w:r>
    </w:p>
    <w:p w14:paraId="0320A5A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地   址：</w:t>
      </w:r>
      <w:r>
        <w:rPr>
          <w:rFonts w:hint="eastAsia" w:ascii="宋体" w:hAnsi="宋体" w:eastAsia="宋体" w:cs="宋体"/>
          <w:color w:val="auto"/>
          <w:szCs w:val="21"/>
          <w:highlight w:val="none"/>
        </w:rPr>
        <w:t>广西南宁市五合大道13号</w:t>
      </w:r>
    </w:p>
    <w:p w14:paraId="5DA9326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项目联系人：秦燕</w:t>
      </w:r>
    </w:p>
    <w:p w14:paraId="7ECA2E1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项目联系方式：0771-4733924</w:t>
      </w:r>
    </w:p>
    <w:p w14:paraId="65EBFFF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2.采购代理机构信息</w:t>
      </w:r>
    </w:p>
    <w:p w14:paraId="5DDE1C2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名    称：广西壮族自治区政府采购中心  </w:t>
      </w:r>
    </w:p>
    <w:p w14:paraId="072AD0C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地    址：广西南宁市星湖路22号  </w:t>
      </w:r>
    </w:p>
    <w:p w14:paraId="317DB52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   项目联系人：</w:t>
      </w:r>
      <w:r>
        <w:rPr>
          <w:rFonts w:hint="eastAsia" w:ascii="宋体" w:hAnsi="宋体" w:eastAsia="宋体" w:cs="宋体"/>
          <w:color w:val="auto"/>
          <w:sz w:val="21"/>
          <w:szCs w:val="21"/>
          <w:highlight w:val="none"/>
          <w:lang w:eastAsia="zh-CN"/>
        </w:rPr>
        <w:t>梁蔚婷</w:t>
      </w:r>
    </w:p>
    <w:p w14:paraId="711C5FE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项目联系方式：0771-</w:t>
      </w:r>
      <w:r>
        <w:rPr>
          <w:rFonts w:hint="eastAsia" w:ascii="宋体" w:hAnsi="宋体" w:eastAsia="宋体" w:cs="宋体"/>
          <w:color w:val="auto"/>
          <w:sz w:val="21"/>
          <w:szCs w:val="21"/>
          <w:highlight w:val="none"/>
          <w:lang w:eastAsia="zh-CN"/>
        </w:rPr>
        <w:t>8600434</w:t>
      </w:r>
      <w:r>
        <w:rPr>
          <w:rFonts w:hint="eastAsia" w:ascii="宋体" w:hAnsi="宋体" w:eastAsia="宋体" w:cs="宋体"/>
          <w:color w:val="auto"/>
          <w:sz w:val="21"/>
          <w:szCs w:val="21"/>
          <w:highlight w:val="none"/>
        </w:rPr>
        <w:t xml:space="preserve"> </w:t>
      </w:r>
    </w:p>
    <w:p w14:paraId="3F32AD1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p>
    <w:p w14:paraId="596C472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p>
    <w:p w14:paraId="1F0CAC7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p>
    <w:p w14:paraId="30C51809">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hint="eastAsia" w:ascii="宋体" w:hAnsi="宋体" w:eastAsia="宋体" w:cs="宋体"/>
          <w:color w:val="auto"/>
          <w:sz w:val="21"/>
          <w:szCs w:val="21"/>
          <w:highlight w:val="none"/>
        </w:rPr>
      </w:pPr>
    </w:p>
    <w:bookmarkEnd w:id="0"/>
    <w:bookmarkEnd w:id="1"/>
    <w:p w14:paraId="597AA7B9">
      <w:pPr>
        <w:keepNext w:val="0"/>
        <w:keepLines w:val="0"/>
        <w:pageBreakBefore w:val="0"/>
        <w:widowControl w:val="0"/>
        <w:kinsoku/>
        <w:wordWrap/>
        <w:overflowPunct/>
        <w:topLinePunct w:val="0"/>
        <w:autoSpaceDE/>
        <w:autoSpaceDN/>
        <w:bidi w:val="0"/>
        <w:snapToGrid w:val="0"/>
        <w:spacing w:line="400" w:lineRule="exact"/>
        <w:ind w:left="238"/>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广西壮族自治区政府采购中心</w:t>
      </w:r>
    </w:p>
    <w:p w14:paraId="373CE143">
      <w:pPr>
        <w:keepNext w:val="0"/>
        <w:keepLines w:val="0"/>
        <w:pageBreakBefore w:val="0"/>
        <w:widowControl w:val="0"/>
        <w:kinsoku/>
        <w:wordWrap/>
        <w:overflowPunct/>
        <w:topLinePunct w:val="0"/>
        <w:autoSpaceDE/>
        <w:autoSpaceDN/>
        <w:bidi w:val="0"/>
        <w:snapToGrid w:val="0"/>
        <w:spacing w:line="400" w:lineRule="exact"/>
        <w:ind w:left="238"/>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2026年</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日</w:t>
      </w:r>
    </w:p>
    <w:p w14:paraId="3C9E2A4B">
      <w:pPr>
        <w:pStyle w:val="2"/>
        <w:rPr>
          <w:rFonts w:hint="eastAsia" w:ascii="宋体" w:hAnsi="宋体" w:eastAsia="宋体" w:cs="宋体"/>
          <w:color w:val="auto"/>
          <w:sz w:val="21"/>
          <w:szCs w:val="21"/>
          <w:highlight w:val="none"/>
        </w:rPr>
      </w:pPr>
    </w:p>
    <w:p w14:paraId="7D87353E">
      <w:pPr>
        <w:pStyle w:val="2"/>
        <w:rPr>
          <w:rFonts w:hint="eastAsia" w:ascii="宋体" w:hAnsi="宋体" w:eastAsia="宋体" w:cs="宋体"/>
          <w:color w:val="auto"/>
          <w:sz w:val="21"/>
          <w:szCs w:val="21"/>
          <w:highlight w:val="none"/>
        </w:rPr>
      </w:pPr>
    </w:p>
    <w:p w14:paraId="0DE1A818">
      <w:pPr>
        <w:pStyle w:val="2"/>
        <w:rPr>
          <w:rFonts w:hint="eastAsia" w:ascii="宋体" w:hAnsi="宋体" w:eastAsia="宋体" w:cs="宋体"/>
          <w:color w:val="auto"/>
          <w:sz w:val="21"/>
          <w:szCs w:val="21"/>
          <w:highlight w:val="none"/>
        </w:rPr>
      </w:pPr>
    </w:p>
    <w:p w14:paraId="0CC828C0">
      <w:pPr>
        <w:pStyle w:val="2"/>
        <w:rPr>
          <w:rFonts w:hint="eastAsia" w:ascii="宋体" w:hAnsi="宋体" w:eastAsia="宋体" w:cs="宋体"/>
          <w:color w:val="auto"/>
          <w:sz w:val="21"/>
          <w:szCs w:val="21"/>
          <w:highlight w:val="none"/>
        </w:rPr>
      </w:pPr>
    </w:p>
    <w:p w14:paraId="7421B1EB">
      <w:pPr>
        <w:pStyle w:val="2"/>
        <w:rPr>
          <w:rFonts w:hint="eastAsia" w:ascii="宋体" w:hAnsi="宋体" w:eastAsia="宋体" w:cs="宋体"/>
          <w:color w:val="auto"/>
          <w:sz w:val="21"/>
          <w:szCs w:val="21"/>
          <w:highlight w:val="none"/>
        </w:rPr>
      </w:pPr>
    </w:p>
    <w:p w14:paraId="0E9E4254">
      <w:pPr>
        <w:pStyle w:val="2"/>
        <w:rPr>
          <w:rFonts w:hint="eastAsia" w:ascii="宋体" w:hAnsi="宋体" w:eastAsia="宋体" w:cs="宋体"/>
          <w:color w:val="auto"/>
          <w:sz w:val="21"/>
          <w:szCs w:val="21"/>
          <w:highlight w:val="none"/>
        </w:rPr>
      </w:pPr>
    </w:p>
    <w:p w14:paraId="62D4A829">
      <w:pPr>
        <w:pStyle w:val="2"/>
        <w:rPr>
          <w:rFonts w:hint="eastAsia" w:ascii="宋体" w:hAnsi="宋体" w:eastAsia="宋体" w:cs="宋体"/>
          <w:color w:val="auto"/>
          <w:sz w:val="21"/>
          <w:szCs w:val="21"/>
          <w:highlight w:val="none"/>
        </w:rPr>
      </w:pPr>
    </w:p>
    <w:p w14:paraId="5297FB71">
      <w:pPr>
        <w:pStyle w:val="2"/>
        <w:rPr>
          <w:rFonts w:hint="eastAsia" w:ascii="宋体" w:hAnsi="宋体" w:eastAsia="宋体" w:cs="宋体"/>
          <w:color w:val="auto"/>
          <w:sz w:val="21"/>
          <w:szCs w:val="21"/>
          <w:highlight w:val="none"/>
        </w:rPr>
      </w:pPr>
    </w:p>
    <w:p w14:paraId="44289C60">
      <w:pPr>
        <w:ind w:left="6" w:firstLine="431"/>
        <w:jc w:val="center"/>
        <w:rPr>
          <w:rFonts w:hint="eastAsia" w:ascii="宋体" w:hAnsi="宋体" w:eastAsia="宋体" w:cs="宋体"/>
          <w:b/>
          <w:color w:val="auto"/>
          <w:kern w:val="0"/>
          <w:sz w:val="48"/>
          <w:szCs w:val="48"/>
          <w:highlight w:val="none"/>
          <w:lang w:val="en-US" w:eastAsia="zh-CN" w:bidi="ar-SA"/>
        </w:rPr>
      </w:pPr>
    </w:p>
    <w:p w14:paraId="5E5718E9">
      <w:pPr>
        <w:ind w:left="6" w:firstLine="431"/>
        <w:jc w:val="center"/>
        <w:rPr>
          <w:rFonts w:hint="eastAsia" w:ascii="宋体" w:hAnsi="宋体" w:eastAsia="宋体" w:cs="宋体"/>
          <w:b/>
          <w:color w:val="auto"/>
          <w:kern w:val="0"/>
          <w:sz w:val="48"/>
          <w:szCs w:val="48"/>
          <w:highlight w:val="none"/>
          <w:lang w:val="en-US" w:eastAsia="zh-CN" w:bidi="ar-SA"/>
        </w:rPr>
      </w:pPr>
    </w:p>
    <w:p w14:paraId="61543D45">
      <w:pPr>
        <w:ind w:left="6" w:firstLine="431"/>
        <w:jc w:val="center"/>
        <w:rPr>
          <w:rFonts w:hint="eastAsia" w:ascii="宋体" w:hAnsi="宋体" w:eastAsia="宋体" w:cs="宋体"/>
          <w:b/>
          <w:color w:val="auto"/>
          <w:kern w:val="0"/>
          <w:sz w:val="48"/>
          <w:szCs w:val="48"/>
          <w:highlight w:val="none"/>
          <w:lang w:val="en-US" w:eastAsia="zh-CN" w:bidi="ar-SA"/>
        </w:rPr>
      </w:pPr>
    </w:p>
    <w:p w14:paraId="5200F3C4">
      <w:pPr>
        <w:ind w:left="6" w:firstLine="431"/>
        <w:jc w:val="center"/>
        <w:rPr>
          <w:rFonts w:hint="eastAsia" w:ascii="宋体" w:hAnsi="宋体" w:eastAsia="宋体" w:cs="宋体"/>
          <w:b/>
          <w:color w:val="auto"/>
          <w:kern w:val="0"/>
          <w:sz w:val="48"/>
          <w:szCs w:val="48"/>
          <w:highlight w:val="none"/>
          <w:lang w:val="en-US" w:eastAsia="zh-CN" w:bidi="ar-SA"/>
        </w:rPr>
      </w:pPr>
    </w:p>
    <w:p w14:paraId="54669C10">
      <w:pPr>
        <w:ind w:left="6" w:firstLine="431"/>
        <w:jc w:val="center"/>
        <w:rPr>
          <w:rFonts w:hint="eastAsia" w:ascii="宋体" w:hAnsi="宋体" w:eastAsia="宋体" w:cs="宋体"/>
          <w:b/>
          <w:color w:val="auto"/>
          <w:kern w:val="0"/>
          <w:sz w:val="48"/>
          <w:szCs w:val="48"/>
          <w:highlight w:val="none"/>
          <w:lang w:val="en-US" w:eastAsia="zh-CN" w:bidi="ar-SA"/>
        </w:rPr>
      </w:pPr>
    </w:p>
    <w:p w14:paraId="4111CB47">
      <w:pPr>
        <w:ind w:left="6" w:firstLine="431"/>
        <w:jc w:val="center"/>
        <w:rPr>
          <w:rFonts w:hint="eastAsia" w:ascii="宋体" w:hAnsi="宋体" w:eastAsia="宋体" w:cs="宋体"/>
          <w:b/>
          <w:color w:val="auto"/>
          <w:kern w:val="0"/>
          <w:sz w:val="48"/>
          <w:szCs w:val="48"/>
          <w:highlight w:val="none"/>
          <w:lang w:val="en-US" w:eastAsia="zh-CN" w:bidi="ar-SA"/>
        </w:rPr>
      </w:pPr>
    </w:p>
    <w:p w14:paraId="37533225">
      <w:pPr>
        <w:ind w:left="6" w:firstLine="431"/>
        <w:jc w:val="center"/>
        <w:rPr>
          <w:rFonts w:hint="eastAsia" w:ascii="宋体" w:hAnsi="宋体" w:eastAsia="宋体" w:cs="宋体"/>
          <w:b/>
          <w:color w:val="auto"/>
          <w:kern w:val="0"/>
          <w:sz w:val="48"/>
          <w:szCs w:val="48"/>
          <w:highlight w:val="none"/>
          <w:lang w:val="en-US" w:eastAsia="zh-CN" w:bidi="ar-SA"/>
        </w:rPr>
      </w:pPr>
    </w:p>
    <w:p w14:paraId="73EF5D16">
      <w:pPr>
        <w:ind w:left="6" w:firstLine="431"/>
        <w:jc w:val="center"/>
        <w:rPr>
          <w:rFonts w:hint="eastAsia" w:ascii="宋体" w:hAnsi="宋体" w:eastAsia="宋体" w:cs="宋体"/>
          <w:b/>
          <w:color w:val="auto"/>
          <w:kern w:val="0"/>
          <w:sz w:val="48"/>
          <w:szCs w:val="48"/>
          <w:highlight w:val="none"/>
          <w:lang w:val="en-US" w:eastAsia="zh-CN" w:bidi="ar-SA"/>
        </w:rPr>
      </w:pPr>
    </w:p>
    <w:p w14:paraId="7B9B469F">
      <w:pPr>
        <w:ind w:left="6" w:firstLine="431"/>
        <w:jc w:val="center"/>
        <w:rPr>
          <w:rFonts w:hint="eastAsia" w:ascii="宋体" w:hAnsi="宋体" w:eastAsia="宋体" w:cs="宋体"/>
          <w:b/>
          <w:color w:val="auto"/>
          <w:kern w:val="0"/>
          <w:sz w:val="48"/>
          <w:szCs w:val="48"/>
          <w:highlight w:val="none"/>
          <w:lang w:val="en-US" w:eastAsia="zh-CN" w:bidi="ar-SA"/>
        </w:rPr>
      </w:pPr>
      <w:r>
        <w:rPr>
          <w:rFonts w:hint="eastAsia" w:ascii="宋体" w:hAnsi="宋体" w:eastAsia="宋体" w:cs="宋体"/>
          <w:b/>
          <w:color w:val="auto"/>
          <w:kern w:val="0"/>
          <w:sz w:val="48"/>
          <w:szCs w:val="48"/>
          <w:highlight w:val="none"/>
          <w:lang w:val="en-US" w:eastAsia="zh-CN" w:bidi="ar-SA"/>
        </w:rPr>
        <w:t>第二章 招标项目采购需求</w:t>
      </w:r>
    </w:p>
    <w:p w14:paraId="787906CD">
      <w:pPr>
        <w:ind w:left="6" w:firstLine="431"/>
        <w:jc w:val="center"/>
        <w:rPr>
          <w:rFonts w:hint="eastAsia" w:ascii="宋体" w:hAnsi="宋体" w:eastAsia="宋体" w:cs="宋体"/>
          <w:b/>
          <w:bCs/>
          <w:color w:val="auto"/>
          <w:sz w:val="48"/>
          <w:szCs w:val="48"/>
          <w:highlight w:val="none"/>
        </w:rPr>
      </w:pPr>
    </w:p>
    <w:p w14:paraId="4AADE215">
      <w:pPr>
        <w:ind w:left="6" w:firstLine="431"/>
        <w:jc w:val="center"/>
        <w:rPr>
          <w:rFonts w:hint="eastAsia" w:ascii="宋体" w:hAnsi="宋体" w:eastAsia="宋体" w:cs="宋体"/>
          <w:b/>
          <w:bCs/>
          <w:color w:val="auto"/>
          <w:sz w:val="48"/>
          <w:szCs w:val="48"/>
          <w:highlight w:val="none"/>
        </w:rPr>
      </w:pPr>
    </w:p>
    <w:p w14:paraId="36502D0F">
      <w:pPr>
        <w:ind w:left="6" w:firstLine="431"/>
        <w:jc w:val="center"/>
        <w:rPr>
          <w:rFonts w:hint="eastAsia" w:ascii="宋体" w:hAnsi="宋体" w:eastAsia="宋体" w:cs="宋体"/>
          <w:b/>
          <w:bCs/>
          <w:color w:val="auto"/>
          <w:sz w:val="48"/>
          <w:szCs w:val="48"/>
          <w:highlight w:val="none"/>
        </w:rPr>
      </w:pPr>
    </w:p>
    <w:p w14:paraId="09389A8C">
      <w:pPr>
        <w:ind w:left="6" w:firstLine="431"/>
        <w:jc w:val="center"/>
        <w:rPr>
          <w:rFonts w:hint="eastAsia" w:ascii="宋体" w:hAnsi="宋体" w:eastAsia="宋体" w:cs="宋体"/>
          <w:b/>
          <w:bCs/>
          <w:color w:val="auto"/>
          <w:sz w:val="48"/>
          <w:szCs w:val="48"/>
          <w:highlight w:val="none"/>
        </w:rPr>
      </w:pPr>
    </w:p>
    <w:p w14:paraId="5F0884EE">
      <w:pPr>
        <w:ind w:left="6" w:firstLine="431"/>
        <w:jc w:val="center"/>
        <w:rPr>
          <w:rFonts w:hint="eastAsia" w:ascii="宋体" w:hAnsi="宋体" w:eastAsia="宋体" w:cs="宋体"/>
          <w:b/>
          <w:bCs/>
          <w:color w:val="auto"/>
          <w:sz w:val="48"/>
          <w:szCs w:val="48"/>
          <w:highlight w:val="none"/>
        </w:rPr>
      </w:pPr>
    </w:p>
    <w:p w14:paraId="01CE378E">
      <w:pPr>
        <w:ind w:left="6" w:firstLine="431"/>
        <w:jc w:val="center"/>
        <w:rPr>
          <w:rFonts w:hint="eastAsia" w:ascii="宋体" w:hAnsi="宋体" w:eastAsia="宋体" w:cs="宋体"/>
          <w:b/>
          <w:bCs/>
          <w:color w:val="auto"/>
          <w:sz w:val="48"/>
          <w:szCs w:val="48"/>
          <w:highlight w:val="none"/>
        </w:rPr>
      </w:pPr>
    </w:p>
    <w:p w14:paraId="387D290B">
      <w:pPr>
        <w:ind w:left="6" w:firstLine="431"/>
        <w:jc w:val="center"/>
        <w:rPr>
          <w:rFonts w:hint="eastAsia" w:ascii="宋体" w:hAnsi="宋体" w:eastAsia="宋体" w:cs="宋体"/>
          <w:b/>
          <w:bCs/>
          <w:color w:val="auto"/>
          <w:sz w:val="48"/>
          <w:szCs w:val="48"/>
          <w:highlight w:val="none"/>
        </w:rPr>
      </w:pPr>
    </w:p>
    <w:p w14:paraId="7B91205C">
      <w:pPr>
        <w:ind w:left="6" w:firstLine="431"/>
        <w:jc w:val="center"/>
        <w:rPr>
          <w:rFonts w:hint="eastAsia" w:ascii="宋体" w:hAnsi="宋体" w:eastAsia="宋体" w:cs="宋体"/>
          <w:b/>
          <w:bCs/>
          <w:color w:val="auto"/>
          <w:sz w:val="48"/>
          <w:szCs w:val="48"/>
          <w:highlight w:val="none"/>
        </w:rPr>
      </w:pPr>
    </w:p>
    <w:p w14:paraId="1748493E">
      <w:pPr>
        <w:ind w:left="6" w:firstLine="431"/>
        <w:jc w:val="center"/>
        <w:rPr>
          <w:rFonts w:hint="eastAsia" w:ascii="宋体" w:hAnsi="宋体" w:eastAsia="宋体" w:cs="宋体"/>
          <w:b/>
          <w:bCs/>
          <w:color w:val="auto"/>
          <w:sz w:val="48"/>
          <w:szCs w:val="48"/>
          <w:highlight w:val="none"/>
        </w:rPr>
      </w:pPr>
    </w:p>
    <w:p w14:paraId="23DA51E8">
      <w:pPr>
        <w:ind w:left="6" w:firstLine="431"/>
        <w:jc w:val="center"/>
        <w:rPr>
          <w:rFonts w:hint="eastAsia" w:ascii="宋体" w:hAnsi="宋体" w:eastAsia="宋体" w:cs="宋体"/>
          <w:b/>
          <w:bCs/>
          <w:color w:val="auto"/>
          <w:sz w:val="48"/>
          <w:szCs w:val="48"/>
          <w:highlight w:val="none"/>
        </w:rPr>
      </w:pPr>
    </w:p>
    <w:p w14:paraId="3763AD2B">
      <w:pPr>
        <w:ind w:left="6" w:firstLine="431"/>
        <w:jc w:val="center"/>
        <w:rPr>
          <w:rFonts w:hint="eastAsia" w:ascii="宋体" w:hAnsi="宋体" w:eastAsia="宋体" w:cs="宋体"/>
          <w:b/>
          <w:bCs/>
          <w:color w:val="auto"/>
          <w:sz w:val="48"/>
          <w:szCs w:val="48"/>
          <w:highlight w:val="none"/>
        </w:rPr>
      </w:pPr>
    </w:p>
    <w:p w14:paraId="79551413">
      <w:pPr>
        <w:ind w:left="6" w:firstLine="431"/>
        <w:jc w:val="center"/>
        <w:rPr>
          <w:rFonts w:hint="eastAsia" w:ascii="方正大标宋简体" w:hAnsi="方正大标宋简体" w:eastAsia="方正大标宋简体" w:cs="方正大标宋简体"/>
          <w:b/>
          <w:bCs/>
          <w:color w:val="auto"/>
          <w:sz w:val="48"/>
          <w:szCs w:val="48"/>
          <w:highlight w:val="none"/>
        </w:rPr>
      </w:pPr>
      <w:r>
        <w:rPr>
          <w:rFonts w:hint="eastAsia" w:ascii="宋体" w:hAnsi="宋体" w:eastAsia="宋体" w:cs="宋体"/>
          <w:b/>
          <w:bCs/>
          <w:color w:val="auto"/>
          <w:sz w:val="48"/>
          <w:szCs w:val="48"/>
          <w:highlight w:val="none"/>
        </w:rPr>
        <w:t>招标项目采购需求</w:t>
      </w:r>
    </w:p>
    <w:p w14:paraId="320810E4">
      <w:pPr>
        <w:keepNext w:val="0"/>
        <w:keepLines w:val="0"/>
        <w:pageBreakBefore w:val="0"/>
        <w:widowControl w:val="0"/>
        <w:kinsoku/>
        <w:wordWrap/>
        <w:overflowPunct/>
        <w:topLinePunct w:val="0"/>
        <w:autoSpaceDE/>
        <w:autoSpaceDN/>
        <w:bidi w:val="0"/>
        <w:adjustRightInd/>
        <w:snapToGrid/>
        <w:spacing w:line="400" w:lineRule="exact"/>
        <w:ind w:left="6" w:firstLine="431"/>
        <w:jc w:val="center"/>
        <w:textAlignment w:val="auto"/>
        <w:rPr>
          <w:rFonts w:hint="eastAsia" w:ascii="方正大标宋简体" w:hAnsi="方正大标宋简体" w:eastAsia="方正大标宋简体" w:cs="方正大标宋简体"/>
          <w:b/>
          <w:bCs/>
          <w:color w:val="auto"/>
          <w:sz w:val="32"/>
          <w:szCs w:val="32"/>
          <w:highlight w:val="none"/>
        </w:rPr>
      </w:pPr>
    </w:p>
    <w:p w14:paraId="75A3E1B8">
      <w:pPr>
        <w:keepNext w:val="0"/>
        <w:keepLines w:val="0"/>
        <w:pageBreakBefore w:val="0"/>
        <w:widowControl w:val="0"/>
        <w:kinsoku/>
        <w:wordWrap/>
        <w:overflowPunct/>
        <w:topLinePunct w:val="0"/>
        <w:autoSpaceDE/>
        <w:autoSpaceDN/>
        <w:bidi w:val="0"/>
        <w:adjustRightInd/>
        <w:snapToGrid/>
        <w:spacing w:line="440" w:lineRule="exact"/>
        <w:ind w:left="6" w:firstLine="431"/>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1、本需求的货物品牌型号、技术参数及其性能（配置）仅起参考作用，投标人可选用其他品牌型号替代，但这些替代的产品要实质上相当于或优于参考品牌型号及其技术参数性能（配置）要求。</w:t>
      </w:r>
    </w:p>
    <w:p w14:paraId="17E9DCF5">
      <w:pPr>
        <w:keepNext w:val="0"/>
        <w:keepLines w:val="0"/>
        <w:pageBreakBefore w:val="0"/>
        <w:widowControl w:val="0"/>
        <w:kinsoku/>
        <w:wordWrap/>
        <w:overflowPunct/>
        <w:topLinePunct w:val="0"/>
        <w:autoSpaceDE/>
        <w:autoSpaceDN/>
        <w:bidi w:val="0"/>
        <w:adjustRightInd/>
        <w:snapToGrid/>
        <w:spacing w:line="440" w:lineRule="exact"/>
        <w:ind w:left="6" w:firstLine="431"/>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本需求中参考品牌型号规格及技术参数不明确或有误的，或投标人选用其他品牌型号替代的，请以详细、正确的品牌型号、技术参数（配置）同时填写投标报价明细表和商务、技术响应偏离表。技术响应偏离表须按技术参数及配置要求一一对应响应。</w:t>
      </w:r>
    </w:p>
    <w:p w14:paraId="06850BE1">
      <w:pPr>
        <w:keepNext w:val="0"/>
        <w:keepLines w:val="0"/>
        <w:pageBreakBefore w:val="0"/>
        <w:widowControl w:val="0"/>
        <w:kinsoku/>
        <w:wordWrap/>
        <w:overflowPunct/>
        <w:topLinePunct w:val="0"/>
        <w:autoSpaceDE/>
        <w:autoSpaceDN/>
        <w:bidi w:val="0"/>
        <w:adjustRightInd/>
        <w:snapToGrid/>
        <w:spacing w:line="440" w:lineRule="exact"/>
        <w:ind w:left="6" w:firstLine="431"/>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3、凡在“技术参数及性能（配置）要求”中表述为“标配”或“标准配置”的设备，投标人应在投标报价明细表中将其标配参数详细列明。</w:t>
      </w:r>
    </w:p>
    <w:p w14:paraId="4298753A">
      <w:pPr>
        <w:pStyle w:val="2"/>
        <w:ind w:firstLine="422" w:firstLineChars="200"/>
        <w:rPr>
          <w:rFonts w:hint="eastAsia" w:eastAsia="宋体"/>
          <w:b w:val="0"/>
          <w:bCs w:val="0"/>
          <w:color w:val="auto"/>
          <w:highlight w:val="none"/>
          <w:lang w:val="en-US" w:eastAsia="zh-CN"/>
        </w:rPr>
      </w:pPr>
      <w:r>
        <w:rPr>
          <w:rFonts w:hint="eastAsia" w:ascii="宋体" w:hAnsi="宋体" w:eastAsia="宋体" w:cs="宋体"/>
          <w:b/>
          <w:bCs/>
          <w:color w:val="auto"/>
          <w:sz w:val="21"/>
          <w:szCs w:val="21"/>
          <w:highlight w:val="none"/>
        </w:rPr>
        <w:t>4、招标文件中带“▲”的条款为本次采购的实质性（关键性）的商务、技术或服务要求，投标人须满足或优于，否则，将会被认定为无效投标。</w:t>
      </w:r>
      <w:r>
        <w:rPr>
          <w:rFonts w:hint="eastAsia" w:ascii="宋体" w:hAnsi="宋体" w:eastAsia="宋体" w:cs="宋体"/>
          <w:b/>
          <w:bCs/>
          <w:color w:val="auto"/>
          <w:sz w:val="21"/>
          <w:szCs w:val="21"/>
          <w:highlight w:val="none"/>
          <w:lang w:eastAsia="zh-CN"/>
        </w:rPr>
        <w:t>带</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的条款系指</w:t>
      </w:r>
      <w:r>
        <w:rPr>
          <w:rFonts w:hint="eastAsia" w:ascii="宋体" w:hAnsi="宋体" w:eastAsia="宋体" w:cs="宋体"/>
          <w:b/>
          <w:bCs/>
          <w:color w:val="auto"/>
          <w:sz w:val="21"/>
          <w:szCs w:val="21"/>
          <w:highlight w:val="none"/>
          <w:lang w:val="en-US" w:eastAsia="zh-CN"/>
        </w:rPr>
        <w:t>加分项</w:t>
      </w:r>
      <w:r>
        <w:rPr>
          <w:rFonts w:hint="eastAsia" w:ascii="宋体" w:hAnsi="宋体" w:eastAsia="宋体" w:cs="宋体"/>
          <w:b/>
          <w:bCs/>
          <w:color w:val="auto"/>
          <w:sz w:val="21"/>
          <w:szCs w:val="21"/>
          <w:highlight w:val="none"/>
        </w:rPr>
        <w:t>条款</w:t>
      </w:r>
      <w:r>
        <w:rPr>
          <w:rFonts w:hint="eastAsia" w:ascii="宋体" w:hAnsi="宋体" w:eastAsia="宋体" w:cs="宋体"/>
          <w:b/>
          <w:bCs/>
          <w:color w:val="auto"/>
          <w:sz w:val="21"/>
          <w:szCs w:val="21"/>
          <w:highlight w:val="none"/>
          <w:lang w:eastAsia="zh-CN"/>
        </w:rPr>
        <w:t>。</w:t>
      </w:r>
    </w:p>
    <w:p w14:paraId="22D83428">
      <w:pPr>
        <w:keepNext w:val="0"/>
        <w:keepLines w:val="0"/>
        <w:pageBreakBefore w:val="0"/>
        <w:widowControl w:val="0"/>
        <w:kinsoku/>
        <w:wordWrap/>
        <w:overflowPunct/>
        <w:topLinePunct w:val="0"/>
        <w:autoSpaceDE/>
        <w:autoSpaceDN/>
        <w:bidi w:val="0"/>
        <w:adjustRightInd/>
        <w:snapToGrid/>
        <w:spacing w:line="440" w:lineRule="exact"/>
        <w:ind w:left="6" w:firstLine="431"/>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5、本项目标的所属行业均为：工业 ；划分依据：《关于印发中小企业划型标准规定的通知》（工信部联企业[2011]300号）</w:t>
      </w:r>
      <w:r>
        <w:rPr>
          <w:rFonts w:hint="eastAsia" w:ascii="宋体" w:hAnsi="宋体" w:eastAsia="宋体" w:cs="宋体"/>
          <w:b/>
          <w:bCs/>
          <w:color w:val="auto"/>
          <w:sz w:val="21"/>
          <w:szCs w:val="21"/>
          <w:highlight w:val="none"/>
          <w:lang w:eastAsia="zh-CN"/>
        </w:rPr>
        <w:t>。</w:t>
      </w:r>
    </w:p>
    <w:p w14:paraId="644F4DAD">
      <w:pPr>
        <w:keepNext w:val="0"/>
        <w:keepLines w:val="0"/>
        <w:pageBreakBefore w:val="0"/>
        <w:widowControl w:val="0"/>
        <w:kinsoku/>
        <w:wordWrap/>
        <w:overflowPunct/>
        <w:topLinePunct w:val="0"/>
        <w:autoSpaceDE/>
        <w:autoSpaceDN/>
        <w:bidi w:val="0"/>
        <w:adjustRightInd/>
        <w:snapToGrid/>
        <w:spacing w:line="440" w:lineRule="exact"/>
        <w:ind w:left="6" w:firstLine="431"/>
        <w:jc w:val="left"/>
        <w:textAlignment w:val="auto"/>
        <w:rPr>
          <w:rFonts w:hint="eastAsia"/>
          <w:color w:val="auto"/>
          <w:highlight w:val="none"/>
          <w:lang w:eastAsia="zh-CN"/>
        </w:rPr>
      </w:pP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、本项目采购预算：7040000.00元。</w:t>
      </w:r>
    </w:p>
    <w:tbl>
      <w:tblPr>
        <w:tblStyle w:val="20"/>
        <w:tblpPr w:leftFromText="180" w:rightFromText="180" w:vertAnchor="text" w:horzAnchor="page" w:tblpX="1206" w:tblpY="1177"/>
        <w:tblOverlap w:val="never"/>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735"/>
        <w:gridCol w:w="1511"/>
        <w:gridCol w:w="5451"/>
        <w:gridCol w:w="652"/>
        <w:gridCol w:w="550"/>
      </w:tblGrid>
      <w:tr w14:paraId="1984B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384" w:type="pct"/>
            <w:shd w:val="clear" w:color="auto" w:fill="auto"/>
            <w:vAlign w:val="center"/>
          </w:tcPr>
          <w:p w14:paraId="7FCE290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bidi="ar"/>
              </w:rPr>
              <w:t>序号</w:t>
            </w:r>
          </w:p>
        </w:tc>
        <w:tc>
          <w:tcPr>
            <w:tcW w:w="381" w:type="pct"/>
            <w:shd w:val="clear" w:color="auto" w:fill="auto"/>
            <w:vAlign w:val="center"/>
          </w:tcPr>
          <w:p w14:paraId="338F575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kern w:val="0"/>
                <w:sz w:val="21"/>
                <w:szCs w:val="21"/>
                <w:highlight w:val="none"/>
                <w:lang w:bidi="ar"/>
              </w:rPr>
              <w:t>采购</w:t>
            </w:r>
            <w:r>
              <w:rPr>
                <w:rFonts w:hint="eastAsia" w:ascii="宋体" w:hAnsi="宋体" w:eastAsia="宋体" w:cs="宋体"/>
                <w:b/>
                <w:bCs/>
                <w:color w:val="auto"/>
                <w:kern w:val="0"/>
                <w:sz w:val="21"/>
                <w:szCs w:val="21"/>
                <w:highlight w:val="none"/>
                <w:lang w:eastAsia="zh-CN" w:bidi="ar"/>
              </w:rPr>
              <w:t>货物</w:t>
            </w:r>
          </w:p>
        </w:tc>
        <w:tc>
          <w:tcPr>
            <w:tcW w:w="783" w:type="pct"/>
            <w:shd w:val="clear" w:color="auto" w:fill="auto"/>
            <w:vAlign w:val="center"/>
          </w:tcPr>
          <w:p w14:paraId="55F794F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参考图片</w:t>
            </w:r>
          </w:p>
        </w:tc>
        <w:tc>
          <w:tcPr>
            <w:tcW w:w="2826" w:type="pct"/>
            <w:shd w:val="clear" w:color="auto" w:fill="auto"/>
            <w:vAlign w:val="center"/>
          </w:tcPr>
          <w:p w14:paraId="4C8B900B">
            <w:pPr>
              <w:keepNext w:val="0"/>
              <w:keepLines w:val="0"/>
              <w:pageBreakBefore w:val="0"/>
              <w:widowControl/>
              <w:kinsoku/>
              <w:wordWrap w:val="0"/>
              <w:overflowPunct/>
              <w:topLinePunct w:val="0"/>
              <w:autoSpaceDE/>
              <w:autoSpaceDN/>
              <w:bidi w:val="0"/>
              <w:adjustRightInd/>
              <w:spacing w:line="360" w:lineRule="exact"/>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bidi="ar"/>
              </w:rPr>
              <w:t>技术参数</w:t>
            </w:r>
          </w:p>
        </w:tc>
        <w:tc>
          <w:tcPr>
            <w:tcW w:w="338" w:type="pct"/>
            <w:shd w:val="clear" w:color="auto" w:fill="auto"/>
            <w:vAlign w:val="center"/>
          </w:tcPr>
          <w:p w14:paraId="3CA01E8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bidi="ar"/>
              </w:rPr>
              <w:t>单位</w:t>
            </w:r>
          </w:p>
        </w:tc>
        <w:tc>
          <w:tcPr>
            <w:tcW w:w="285" w:type="pct"/>
            <w:shd w:val="clear" w:color="auto" w:fill="auto"/>
            <w:vAlign w:val="center"/>
          </w:tcPr>
          <w:p w14:paraId="46622FC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bidi="ar"/>
              </w:rPr>
              <w:t>数量</w:t>
            </w:r>
          </w:p>
        </w:tc>
      </w:tr>
      <w:tr w14:paraId="56B9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4" w:type="pct"/>
            <w:shd w:val="clear" w:color="auto" w:fill="auto"/>
            <w:noWrap/>
            <w:vAlign w:val="center"/>
          </w:tcPr>
          <w:p w14:paraId="7651EADB">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381" w:type="pct"/>
            <w:shd w:val="clear" w:color="auto" w:fill="auto"/>
            <w:vAlign w:val="center"/>
          </w:tcPr>
          <w:p w14:paraId="50FD52A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PP试剂柜</w:t>
            </w:r>
          </w:p>
        </w:tc>
        <w:tc>
          <w:tcPr>
            <w:tcW w:w="783" w:type="pct"/>
            <w:shd w:val="clear" w:color="auto" w:fill="auto"/>
            <w:vAlign w:val="center"/>
          </w:tcPr>
          <w:p w14:paraId="156D01EC">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19150" cy="1205230"/>
                  <wp:effectExtent l="0" t="0" r="7620" b="8255"/>
                  <wp:docPr id="3" name="图片 3" descr="WPS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WPS图片"/>
                          <pic:cNvPicPr>
                            <a:picLocks noChangeAspect="1"/>
                          </pic:cNvPicPr>
                        </pic:nvPicPr>
                        <pic:blipFill>
                          <a:blip r:embed="rId8"/>
                          <a:stretch>
                            <a:fillRect/>
                          </a:stretch>
                        </pic:blipFill>
                        <pic:spPr>
                          <a:xfrm>
                            <a:off x="0" y="0"/>
                            <a:ext cx="819150" cy="1205230"/>
                          </a:xfrm>
                          <a:prstGeom prst="rect">
                            <a:avLst/>
                          </a:prstGeom>
                        </pic:spPr>
                      </pic:pic>
                    </a:graphicData>
                  </a:graphic>
                </wp:inline>
              </w:drawing>
            </w:r>
          </w:p>
        </w:tc>
        <w:tc>
          <w:tcPr>
            <w:tcW w:w="2826" w:type="pct"/>
            <w:shd w:val="clear" w:color="auto" w:fill="auto"/>
            <w:vAlign w:val="center"/>
          </w:tcPr>
          <w:p w14:paraId="1465FF45">
            <w:pPr>
              <w:pStyle w:val="2"/>
              <w:keepNext w:val="0"/>
              <w:keepLines w:val="0"/>
              <w:pageBreakBefore w:val="0"/>
              <w:widowControl/>
              <w:numPr>
                <w:ilvl w:val="0"/>
                <w:numId w:val="0"/>
              </w:numPr>
              <w:kinsoku/>
              <w:wordWrap w:val="0"/>
              <w:overflowPunct/>
              <w:topLinePunct w:val="0"/>
              <w:autoSpaceDE/>
              <w:autoSpaceDN/>
              <w:bidi w:val="0"/>
              <w:adjustRightInd/>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900*600*1950</w:t>
            </w:r>
            <w:r>
              <w:rPr>
                <w:rFonts w:hint="eastAsia" w:ascii="宋体" w:hAnsi="宋体" w:eastAsia="宋体" w:cs="宋体"/>
                <w:color w:val="auto"/>
                <w:kern w:val="0"/>
                <w:sz w:val="21"/>
                <w:szCs w:val="21"/>
                <w:highlight w:val="none"/>
                <w:lang w:val="en-US" w:eastAsia="zh-CN" w:bidi="ar"/>
              </w:rPr>
              <w:t>mm</w:t>
            </w:r>
          </w:p>
          <w:p w14:paraId="5A5B45B2">
            <w:pPr>
              <w:pStyle w:val="2"/>
              <w:keepNext w:val="0"/>
              <w:keepLines w:val="0"/>
              <w:pageBreakBefore w:val="0"/>
              <w:widowControl/>
              <w:numPr>
                <w:ilvl w:val="-1"/>
                <w:numId w:val="0"/>
              </w:numPr>
              <w:kinsoku/>
              <w:wordWrap w:val="0"/>
              <w:overflowPunct/>
              <w:topLinePunct w:val="0"/>
              <w:autoSpaceDE/>
              <w:autoSpaceDN/>
              <w:bidi w:val="0"/>
              <w:adjustRightInd/>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bidi="ar"/>
              </w:rPr>
              <w:t>柜门：采用瓷白色PP（聚丙烯）板材，具有卓越的耐腐蚀性，经同色焊条无缝焊接处理，保证柜体坚固及密封性。</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2、柜门：采用同质PP板制作。</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3、视窗：采用5mmPVC板制作。</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层板：采用瓷白色PP（聚丙烯）板材，四边有立边，立边整体焊接成型，没有任何废料拼凑。整体设计为活动式，可随意抽取放在合适的隔层，自由组合各层空间。层板正反均可放置，反方向放置，四周立边可获得一定程度防溢效果。</w:t>
            </w:r>
          </w:p>
          <w:p w14:paraId="7AF9E516">
            <w:pPr>
              <w:pStyle w:val="2"/>
              <w:numPr>
                <w:ilvl w:val="-1"/>
                <w:numId w:val="0"/>
              </w:numPr>
              <w:wordWrap w:val="0"/>
              <w:spacing w:line="360" w:lineRule="exact"/>
              <w:jc w:val="both"/>
              <w:rPr>
                <w:rFonts w:hint="eastAsia" w:eastAsia="宋体"/>
                <w:color w:val="auto"/>
                <w:highlight w:val="none"/>
                <w:lang w:val="en-US" w:eastAsia="zh-CN"/>
              </w:rPr>
            </w:pP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柜内配置活动层板（高度可任意调节，调节间距≤50mm）；层板底部须经折弯加强处理或增设加强筋。</w:t>
            </w:r>
            <w:r>
              <w:rPr>
                <w:rFonts w:hint="eastAsia" w:ascii="宋体" w:hAnsi="宋体" w:eastAsia="宋体" w:cs="宋体"/>
                <w:color w:val="auto"/>
                <w:kern w:val="0"/>
                <w:sz w:val="21"/>
                <w:szCs w:val="21"/>
                <w:highlight w:val="none"/>
                <w:lang w:val="en-US" w:eastAsia="zh-CN" w:bidi="ar"/>
              </w:rPr>
              <w:t>满足</w:t>
            </w:r>
            <w:r>
              <w:rPr>
                <w:rFonts w:hint="eastAsia" w:ascii="宋体" w:hAnsi="宋体" w:eastAsia="宋体" w:cs="宋体"/>
                <w:color w:val="auto"/>
                <w:kern w:val="0"/>
                <w:sz w:val="21"/>
                <w:szCs w:val="21"/>
                <w:highlight w:val="none"/>
                <w:lang w:val="en-US" w:eastAsia="zh-CN" w:bidi="ar"/>
              </w:rPr>
              <w:t xml:space="preserve">GB </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 xml:space="preserve">T </w:t>
            </w:r>
            <w:r>
              <w:rPr>
                <w:rFonts w:hint="eastAsia" w:ascii="宋体" w:hAnsi="宋体" w:eastAsia="宋体" w:cs="宋体"/>
                <w:color w:val="auto"/>
                <w:kern w:val="0"/>
                <w:sz w:val="21"/>
                <w:szCs w:val="21"/>
                <w:highlight w:val="none"/>
                <w:lang w:val="en-US" w:eastAsia="zh-CN" w:bidi="ar"/>
              </w:rPr>
              <w:t>24820-2024《实验室家具通用技术条件》中的规定，</w:t>
            </w:r>
            <w:r>
              <w:rPr>
                <w:rFonts w:hint="eastAsia" w:ascii="宋体" w:hAnsi="宋体" w:eastAsia="宋体" w:cs="宋体"/>
                <w:color w:val="auto"/>
                <w:kern w:val="0"/>
                <w:sz w:val="21"/>
                <w:szCs w:val="21"/>
                <w:highlight w:val="none"/>
                <w:lang w:bidi="ar"/>
              </w:rPr>
              <w:t>顶板和底板持续加载试验时，顶板和底板的最大变形量不应超过搁板跨度的0.55%;搁板弯曲试验时，搁板的最大变形量不应超过搁板跨度的0.55%</w:t>
            </w:r>
            <w:r>
              <w:rPr>
                <w:rFonts w:hint="eastAsia" w:ascii="宋体" w:hAnsi="宋体" w:eastAsia="宋体" w:cs="宋体"/>
                <w:color w:val="auto"/>
                <w:kern w:val="0"/>
                <w:sz w:val="21"/>
                <w:szCs w:val="21"/>
                <w:highlight w:val="none"/>
                <w:lang w:eastAsia="zh-CN" w:bidi="ar"/>
              </w:rPr>
              <w:t>。</w:t>
            </w:r>
          </w:p>
        </w:tc>
        <w:tc>
          <w:tcPr>
            <w:tcW w:w="338" w:type="pct"/>
            <w:shd w:val="clear" w:color="auto" w:fill="auto"/>
            <w:vAlign w:val="center"/>
          </w:tcPr>
          <w:p w14:paraId="4B5F3AF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2D92FF89">
            <w:pPr>
              <w:keepNext w:val="0"/>
              <w:keepLines w:val="0"/>
              <w:pageBreakBefore w:val="0"/>
              <w:widowControl/>
              <w:kinsoku/>
              <w:wordWrap/>
              <w:overflowPunct/>
              <w:topLinePunct w:val="0"/>
              <w:autoSpaceDE/>
              <w:autoSpaceDN/>
              <w:bidi w:val="0"/>
              <w:adjustRightInd/>
              <w:spacing w:line="360" w:lineRule="exact"/>
              <w:jc w:val="center"/>
              <w:textAlignment w:val="center"/>
              <w:rPr>
                <w:rFonts w:hint="default"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bidi="ar"/>
              </w:rPr>
              <w:t>1</w:t>
            </w:r>
            <w:r>
              <w:rPr>
                <w:rFonts w:hint="eastAsia" w:ascii="宋体" w:hAnsi="宋体" w:eastAsia="宋体" w:cs="宋体"/>
                <w:color w:val="auto"/>
                <w:kern w:val="0"/>
                <w:sz w:val="21"/>
                <w:szCs w:val="21"/>
                <w:highlight w:val="none"/>
                <w:lang w:val="en-US" w:eastAsia="zh-CN" w:bidi="ar"/>
              </w:rPr>
              <w:t>1</w:t>
            </w:r>
          </w:p>
        </w:tc>
      </w:tr>
      <w:tr w14:paraId="48DB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4" w:type="pct"/>
            <w:shd w:val="clear" w:color="auto" w:fill="auto"/>
            <w:noWrap/>
            <w:vAlign w:val="center"/>
          </w:tcPr>
          <w:p w14:paraId="5965EC6F">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381" w:type="pct"/>
            <w:shd w:val="clear" w:color="auto" w:fill="auto"/>
            <w:vAlign w:val="center"/>
          </w:tcPr>
          <w:p w14:paraId="77819A3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边台1</w:t>
            </w:r>
          </w:p>
        </w:tc>
        <w:tc>
          <w:tcPr>
            <w:tcW w:w="783" w:type="pct"/>
            <w:shd w:val="clear" w:color="auto" w:fill="auto"/>
            <w:vAlign w:val="center"/>
          </w:tcPr>
          <w:p w14:paraId="09A98A65">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21055" cy="810260"/>
                  <wp:effectExtent l="0" t="0" r="5715" b="3175"/>
                  <wp:docPr id="8" name="图片 8"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边台"/>
                          <pic:cNvPicPr>
                            <a:picLocks noChangeAspect="1"/>
                          </pic:cNvPicPr>
                        </pic:nvPicPr>
                        <pic:blipFill>
                          <a:blip r:embed="rId9"/>
                          <a:stretch>
                            <a:fillRect/>
                          </a:stretch>
                        </pic:blipFill>
                        <pic:spPr>
                          <a:xfrm>
                            <a:off x="0" y="0"/>
                            <a:ext cx="821055" cy="810260"/>
                          </a:xfrm>
                          <a:prstGeom prst="rect">
                            <a:avLst/>
                          </a:prstGeom>
                        </pic:spPr>
                      </pic:pic>
                    </a:graphicData>
                  </a:graphic>
                </wp:inline>
              </w:drawing>
            </w:r>
          </w:p>
        </w:tc>
        <w:tc>
          <w:tcPr>
            <w:tcW w:w="2826" w:type="pct"/>
            <w:shd w:val="clear" w:color="auto" w:fill="auto"/>
            <w:vAlign w:val="center"/>
          </w:tcPr>
          <w:p w14:paraId="4A2EE45B">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3000*750*850</w:t>
            </w:r>
            <w:r>
              <w:rPr>
                <w:rFonts w:hint="eastAsia" w:ascii="宋体" w:hAnsi="宋体" w:eastAsia="宋体" w:cs="宋体"/>
                <w:color w:val="auto"/>
                <w:kern w:val="0"/>
                <w:sz w:val="21"/>
                <w:szCs w:val="21"/>
                <w:highlight w:val="none"/>
                <w:lang w:val="en-US" w:eastAsia="zh-CN" w:bidi="ar"/>
              </w:rPr>
              <w:t>mm</w:t>
            </w:r>
          </w:p>
          <w:p w14:paraId="05759280">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 w:val="21"/>
                <w:szCs w:val="21"/>
                <w:highlight w:val="none"/>
                <w:lang w:bidi="ar"/>
              </w:rPr>
              <w:t>性能需满足以下基本要求：</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★1、陶瓷台面截面耐污性能要求：参照 GB/T24820-2024检测标准试件正面和截面（测试对象为同一块样品）污染物接触时间不低于48h，污染物至少包含二氯甲烷99.8%、丙酮99.5%及碘伏（碘酒）等检测项目，检测结果为5级，表面无明显变化。台面截面表面区域为台面四周可见截面或杯槽开孔截面。</w:t>
            </w:r>
          </w:p>
          <w:p w14:paraId="24605FC5">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eastAsia="zh-CN" w:bidi="ar"/>
              </w:rPr>
              <w:t>★2、陶瓷台面表面质量性能要求：参照GB/T3810.2-2016检验依据（委托抽样检验），表面质量至少98%以上的陶瓷台面主要区域无明显缺陷，以上检测结果：符合。</w:t>
            </w:r>
          </w:p>
          <w:p w14:paraId="10EFF7A7">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 w:val="21"/>
                <w:szCs w:val="21"/>
                <w:highlight w:val="none"/>
                <w:lang w:eastAsia="zh-CN"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m</w:t>
            </w:r>
            <w:r>
              <w:rPr>
                <w:rFonts w:hint="eastAsia" w:ascii="宋体" w:hAnsi="宋体" w:eastAsia="宋体" w:cs="宋体"/>
                <w:color w:val="auto"/>
                <w:kern w:val="0"/>
                <w:sz w:val="21"/>
                <w:szCs w:val="21"/>
                <w:highlight w:val="none"/>
                <w:vertAlign w:val="superscript"/>
                <w:lang w:eastAsia="zh-CN" w:bidi="ar"/>
              </w:rPr>
              <w:t>3</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★4、陶瓷台面尺寸允许偏差性能要求：参照GB/T3810.2-2016检验依据（委托抽样检验），检测长度、宽度的实际尺寸与工作尺寸的允许偏差，检测结果为：长度、宽度偏差±0.3%，最大值±5mm。</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投标时</w:t>
            </w:r>
            <w:r>
              <w:rPr>
                <w:rFonts w:hint="eastAsia" w:ascii="宋体" w:hAnsi="宋体" w:eastAsia="宋体" w:cs="宋体"/>
                <w:color w:val="auto"/>
                <w:kern w:val="0"/>
                <w:sz w:val="21"/>
                <w:szCs w:val="21"/>
                <w:highlight w:val="none"/>
                <w:lang w:bidi="ar"/>
              </w:rPr>
              <w:t>提供满足或优于以上所有技术参数内容</w:t>
            </w:r>
            <w:r>
              <w:rPr>
                <w:rFonts w:hint="eastAsia" w:ascii="宋体" w:hAnsi="宋体" w:eastAsia="宋体" w:cs="宋体"/>
                <w:color w:val="auto"/>
                <w:kern w:val="0"/>
                <w:sz w:val="21"/>
                <w:szCs w:val="21"/>
                <w:highlight w:val="none"/>
                <w:lang w:eastAsia="zh-CN" w:bidi="ar"/>
              </w:rPr>
              <w:t>及</w:t>
            </w:r>
            <w:r>
              <w:rPr>
                <w:rFonts w:hint="eastAsia" w:ascii="宋体" w:hAnsi="宋体" w:eastAsia="宋体" w:cs="宋体"/>
                <w:color w:val="auto"/>
                <w:kern w:val="0"/>
                <w:sz w:val="21"/>
                <w:szCs w:val="21"/>
                <w:highlight w:val="none"/>
                <w:lang w:bidi="ar"/>
              </w:rPr>
              <w:t>对本项至少5年使用破损无条件</w:t>
            </w:r>
            <w:r>
              <w:rPr>
                <w:rStyle w:val="25"/>
                <w:rFonts w:hint="eastAsia" w:ascii="宋体" w:hAnsi="宋体" w:eastAsia="宋体" w:cs="宋体"/>
                <w:color w:val="auto"/>
                <w:sz w:val="21"/>
                <w:szCs w:val="21"/>
                <w:highlight w:val="none"/>
                <w:lang w:bidi="ar"/>
              </w:rPr>
              <w:t>‬</w:t>
            </w:r>
            <w:r>
              <w:rPr>
                <w:rStyle w:val="26"/>
                <w:rFonts w:hint="eastAsia" w:ascii="宋体" w:hAnsi="宋体" w:eastAsia="宋体" w:cs="宋体"/>
                <w:color w:val="auto"/>
                <w:sz w:val="21"/>
                <w:szCs w:val="21"/>
                <w:highlight w:val="none"/>
                <w:lang w:bidi="ar"/>
              </w:rPr>
              <w:t>更换的售后承诺书。</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5481C2E3">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648E696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37ACBFC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14:paraId="5FFA5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9" w:hRule="atLeast"/>
        </w:trPr>
        <w:tc>
          <w:tcPr>
            <w:tcW w:w="384" w:type="pct"/>
            <w:shd w:val="clear" w:color="auto" w:fill="auto"/>
            <w:noWrap/>
            <w:vAlign w:val="center"/>
          </w:tcPr>
          <w:p w14:paraId="66EC7596">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381" w:type="pct"/>
            <w:shd w:val="clear" w:color="auto" w:fill="auto"/>
            <w:vAlign w:val="center"/>
          </w:tcPr>
          <w:p w14:paraId="1A527D0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边台10</w:t>
            </w:r>
          </w:p>
        </w:tc>
        <w:tc>
          <w:tcPr>
            <w:tcW w:w="783" w:type="pct"/>
            <w:shd w:val="clear" w:color="auto" w:fill="auto"/>
            <w:vAlign w:val="center"/>
          </w:tcPr>
          <w:p w14:paraId="7A2988C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59264" behindDoc="0" locked="0" layoutInCell="1" allowOverlap="1">
                  <wp:simplePos x="0" y="0"/>
                  <wp:positionH relativeFrom="column">
                    <wp:posOffset>-9525</wp:posOffset>
                  </wp:positionH>
                  <wp:positionV relativeFrom="paragraph">
                    <wp:posOffset>2670810</wp:posOffset>
                  </wp:positionV>
                  <wp:extent cx="821055" cy="810260"/>
                  <wp:effectExtent l="0" t="0" r="5715" b="3175"/>
                  <wp:wrapTopAndBottom/>
                  <wp:docPr id="9" name="图片 9"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118D7A98">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4700*750*850</w:t>
            </w:r>
            <w:r>
              <w:rPr>
                <w:rFonts w:hint="eastAsia" w:ascii="宋体" w:hAnsi="宋体" w:eastAsia="宋体" w:cs="宋体"/>
                <w:color w:val="auto"/>
                <w:kern w:val="0"/>
                <w:sz w:val="21"/>
                <w:szCs w:val="21"/>
                <w:highlight w:val="none"/>
                <w:lang w:val="en-US" w:eastAsia="zh-CN" w:bidi="ar"/>
              </w:rPr>
              <w:t>mm</w:t>
            </w:r>
          </w:p>
          <w:p w14:paraId="7AF8F79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 w:val="21"/>
                <w:szCs w:val="21"/>
                <w:highlight w:val="none"/>
                <w:lang w:bidi="ar"/>
              </w:rPr>
              <w:t>性能需满足以下基本要求：</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★1、陶瓷台面截面耐污性能要求：参照 GB/T24820-2024检测标准试件正面和截面（测试对象为同一块样品）污染物接触时间不低于48h，污染物至少包含二氯甲烷99.8%、丙酮99.5%及碘伏（碘酒）等检测项目，检测结果为5级，表面无明显变化。台面截面表面区域为台面四周可见截面或杯槽开孔截面。</w:t>
            </w:r>
          </w:p>
          <w:p w14:paraId="534B5BB4">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eastAsia="zh-CN" w:bidi="ar"/>
              </w:rPr>
              <w:t>★2、陶瓷台面表面质量性能要求：参照GB/T3810.2-2016检验依据（委托抽样检验），表面质量至少98%以上的陶瓷台面主要区域无明显缺陷，以上检测结果：符合。</w:t>
            </w:r>
          </w:p>
          <w:p w14:paraId="6D4C9091">
            <w:pPr>
              <w:keepNext w:val="0"/>
              <w:keepLines w:val="0"/>
              <w:pageBreakBefore w:val="0"/>
              <w:widowControl/>
              <w:numPr>
                <w:ilvl w:val="-1"/>
                <w:numId w:val="0"/>
              </w:numPr>
              <w:kinsoku/>
              <w:wordWrap w:val="0"/>
              <w:overflowPunct/>
              <w:topLinePunct w:val="0"/>
              <w:autoSpaceDE/>
              <w:autoSpaceDN/>
              <w:bidi w:val="0"/>
              <w:adjustRightInd/>
              <w:spacing w:line="240" w:lineRule="auto"/>
              <w:jc w:val="left"/>
              <w:textAlignment w:val="auto"/>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 w:val="21"/>
                <w:szCs w:val="21"/>
                <w:highlight w:val="none"/>
                <w:lang w:eastAsia="zh-CN"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 w:val="21"/>
                <w:szCs w:val="21"/>
                <w:highlight w:val="none"/>
                <w:lang w:eastAsia="zh-CN" w:bidi="ar"/>
              </w:rPr>
              <w:t>m</w:t>
            </w:r>
            <w:r>
              <w:rPr>
                <w:rFonts w:hint="eastAsia" w:ascii="宋体" w:hAnsi="宋体" w:eastAsia="宋体" w:cs="宋体"/>
                <w:color w:val="auto"/>
                <w:kern w:val="0"/>
                <w:sz w:val="21"/>
                <w:szCs w:val="21"/>
                <w:highlight w:val="none"/>
                <w:vertAlign w:val="superscript"/>
                <w:lang w:eastAsia="zh-CN" w:bidi="ar"/>
              </w:rPr>
              <w:t>3</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★4、陶瓷台面尺寸允许偏差性能要求：参照GB/T3810.2-2016检验依据（委托抽样检验），检测长度、宽度的实际尺寸与工作尺寸的允许偏差，检测结果为：长度、宽度偏差±0.3%，最大值±5mm。</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投标时</w:t>
            </w:r>
            <w:r>
              <w:rPr>
                <w:rFonts w:hint="eastAsia" w:ascii="宋体" w:hAnsi="宋体" w:eastAsia="宋体" w:cs="宋体"/>
                <w:color w:val="auto"/>
                <w:kern w:val="0"/>
                <w:sz w:val="21"/>
                <w:szCs w:val="21"/>
                <w:highlight w:val="none"/>
                <w:lang w:bidi="ar"/>
              </w:rPr>
              <w:t>提供满足或优于以上所有技术参数内容</w:t>
            </w:r>
            <w:r>
              <w:rPr>
                <w:rFonts w:hint="eastAsia" w:ascii="宋体" w:hAnsi="宋体" w:eastAsia="宋体" w:cs="宋体"/>
                <w:color w:val="auto"/>
                <w:kern w:val="0"/>
                <w:sz w:val="21"/>
                <w:szCs w:val="21"/>
                <w:highlight w:val="none"/>
                <w:lang w:eastAsia="zh-CN" w:bidi="ar"/>
              </w:rPr>
              <w:t>及</w:t>
            </w:r>
            <w:r>
              <w:rPr>
                <w:rFonts w:hint="eastAsia" w:ascii="宋体" w:hAnsi="宋体" w:eastAsia="宋体" w:cs="宋体"/>
                <w:color w:val="auto"/>
                <w:kern w:val="0"/>
                <w:sz w:val="21"/>
                <w:szCs w:val="21"/>
                <w:highlight w:val="none"/>
                <w:lang w:bidi="ar"/>
              </w:rPr>
              <w:t>对本项至少5年使用破损无条件</w:t>
            </w:r>
            <w:r>
              <w:rPr>
                <w:rStyle w:val="25"/>
                <w:rFonts w:hint="eastAsia" w:ascii="宋体" w:hAnsi="宋体" w:eastAsia="宋体" w:cs="宋体"/>
                <w:color w:val="auto"/>
                <w:sz w:val="21"/>
                <w:szCs w:val="21"/>
                <w:highlight w:val="none"/>
                <w:lang w:bidi="ar"/>
              </w:rPr>
              <w:t>‬</w:t>
            </w:r>
            <w:r>
              <w:rPr>
                <w:rStyle w:val="26"/>
                <w:rFonts w:hint="eastAsia" w:ascii="宋体" w:hAnsi="宋体" w:eastAsia="宋体" w:cs="宋体"/>
                <w:color w:val="auto"/>
                <w:sz w:val="21"/>
                <w:szCs w:val="21"/>
                <w:highlight w:val="none"/>
                <w:lang w:bidi="ar"/>
              </w:rPr>
              <w:t>更换的售后承诺书。</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43210B34">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30D21DC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38AC9A4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4AB6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4" w:type="pct"/>
            <w:shd w:val="clear" w:color="auto" w:fill="auto"/>
            <w:noWrap/>
            <w:vAlign w:val="center"/>
          </w:tcPr>
          <w:p w14:paraId="1AAFB7D5">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381" w:type="pct"/>
            <w:shd w:val="clear" w:color="auto" w:fill="auto"/>
            <w:vAlign w:val="center"/>
          </w:tcPr>
          <w:p w14:paraId="46AF5D8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边台11</w:t>
            </w:r>
          </w:p>
        </w:tc>
        <w:tc>
          <w:tcPr>
            <w:tcW w:w="783" w:type="pct"/>
            <w:shd w:val="clear" w:color="auto" w:fill="auto"/>
            <w:vAlign w:val="center"/>
          </w:tcPr>
          <w:p w14:paraId="3FCB6BA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60288" behindDoc="0" locked="0" layoutInCell="1" allowOverlap="1">
                  <wp:simplePos x="0" y="0"/>
                  <wp:positionH relativeFrom="column">
                    <wp:posOffset>-19050</wp:posOffset>
                  </wp:positionH>
                  <wp:positionV relativeFrom="paragraph">
                    <wp:posOffset>1823085</wp:posOffset>
                  </wp:positionV>
                  <wp:extent cx="821055" cy="810260"/>
                  <wp:effectExtent l="0" t="0" r="5715" b="3175"/>
                  <wp:wrapSquare wrapText="bothSides"/>
                  <wp:docPr id="13" name="图片 13"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0B15D8F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1000*750*850</w:t>
            </w:r>
            <w:r>
              <w:rPr>
                <w:rFonts w:hint="eastAsia" w:ascii="宋体" w:hAnsi="宋体" w:eastAsia="宋体" w:cs="宋体"/>
                <w:color w:val="auto"/>
                <w:kern w:val="0"/>
                <w:sz w:val="21"/>
                <w:szCs w:val="21"/>
                <w:highlight w:val="none"/>
                <w:lang w:val="en-US" w:eastAsia="zh-CN" w:bidi="ar"/>
              </w:rPr>
              <w:t>mm</w:t>
            </w:r>
          </w:p>
          <w:p w14:paraId="4D28B92E">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 w:val="21"/>
                <w:szCs w:val="21"/>
                <w:highlight w:val="none"/>
                <w:lang w:bidi="ar"/>
              </w:rPr>
              <w:t>性能需满足以下基本要求：</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★1、陶瓷台面截面耐污性能要求：参照 GB/T24820-2024检测标准试件正面和截面（测试对象为同一块样品）污染物接触时间不低于48h，污染物至少包含二氯甲烷99.8%、丙酮99.5%及碘伏（碘酒）等检测项目，检测结果为5级，表面无明显变化。台面截面表面区域为台面四周可见截面或杯槽开孔截面。</w:t>
            </w:r>
          </w:p>
          <w:p w14:paraId="67B7B1C2">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eastAsia="zh-CN" w:bidi="ar"/>
              </w:rPr>
              <w:t>★2、陶瓷台面表面质量性能要求：参照GB/T3810.2-2016检验依据（委托抽样检验），表面质量至少98%以上的陶瓷台面主要区域无明显缺陷，以上检测结果：符合。</w:t>
            </w:r>
          </w:p>
          <w:p w14:paraId="5E018FF9">
            <w:pPr>
              <w:keepNext w:val="0"/>
              <w:keepLines w:val="0"/>
              <w:pageBreakBefore w:val="0"/>
              <w:widowControl/>
              <w:numPr>
                <w:ilvl w:val="-1"/>
                <w:numId w:val="0"/>
              </w:numPr>
              <w:kinsoku/>
              <w:wordWrap w:val="0"/>
              <w:overflowPunct/>
              <w:topLinePunct w:val="0"/>
              <w:autoSpaceDE/>
              <w:autoSpaceDN/>
              <w:bidi w:val="0"/>
              <w:adjustRightInd/>
              <w:spacing w:line="240" w:lineRule="auto"/>
              <w:jc w:val="left"/>
              <w:textAlignment w:val="auto"/>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 w:val="21"/>
                <w:szCs w:val="21"/>
                <w:highlight w:val="none"/>
                <w:lang w:eastAsia="zh-CN"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w:t>
            </w:r>
            <w:r>
              <w:rPr>
                <w:rFonts w:hint="eastAsia" w:ascii="宋体" w:hAnsi="宋体" w:eastAsia="宋体" w:cs="宋体"/>
                <w:color w:val="auto"/>
                <w:kern w:val="0"/>
                <w:sz w:val="21"/>
                <w:szCs w:val="21"/>
                <w:highlight w:val="none"/>
                <w:lang w:eastAsia="zh-CN" w:bidi="ar"/>
              </w:rPr>
              <w:t>g/m</w:t>
            </w:r>
            <w:r>
              <w:rPr>
                <w:rFonts w:hint="eastAsia" w:ascii="宋体" w:hAnsi="宋体" w:eastAsia="宋体" w:cs="宋体"/>
                <w:color w:val="auto"/>
                <w:kern w:val="0"/>
                <w:sz w:val="21"/>
                <w:szCs w:val="21"/>
                <w:highlight w:val="none"/>
                <w:vertAlign w:val="superscript"/>
                <w:lang w:eastAsia="zh-CN" w:bidi="ar"/>
              </w:rPr>
              <w:t>3</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★4、陶瓷台面尺寸允许偏差性能要求：参照GB/T3810.2-2016检验依据（委托抽样检验），检测长度、宽度的实际尺寸与工作尺寸的允许偏差，检测结果为：长度、宽度偏差±0.3%，最大值±5mm。</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投标时</w:t>
            </w:r>
            <w:r>
              <w:rPr>
                <w:rFonts w:hint="eastAsia" w:ascii="宋体" w:hAnsi="宋体" w:eastAsia="宋体" w:cs="宋体"/>
                <w:color w:val="auto"/>
                <w:kern w:val="0"/>
                <w:sz w:val="21"/>
                <w:szCs w:val="21"/>
                <w:highlight w:val="none"/>
                <w:lang w:bidi="ar"/>
              </w:rPr>
              <w:t>提供满足或优于以上所有技术参数内容</w:t>
            </w:r>
            <w:r>
              <w:rPr>
                <w:rFonts w:hint="eastAsia" w:ascii="宋体" w:hAnsi="宋体" w:eastAsia="宋体" w:cs="宋体"/>
                <w:color w:val="auto"/>
                <w:kern w:val="0"/>
                <w:sz w:val="21"/>
                <w:szCs w:val="21"/>
                <w:highlight w:val="none"/>
                <w:lang w:eastAsia="zh-CN" w:bidi="ar"/>
              </w:rPr>
              <w:t>及</w:t>
            </w:r>
            <w:r>
              <w:rPr>
                <w:rFonts w:hint="eastAsia" w:ascii="宋体" w:hAnsi="宋体" w:eastAsia="宋体" w:cs="宋体"/>
                <w:color w:val="auto"/>
                <w:kern w:val="0"/>
                <w:sz w:val="21"/>
                <w:szCs w:val="21"/>
                <w:highlight w:val="none"/>
                <w:lang w:bidi="ar"/>
              </w:rPr>
              <w:t>对本项至少5年使用破损无条件</w:t>
            </w:r>
            <w:r>
              <w:rPr>
                <w:rStyle w:val="25"/>
                <w:rFonts w:hint="eastAsia" w:ascii="宋体" w:hAnsi="宋体" w:eastAsia="宋体" w:cs="宋体"/>
                <w:color w:val="auto"/>
                <w:sz w:val="21"/>
                <w:szCs w:val="21"/>
                <w:highlight w:val="none"/>
                <w:lang w:bidi="ar"/>
              </w:rPr>
              <w:t>‬</w:t>
            </w:r>
            <w:r>
              <w:rPr>
                <w:rStyle w:val="26"/>
                <w:rFonts w:hint="eastAsia" w:ascii="宋体" w:hAnsi="宋体" w:eastAsia="宋体" w:cs="宋体"/>
                <w:color w:val="auto"/>
                <w:sz w:val="21"/>
                <w:szCs w:val="21"/>
                <w:highlight w:val="none"/>
                <w:lang w:bidi="ar"/>
              </w:rPr>
              <w:t>更换的售后承诺书。</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5CDED117">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3AD61A5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75289D9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691FD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4" w:hRule="atLeast"/>
        </w:trPr>
        <w:tc>
          <w:tcPr>
            <w:tcW w:w="384" w:type="pct"/>
            <w:shd w:val="clear" w:color="auto" w:fill="auto"/>
            <w:noWrap/>
            <w:vAlign w:val="center"/>
          </w:tcPr>
          <w:p w14:paraId="3E56DA76">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381" w:type="pct"/>
            <w:shd w:val="clear" w:color="auto" w:fill="auto"/>
            <w:vAlign w:val="center"/>
          </w:tcPr>
          <w:p w14:paraId="6D4B6FA4">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边台12</w:t>
            </w:r>
          </w:p>
        </w:tc>
        <w:tc>
          <w:tcPr>
            <w:tcW w:w="783" w:type="pct"/>
            <w:shd w:val="clear" w:color="auto" w:fill="auto"/>
            <w:vAlign w:val="center"/>
          </w:tcPr>
          <w:p w14:paraId="4DB6D7B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62336" behindDoc="0" locked="0" layoutInCell="1" allowOverlap="1">
                  <wp:simplePos x="0" y="0"/>
                  <wp:positionH relativeFrom="column">
                    <wp:posOffset>57150</wp:posOffset>
                  </wp:positionH>
                  <wp:positionV relativeFrom="paragraph">
                    <wp:posOffset>917575</wp:posOffset>
                  </wp:positionV>
                  <wp:extent cx="821055" cy="810260"/>
                  <wp:effectExtent l="0" t="0" r="5715" b="3175"/>
                  <wp:wrapSquare wrapText="bothSides"/>
                  <wp:docPr id="15" name="图片 15"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34D7B5F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2850*750*850</w:t>
            </w:r>
            <w:r>
              <w:rPr>
                <w:rFonts w:hint="eastAsia" w:ascii="宋体" w:hAnsi="宋体" w:eastAsia="宋体" w:cs="宋体"/>
                <w:color w:val="auto"/>
                <w:kern w:val="0"/>
                <w:sz w:val="21"/>
                <w:szCs w:val="21"/>
                <w:highlight w:val="none"/>
                <w:lang w:val="en-US" w:eastAsia="zh-CN" w:bidi="ar"/>
              </w:rPr>
              <w:t>mm</w:t>
            </w:r>
          </w:p>
          <w:p w14:paraId="7A24F751">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 w:val="21"/>
                <w:szCs w:val="21"/>
                <w:highlight w:val="none"/>
                <w:lang w:bidi="ar"/>
              </w:rPr>
              <w:t>性能需满足以下基本要求：</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★1、陶瓷台面截面耐污性能要求：参照 GB/T24820-2024检测标准试件正面和截面（测试对象为同一块样品）污染物接触时间不低于48h，污染物至少包含二氯甲烷99.8%、丙酮99.5%及碘伏（碘酒）等检测项目，检测结果为5级，表面无明显变化。台面截面表面区域为台面四周可见截面或杯槽开孔截面。</w:t>
            </w:r>
          </w:p>
          <w:p w14:paraId="005E8070">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eastAsia="zh-CN" w:bidi="ar"/>
              </w:rPr>
              <w:t>★2、陶瓷台面表面质量性能要求：参照GB/T3810.2-2016检验依据（委托抽样检验），表面质量至少98%以上的陶瓷台面主要区域无明显缺陷，以上检测结果：符合。</w:t>
            </w:r>
          </w:p>
          <w:p w14:paraId="5E08E9B3">
            <w:pPr>
              <w:keepNext w:val="0"/>
              <w:keepLines w:val="0"/>
              <w:pageBreakBefore w:val="0"/>
              <w:widowControl/>
              <w:numPr>
                <w:ilvl w:val="-1"/>
                <w:numId w:val="0"/>
              </w:numPr>
              <w:kinsoku/>
              <w:wordWrap w:val="0"/>
              <w:overflowPunct/>
              <w:topLinePunct w:val="0"/>
              <w:autoSpaceDE/>
              <w:autoSpaceDN/>
              <w:bidi w:val="0"/>
              <w:adjustRightInd/>
              <w:spacing w:line="240" w:lineRule="auto"/>
              <w:jc w:val="left"/>
              <w:textAlignment w:val="auto"/>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 w:val="21"/>
                <w:szCs w:val="21"/>
                <w:highlight w:val="none"/>
                <w:lang w:eastAsia="zh-CN"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 w:val="21"/>
                <w:szCs w:val="21"/>
                <w:highlight w:val="none"/>
                <w:lang w:eastAsia="zh-CN" w:bidi="ar"/>
              </w:rPr>
              <w:t>/m</w:t>
            </w:r>
            <w:r>
              <w:rPr>
                <w:rFonts w:hint="eastAsia" w:ascii="宋体" w:hAnsi="宋体" w:eastAsia="宋体" w:cs="宋体"/>
                <w:color w:val="auto"/>
                <w:kern w:val="0"/>
                <w:sz w:val="21"/>
                <w:szCs w:val="21"/>
                <w:highlight w:val="none"/>
                <w:vertAlign w:val="superscript"/>
                <w:lang w:eastAsia="zh-CN" w:bidi="ar"/>
              </w:rPr>
              <w:t>3</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★4、陶瓷台面尺寸允许偏差性能要求：参照GB/T3810.2-2016检验依据（委托抽样检验），检测长度、宽度的实际尺寸与工作尺寸的允许偏差，检测结果为：长度、宽度偏差±0.3%，最大值±5mm。</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投标时</w:t>
            </w:r>
            <w:r>
              <w:rPr>
                <w:rFonts w:hint="eastAsia" w:ascii="宋体" w:hAnsi="宋体" w:eastAsia="宋体" w:cs="宋体"/>
                <w:color w:val="auto"/>
                <w:kern w:val="0"/>
                <w:sz w:val="21"/>
                <w:szCs w:val="21"/>
                <w:highlight w:val="none"/>
                <w:lang w:bidi="ar"/>
              </w:rPr>
              <w:t>提供满足或优于以上所有技术参数内容</w:t>
            </w:r>
            <w:r>
              <w:rPr>
                <w:rFonts w:hint="eastAsia" w:ascii="宋体" w:hAnsi="宋体" w:eastAsia="宋体" w:cs="宋体"/>
                <w:color w:val="auto"/>
                <w:kern w:val="0"/>
                <w:sz w:val="21"/>
                <w:szCs w:val="21"/>
                <w:highlight w:val="none"/>
                <w:lang w:eastAsia="zh-CN" w:bidi="ar"/>
              </w:rPr>
              <w:t>及</w:t>
            </w:r>
            <w:r>
              <w:rPr>
                <w:rFonts w:hint="eastAsia" w:ascii="宋体" w:hAnsi="宋体" w:eastAsia="宋体" w:cs="宋体"/>
                <w:color w:val="auto"/>
                <w:kern w:val="0"/>
                <w:sz w:val="21"/>
                <w:szCs w:val="21"/>
                <w:highlight w:val="none"/>
                <w:lang w:bidi="ar"/>
              </w:rPr>
              <w:t>对本项至少5年使用破损无条件</w:t>
            </w:r>
            <w:r>
              <w:rPr>
                <w:rStyle w:val="25"/>
                <w:rFonts w:hint="eastAsia" w:ascii="宋体" w:hAnsi="宋体" w:eastAsia="宋体" w:cs="宋体"/>
                <w:color w:val="auto"/>
                <w:sz w:val="21"/>
                <w:szCs w:val="21"/>
                <w:highlight w:val="none"/>
                <w:lang w:bidi="ar"/>
              </w:rPr>
              <w:t>‬</w:t>
            </w:r>
            <w:r>
              <w:rPr>
                <w:rStyle w:val="26"/>
                <w:rFonts w:hint="eastAsia" w:ascii="宋体" w:hAnsi="宋体" w:eastAsia="宋体" w:cs="宋体"/>
                <w:color w:val="auto"/>
                <w:sz w:val="21"/>
                <w:szCs w:val="21"/>
                <w:highlight w:val="none"/>
                <w:lang w:bidi="ar"/>
              </w:rPr>
              <w:t>更换的售后承诺书。</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198BB1C7">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61924DD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22994EE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3714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384" w:type="pct"/>
            <w:shd w:val="clear" w:color="auto" w:fill="auto"/>
            <w:noWrap/>
            <w:vAlign w:val="center"/>
          </w:tcPr>
          <w:p w14:paraId="445C0346">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381" w:type="pct"/>
            <w:shd w:val="clear" w:color="auto" w:fill="auto"/>
            <w:vAlign w:val="center"/>
          </w:tcPr>
          <w:p w14:paraId="49B0F20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边台13</w:t>
            </w:r>
          </w:p>
        </w:tc>
        <w:tc>
          <w:tcPr>
            <w:tcW w:w="783" w:type="pct"/>
            <w:shd w:val="clear" w:color="auto" w:fill="auto"/>
            <w:vAlign w:val="center"/>
          </w:tcPr>
          <w:p w14:paraId="4134A7C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64384" behindDoc="0" locked="0" layoutInCell="1" allowOverlap="1">
                  <wp:simplePos x="0" y="0"/>
                  <wp:positionH relativeFrom="column">
                    <wp:posOffset>9525</wp:posOffset>
                  </wp:positionH>
                  <wp:positionV relativeFrom="paragraph">
                    <wp:posOffset>3965575</wp:posOffset>
                  </wp:positionV>
                  <wp:extent cx="821055" cy="810260"/>
                  <wp:effectExtent l="0" t="0" r="5715" b="3175"/>
                  <wp:wrapSquare wrapText="bothSides"/>
                  <wp:docPr id="16" name="图片 16"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0094EC1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4850*750*850</w:t>
            </w:r>
            <w:r>
              <w:rPr>
                <w:rFonts w:hint="eastAsia" w:ascii="宋体" w:hAnsi="宋体" w:eastAsia="宋体" w:cs="宋体"/>
                <w:color w:val="auto"/>
                <w:kern w:val="0"/>
                <w:sz w:val="21"/>
                <w:szCs w:val="21"/>
                <w:highlight w:val="none"/>
                <w:lang w:val="en-US" w:eastAsia="zh-CN" w:bidi="ar"/>
              </w:rPr>
              <w:t>mm</w:t>
            </w:r>
          </w:p>
          <w:p w14:paraId="10811A4B">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 w:val="21"/>
                <w:szCs w:val="21"/>
                <w:highlight w:val="none"/>
                <w:lang w:bidi="ar"/>
              </w:rPr>
              <w:t>性能需满足以下基本要求：</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★1、陶瓷台面截面耐污性能要求：参照 GB/T24820-2024检测标准试件正面和截面（测试对象为同一块样品）污染物接触时间不低于48h，污染物至少包含二氯甲烷99.8%、丙酮99.5%及碘伏（碘酒）等检测项目，检测结果为5级，表面无明显变化。台面截面表面区域为台面四周可见截面或杯槽开孔截面。</w:t>
            </w:r>
          </w:p>
          <w:p w14:paraId="34526654">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eastAsia="zh-CN" w:bidi="ar"/>
              </w:rPr>
              <w:t>★2、陶瓷台面表面质量性能要求：参照GB/T3810.2-2016检验依据（委托抽样检验），表面质量至少98%以上的陶瓷台面主要区域无明显缺陷，以上检测结果：符合。</w:t>
            </w:r>
          </w:p>
          <w:p w14:paraId="164272D6">
            <w:pPr>
              <w:keepNext w:val="0"/>
              <w:keepLines w:val="0"/>
              <w:pageBreakBefore w:val="0"/>
              <w:widowControl/>
              <w:numPr>
                <w:ilvl w:val="-1"/>
                <w:numId w:val="0"/>
              </w:numPr>
              <w:kinsoku/>
              <w:wordWrap w:val="0"/>
              <w:overflowPunct/>
              <w:topLinePunct w:val="0"/>
              <w:autoSpaceDE/>
              <w:autoSpaceDN/>
              <w:bidi w:val="0"/>
              <w:adjustRightInd/>
              <w:spacing w:line="240" w:lineRule="auto"/>
              <w:jc w:val="left"/>
              <w:textAlignment w:val="auto"/>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 w:val="21"/>
                <w:szCs w:val="21"/>
                <w:highlight w:val="none"/>
                <w:lang w:eastAsia="zh-CN"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 w:val="21"/>
                <w:szCs w:val="21"/>
                <w:highlight w:val="none"/>
                <w:lang w:eastAsia="zh-CN" w:bidi="ar"/>
              </w:rPr>
              <w:t>m</w:t>
            </w:r>
            <w:r>
              <w:rPr>
                <w:rFonts w:hint="eastAsia" w:ascii="宋体" w:hAnsi="宋体" w:eastAsia="宋体" w:cs="宋体"/>
                <w:color w:val="auto"/>
                <w:kern w:val="0"/>
                <w:sz w:val="21"/>
                <w:szCs w:val="21"/>
                <w:highlight w:val="none"/>
                <w:vertAlign w:val="superscript"/>
                <w:lang w:eastAsia="zh-CN" w:bidi="ar"/>
              </w:rPr>
              <w:t>3</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★4、陶瓷台面尺寸允许偏差性能要求：参照GB/T3810.2-2016检验依据（委托抽样检验），检测长度、宽度的实际尺寸与工作尺寸的允许偏差，检测结果为：长度、宽度偏差±0.3%，最大值±5mm。</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投标时</w:t>
            </w:r>
            <w:r>
              <w:rPr>
                <w:rFonts w:hint="eastAsia" w:ascii="宋体" w:hAnsi="宋体" w:eastAsia="宋体" w:cs="宋体"/>
                <w:color w:val="auto"/>
                <w:kern w:val="0"/>
                <w:sz w:val="21"/>
                <w:szCs w:val="21"/>
                <w:highlight w:val="none"/>
                <w:lang w:bidi="ar"/>
              </w:rPr>
              <w:t>提供满足或优于以上所有技术参数内容</w:t>
            </w:r>
            <w:r>
              <w:rPr>
                <w:rFonts w:hint="eastAsia" w:ascii="宋体" w:hAnsi="宋体" w:eastAsia="宋体" w:cs="宋体"/>
                <w:color w:val="auto"/>
                <w:kern w:val="0"/>
                <w:sz w:val="21"/>
                <w:szCs w:val="21"/>
                <w:highlight w:val="none"/>
                <w:lang w:eastAsia="zh-CN" w:bidi="ar"/>
              </w:rPr>
              <w:t>及</w:t>
            </w:r>
            <w:r>
              <w:rPr>
                <w:rFonts w:hint="eastAsia" w:ascii="宋体" w:hAnsi="宋体" w:eastAsia="宋体" w:cs="宋体"/>
                <w:color w:val="auto"/>
                <w:kern w:val="0"/>
                <w:sz w:val="21"/>
                <w:szCs w:val="21"/>
                <w:highlight w:val="none"/>
                <w:lang w:bidi="ar"/>
              </w:rPr>
              <w:t>对本项至少5年使用破损无条件</w:t>
            </w:r>
            <w:r>
              <w:rPr>
                <w:rStyle w:val="25"/>
                <w:rFonts w:hint="eastAsia" w:ascii="宋体" w:hAnsi="宋体" w:eastAsia="宋体" w:cs="宋体"/>
                <w:color w:val="auto"/>
                <w:sz w:val="21"/>
                <w:szCs w:val="21"/>
                <w:highlight w:val="none"/>
                <w:lang w:bidi="ar"/>
              </w:rPr>
              <w:t>‬</w:t>
            </w:r>
            <w:r>
              <w:rPr>
                <w:rStyle w:val="26"/>
                <w:rFonts w:hint="eastAsia" w:ascii="宋体" w:hAnsi="宋体" w:eastAsia="宋体" w:cs="宋体"/>
                <w:color w:val="auto"/>
                <w:sz w:val="21"/>
                <w:szCs w:val="21"/>
                <w:highlight w:val="none"/>
                <w:lang w:bidi="ar"/>
              </w:rPr>
              <w:t>更换的售后承诺书。</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1DA6A882">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0C39296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4C5A349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14:paraId="28F30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384" w:type="pct"/>
            <w:shd w:val="clear" w:color="auto" w:fill="auto"/>
            <w:noWrap/>
            <w:vAlign w:val="center"/>
          </w:tcPr>
          <w:p w14:paraId="78E1C4CD">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381" w:type="pct"/>
            <w:shd w:val="clear" w:color="auto" w:fill="auto"/>
            <w:vAlign w:val="center"/>
          </w:tcPr>
          <w:p w14:paraId="48BB09B4">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边台14</w:t>
            </w:r>
          </w:p>
        </w:tc>
        <w:tc>
          <w:tcPr>
            <w:tcW w:w="783" w:type="pct"/>
            <w:shd w:val="clear" w:color="auto" w:fill="auto"/>
            <w:vAlign w:val="center"/>
          </w:tcPr>
          <w:p w14:paraId="2E2F3D3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66432" behindDoc="0" locked="0" layoutInCell="1" allowOverlap="1">
                  <wp:simplePos x="0" y="0"/>
                  <wp:positionH relativeFrom="column">
                    <wp:posOffset>-38100</wp:posOffset>
                  </wp:positionH>
                  <wp:positionV relativeFrom="paragraph">
                    <wp:posOffset>3022600</wp:posOffset>
                  </wp:positionV>
                  <wp:extent cx="821055" cy="810260"/>
                  <wp:effectExtent l="0" t="0" r="5715" b="3175"/>
                  <wp:wrapSquare wrapText="bothSides"/>
                  <wp:docPr id="17" name="图片 17"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709048C2">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2350*750*850</w:t>
            </w:r>
            <w:r>
              <w:rPr>
                <w:rFonts w:hint="eastAsia" w:ascii="宋体" w:hAnsi="宋体" w:eastAsia="宋体" w:cs="宋体"/>
                <w:color w:val="auto"/>
                <w:kern w:val="0"/>
                <w:sz w:val="21"/>
                <w:szCs w:val="21"/>
                <w:highlight w:val="none"/>
                <w:lang w:val="en-US" w:eastAsia="zh-CN" w:bidi="ar"/>
              </w:rPr>
              <w:t>mm</w:t>
            </w:r>
          </w:p>
          <w:p w14:paraId="7950BA56">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 w:val="21"/>
                <w:szCs w:val="21"/>
                <w:highlight w:val="none"/>
                <w:lang w:bidi="ar"/>
              </w:rPr>
              <w:t>性能需满足以下基本要求：</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★1、陶瓷台面截面耐污性能要求：参照 GB/T24820-2024检测标准试件正面和截面（测试对象为同一块样品）污染物接触时间不低于48h，污染物至少包含二氯甲烷99.8%、丙酮99.5%及碘伏（碘酒）等检测项目，检测结果为5级，表面无明显变化。台面截面表面区域为台面四周可见截面或杯槽开孔截面。</w:t>
            </w:r>
          </w:p>
          <w:p w14:paraId="2C7A5D4D">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eastAsia="zh-CN" w:bidi="ar"/>
              </w:rPr>
              <w:t>★2、陶瓷台面表面质量性能要求：参照GB/T3810.2-2016检验依据（委托抽样检验），表面质量至少98%以上的陶瓷台面主要区域无明显缺陷，以上检测结果：符合。</w:t>
            </w:r>
          </w:p>
          <w:p w14:paraId="4D9CF3A0">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 w:val="21"/>
                <w:szCs w:val="21"/>
                <w:highlight w:val="none"/>
                <w:lang w:eastAsia="zh-CN"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w:t>
            </w:r>
            <w:r>
              <w:rPr>
                <w:rFonts w:hint="eastAsia" w:ascii="宋体" w:hAnsi="宋体" w:eastAsia="宋体" w:cs="宋体"/>
                <w:color w:val="auto"/>
                <w:kern w:val="0"/>
                <w:sz w:val="21"/>
                <w:szCs w:val="21"/>
                <w:highlight w:val="none"/>
                <w:lang w:eastAsia="zh-CN" w:bidi="ar"/>
              </w:rPr>
              <w:t>mg/m</w:t>
            </w:r>
            <w:r>
              <w:rPr>
                <w:rFonts w:hint="eastAsia" w:ascii="宋体" w:hAnsi="宋体" w:eastAsia="宋体" w:cs="宋体"/>
                <w:color w:val="auto"/>
                <w:kern w:val="0"/>
                <w:sz w:val="21"/>
                <w:szCs w:val="21"/>
                <w:highlight w:val="none"/>
                <w:vertAlign w:val="superscript"/>
                <w:lang w:eastAsia="zh-CN" w:bidi="ar"/>
              </w:rPr>
              <w:t>3</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★4、陶瓷台面尺寸允许偏差性能要求：参照GB/T3810.2-2016检验依据（委托抽样检验），检测长度、宽度的实际尺寸与工作尺寸的允许偏差，检测结果为：长度、宽度偏差±0.3%，最大值±5mm。</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投标时</w:t>
            </w:r>
            <w:r>
              <w:rPr>
                <w:rFonts w:hint="eastAsia" w:ascii="宋体" w:hAnsi="宋体" w:eastAsia="宋体" w:cs="宋体"/>
                <w:color w:val="auto"/>
                <w:kern w:val="0"/>
                <w:sz w:val="21"/>
                <w:szCs w:val="21"/>
                <w:highlight w:val="none"/>
                <w:lang w:bidi="ar"/>
              </w:rPr>
              <w:t>提供满足或优于以上所有技术参数内容</w:t>
            </w:r>
            <w:r>
              <w:rPr>
                <w:rFonts w:hint="eastAsia" w:ascii="宋体" w:hAnsi="宋体" w:eastAsia="宋体" w:cs="宋体"/>
                <w:color w:val="auto"/>
                <w:kern w:val="0"/>
                <w:sz w:val="21"/>
                <w:szCs w:val="21"/>
                <w:highlight w:val="none"/>
                <w:lang w:eastAsia="zh-CN" w:bidi="ar"/>
              </w:rPr>
              <w:t>及</w:t>
            </w:r>
            <w:r>
              <w:rPr>
                <w:rFonts w:hint="eastAsia" w:ascii="宋体" w:hAnsi="宋体" w:eastAsia="宋体" w:cs="宋体"/>
                <w:color w:val="auto"/>
                <w:kern w:val="0"/>
                <w:sz w:val="21"/>
                <w:szCs w:val="21"/>
                <w:highlight w:val="none"/>
                <w:lang w:bidi="ar"/>
              </w:rPr>
              <w:t>对本项至少5年使用破损无条件</w:t>
            </w:r>
            <w:r>
              <w:rPr>
                <w:rStyle w:val="25"/>
                <w:rFonts w:hint="eastAsia" w:ascii="宋体" w:hAnsi="宋体" w:eastAsia="宋体" w:cs="宋体"/>
                <w:color w:val="auto"/>
                <w:sz w:val="21"/>
                <w:szCs w:val="21"/>
                <w:highlight w:val="none"/>
                <w:lang w:bidi="ar"/>
              </w:rPr>
              <w:t>‬</w:t>
            </w:r>
            <w:r>
              <w:rPr>
                <w:rStyle w:val="26"/>
                <w:rFonts w:hint="eastAsia" w:ascii="宋体" w:hAnsi="宋体" w:eastAsia="宋体" w:cs="宋体"/>
                <w:color w:val="auto"/>
                <w:sz w:val="21"/>
                <w:szCs w:val="21"/>
                <w:highlight w:val="none"/>
                <w:lang w:bidi="ar"/>
              </w:rPr>
              <w:t>更换的售后承诺书。</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2BCE3D05">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14CD460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7926B5B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7822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9" w:hRule="atLeast"/>
        </w:trPr>
        <w:tc>
          <w:tcPr>
            <w:tcW w:w="384" w:type="pct"/>
            <w:shd w:val="clear" w:color="auto" w:fill="auto"/>
            <w:noWrap/>
            <w:vAlign w:val="center"/>
          </w:tcPr>
          <w:p w14:paraId="17BA4EEE">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381" w:type="pct"/>
            <w:shd w:val="clear" w:color="auto" w:fill="auto"/>
            <w:vAlign w:val="center"/>
          </w:tcPr>
          <w:p w14:paraId="45B972B4">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边台15</w:t>
            </w:r>
          </w:p>
        </w:tc>
        <w:tc>
          <w:tcPr>
            <w:tcW w:w="783" w:type="pct"/>
            <w:shd w:val="clear" w:color="auto" w:fill="auto"/>
            <w:vAlign w:val="center"/>
          </w:tcPr>
          <w:p w14:paraId="708E9C7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67456" behindDoc="0" locked="0" layoutInCell="1" allowOverlap="1">
                  <wp:simplePos x="0" y="0"/>
                  <wp:positionH relativeFrom="column">
                    <wp:posOffset>95250</wp:posOffset>
                  </wp:positionH>
                  <wp:positionV relativeFrom="paragraph">
                    <wp:posOffset>1861185</wp:posOffset>
                  </wp:positionV>
                  <wp:extent cx="821055" cy="810260"/>
                  <wp:effectExtent l="0" t="0" r="5715" b="3175"/>
                  <wp:wrapSquare wrapText="bothSides"/>
                  <wp:docPr id="18" name="图片 18"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754DDF78">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4100*750*850</w:t>
            </w:r>
            <w:r>
              <w:rPr>
                <w:rFonts w:hint="eastAsia" w:ascii="宋体" w:hAnsi="宋体" w:eastAsia="宋体" w:cs="宋体"/>
                <w:color w:val="auto"/>
                <w:kern w:val="0"/>
                <w:sz w:val="21"/>
                <w:szCs w:val="21"/>
                <w:highlight w:val="none"/>
                <w:lang w:val="en-US" w:eastAsia="zh-CN" w:bidi="ar"/>
              </w:rPr>
              <w:t>mm</w:t>
            </w:r>
          </w:p>
          <w:p w14:paraId="09C8026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 w:val="21"/>
                <w:szCs w:val="21"/>
                <w:highlight w:val="none"/>
                <w:lang w:bidi="ar"/>
              </w:rPr>
              <w:t>性能需满足以下基本要求：</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★1、陶瓷台面截面耐污性能要求：参照 GB/T24820-2024检测标准试件正面和截面（测试对象为同一块样品）污染物接触时间不低于48h，污染物至少包含二氯甲烷99.8%、丙酮99.5%及碘伏（碘酒）等检测项目，检测结果为5级，表面无明显变化。台面截面表面区域为台面四周可见截面或杯槽开孔截面。</w:t>
            </w:r>
          </w:p>
          <w:p w14:paraId="464C5F5F">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eastAsia="zh-CN" w:bidi="ar"/>
              </w:rPr>
              <w:t>★2、陶瓷台面表面质量性能要求：参照GB/T3810.2-2016检验依据（委托抽样检验），表面质量至少98%以上的陶瓷台面主要区域无明显缺陷，以上检测结果：符合。</w:t>
            </w:r>
          </w:p>
          <w:p w14:paraId="0A0477D0">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 w:val="21"/>
                <w:szCs w:val="21"/>
                <w:highlight w:val="none"/>
                <w:lang w:eastAsia="zh-CN"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 w:val="21"/>
                <w:szCs w:val="21"/>
                <w:highlight w:val="none"/>
                <w:lang w:eastAsia="zh-CN" w:bidi="ar"/>
              </w:rPr>
              <w:t>m</w:t>
            </w:r>
            <w:r>
              <w:rPr>
                <w:rFonts w:hint="eastAsia" w:ascii="宋体" w:hAnsi="宋体" w:eastAsia="宋体" w:cs="宋体"/>
                <w:color w:val="auto"/>
                <w:kern w:val="0"/>
                <w:sz w:val="21"/>
                <w:szCs w:val="21"/>
                <w:highlight w:val="none"/>
                <w:vertAlign w:val="superscript"/>
                <w:lang w:eastAsia="zh-CN" w:bidi="ar"/>
              </w:rPr>
              <w:t>3</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★4、陶瓷台面尺寸允许偏差性能要求：参照GB/T3810.2-2016检验依据（委托抽样检验），检测长度、宽度的实际尺寸与工作尺寸的允许偏差，检测结果为：长度、宽度偏差±0.3%，最大值±5mm。</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投标时</w:t>
            </w:r>
            <w:r>
              <w:rPr>
                <w:rFonts w:hint="eastAsia" w:ascii="宋体" w:hAnsi="宋体" w:eastAsia="宋体" w:cs="宋体"/>
                <w:color w:val="auto"/>
                <w:kern w:val="0"/>
                <w:sz w:val="21"/>
                <w:szCs w:val="21"/>
                <w:highlight w:val="none"/>
                <w:lang w:bidi="ar"/>
              </w:rPr>
              <w:t>提供满足或优于以上所有技术参数内容</w:t>
            </w:r>
            <w:r>
              <w:rPr>
                <w:rFonts w:hint="eastAsia" w:ascii="宋体" w:hAnsi="宋体" w:eastAsia="宋体" w:cs="宋体"/>
                <w:color w:val="auto"/>
                <w:kern w:val="0"/>
                <w:sz w:val="21"/>
                <w:szCs w:val="21"/>
                <w:highlight w:val="none"/>
                <w:lang w:eastAsia="zh-CN" w:bidi="ar"/>
              </w:rPr>
              <w:t>及</w:t>
            </w:r>
            <w:r>
              <w:rPr>
                <w:rFonts w:hint="eastAsia" w:ascii="宋体" w:hAnsi="宋体" w:eastAsia="宋体" w:cs="宋体"/>
                <w:color w:val="auto"/>
                <w:kern w:val="0"/>
                <w:sz w:val="21"/>
                <w:szCs w:val="21"/>
                <w:highlight w:val="none"/>
                <w:lang w:bidi="ar"/>
              </w:rPr>
              <w:t>对本项至少5年使用破损无条件</w:t>
            </w:r>
            <w:r>
              <w:rPr>
                <w:rStyle w:val="25"/>
                <w:rFonts w:hint="eastAsia" w:ascii="宋体" w:hAnsi="宋体" w:eastAsia="宋体" w:cs="宋体"/>
                <w:color w:val="auto"/>
                <w:sz w:val="21"/>
                <w:szCs w:val="21"/>
                <w:highlight w:val="none"/>
                <w:lang w:bidi="ar"/>
              </w:rPr>
              <w:t>‬</w:t>
            </w:r>
            <w:r>
              <w:rPr>
                <w:rStyle w:val="26"/>
                <w:rFonts w:hint="eastAsia" w:ascii="宋体" w:hAnsi="宋体" w:eastAsia="宋体" w:cs="宋体"/>
                <w:color w:val="auto"/>
                <w:sz w:val="21"/>
                <w:szCs w:val="21"/>
                <w:highlight w:val="none"/>
                <w:lang w:bidi="ar"/>
              </w:rPr>
              <w:t>更换的售后承诺书。</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257121E1">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5F93D3C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66E5AE3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32263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4" w:type="pct"/>
            <w:shd w:val="clear" w:color="auto" w:fill="auto"/>
            <w:noWrap/>
            <w:vAlign w:val="center"/>
          </w:tcPr>
          <w:p w14:paraId="468AEA6F">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381" w:type="pct"/>
            <w:shd w:val="clear" w:color="auto" w:fill="auto"/>
            <w:vAlign w:val="center"/>
          </w:tcPr>
          <w:p w14:paraId="34F7830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边台16</w:t>
            </w:r>
          </w:p>
        </w:tc>
        <w:tc>
          <w:tcPr>
            <w:tcW w:w="783" w:type="pct"/>
            <w:shd w:val="clear" w:color="auto" w:fill="auto"/>
            <w:vAlign w:val="center"/>
          </w:tcPr>
          <w:p w14:paraId="1959AA7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68480" behindDoc="0" locked="0" layoutInCell="1" allowOverlap="1">
                  <wp:simplePos x="0" y="0"/>
                  <wp:positionH relativeFrom="column">
                    <wp:posOffset>0</wp:posOffset>
                  </wp:positionH>
                  <wp:positionV relativeFrom="paragraph">
                    <wp:posOffset>699135</wp:posOffset>
                  </wp:positionV>
                  <wp:extent cx="821055" cy="810260"/>
                  <wp:effectExtent l="0" t="0" r="5715" b="3175"/>
                  <wp:wrapSquare wrapText="bothSides"/>
                  <wp:docPr id="19" name="图片 19"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0772C87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5150*750*850</w:t>
            </w:r>
            <w:r>
              <w:rPr>
                <w:rFonts w:hint="eastAsia" w:ascii="宋体" w:hAnsi="宋体" w:eastAsia="宋体" w:cs="宋体"/>
                <w:color w:val="auto"/>
                <w:kern w:val="0"/>
                <w:sz w:val="21"/>
                <w:szCs w:val="21"/>
                <w:highlight w:val="none"/>
                <w:lang w:val="en-US" w:eastAsia="zh-CN" w:bidi="ar"/>
              </w:rPr>
              <w:t>mm</w:t>
            </w:r>
          </w:p>
          <w:p w14:paraId="7893D622">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 w:val="21"/>
                <w:szCs w:val="21"/>
                <w:highlight w:val="none"/>
                <w:lang w:bidi="ar"/>
              </w:rPr>
              <w:t>性能需满足以下基本要求：</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★1、陶瓷台面截面耐污性能要求：参照 GB/T24820-2024检测标准试件正面和截面（测试对象为同一块样品）污染物接触时间不低于48h，污染物至少包含二氯甲烷99.8%、丙酮99.5%及碘伏（碘酒）等检测项目，检测结果为5级，表面无明显变化。台面截面表面区域为台面四周可见截面或杯槽开孔截面。</w:t>
            </w:r>
          </w:p>
          <w:p w14:paraId="0F81F2CE">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eastAsia="zh-CN" w:bidi="ar"/>
              </w:rPr>
              <w:t>★2、陶瓷台面表面质量性能要求：参照GB/T3810.2-2016检验依据（委托抽样检验），表面质量至少98%以上的陶瓷台面主要区域无明显缺陷，以上检测结果：符合。</w:t>
            </w:r>
          </w:p>
          <w:p w14:paraId="7BEFE6F4">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 w:val="21"/>
                <w:szCs w:val="21"/>
                <w:highlight w:val="none"/>
                <w:lang w:eastAsia="zh-CN"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 w:val="21"/>
                <w:szCs w:val="21"/>
                <w:highlight w:val="none"/>
                <w:lang w:eastAsia="zh-CN" w:bidi="ar"/>
              </w:rPr>
              <w:t>/m</w:t>
            </w:r>
            <w:r>
              <w:rPr>
                <w:rFonts w:hint="eastAsia" w:ascii="宋体" w:hAnsi="宋体" w:eastAsia="宋体" w:cs="宋体"/>
                <w:color w:val="auto"/>
                <w:kern w:val="0"/>
                <w:sz w:val="21"/>
                <w:szCs w:val="21"/>
                <w:highlight w:val="none"/>
                <w:vertAlign w:val="superscript"/>
                <w:lang w:eastAsia="zh-CN" w:bidi="ar"/>
              </w:rPr>
              <w:t>3</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★4、陶瓷台面尺寸允许偏差性能要求：参照GB/T3810.2-2016检验依据（委托抽样检验），检测长度、宽度的实际尺寸与工作尺寸的允许偏差，检测结果为：长度、宽度偏差±0.3%，最大值±5mm。</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投标时</w:t>
            </w:r>
            <w:r>
              <w:rPr>
                <w:rFonts w:hint="eastAsia" w:ascii="宋体" w:hAnsi="宋体" w:eastAsia="宋体" w:cs="宋体"/>
                <w:color w:val="auto"/>
                <w:kern w:val="0"/>
                <w:sz w:val="21"/>
                <w:szCs w:val="21"/>
                <w:highlight w:val="none"/>
                <w:lang w:bidi="ar"/>
              </w:rPr>
              <w:t>提供满足或优于以上所有技术参数内容</w:t>
            </w:r>
            <w:r>
              <w:rPr>
                <w:rFonts w:hint="eastAsia" w:ascii="宋体" w:hAnsi="宋体" w:eastAsia="宋体" w:cs="宋体"/>
                <w:color w:val="auto"/>
                <w:kern w:val="0"/>
                <w:sz w:val="21"/>
                <w:szCs w:val="21"/>
                <w:highlight w:val="none"/>
                <w:lang w:eastAsia="zh-CN" w:bidi="ar"/>
              </w:rPr>
              <w:t>及</w:t>
            </w:r>
            <w:r>
              <w:rPr>
                <w:rFonts w:hint="eastAsia" w:ascii="宋体" w:hAnsi="宋体" w:eastAsia="宋体" w:cs="宋体"/>
                <w:color w:val="auto"/>
                <w:kern w:val="0"/>
                <w:sz w:val="21"/>
                <w:szCs w:val="21"/>
                <w:highlight w:val="none"/>
                <w:lang w:bidi="ar"/>
              </w:rPr>
              <w:t>对本项至少5年使用破损无条件</w:t>
            </w:r>
            <w:r>
              <w:rPr>
                <w:rStyle w:val="25"/>
                <w:rFonts w:hint="eastAsia" w:ascii="宋体" w:hAnsi="宋体" w:eastAsia="宋体" w:cs="宋体"/>
                <w:color w:val="auto"/>
                <w:sz w:val="21"/>
                <w:szCs w:val="21"/>
                <w:highlight w:val="none"/>
                <w:lang w:bidi="ar"/>
              </w:rPr>
              <w:t>‬</w:t>
            </w:r>
            <w:r>
              <w:rPr>
                <w:rStyle w:val="26"/>
                <w:rFonts w:hint="eastAsia" w:ascii="宋体" w:hAnsi="宋体" w:eastAsia="宋体" w:cs="宋体"/>
                <w:color w:val="auto"/>
                <w:sz w:val="21"/>
                <w:szCs w:val="21"/>
                <w:highlight w:val="none"/>
                <w:lang w:bidi="ar"/>
              </w:rPr>
              <w:t>更换的售后承诺书。</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755D24C1">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6AF59BE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38746FC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749FF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4" w:hRule="atLeast"/>
        </w:trPr>
        <w:tc>
          <w:tcPr>
            <w:tcW w:w="384" w:type="pct"/>
            <w:shd w:val="clear" w:color="auto" w:fill="auto"/>
            <w:noWrap/>
            <w:vAlign w:val="center"/>
          </w:tcPr>
          <w:p w14:paraId="3C402202">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381" w:type="pct"/>
            <w:shd w:val="clear" w:color="auto" w:fill="auto"/>
            <w:vAlign w:val="center"/>
          </w:tcPr>
          <w:p w14:paraId="520AA1D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边台17</w:t>
            </w:r>
          </w:p>
        </w:tc>
        <w:tc>
          <w:tcPr>
            <w:tcW w:w="783" w:type="pct"/>
            <w:shd w:val="clear" w:color="auto" w:fill="auto"/>
            <w:vAlign w:val="center"/>
          </w:tcPr>
          <w:p w14:paraId="5AD4D15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69504" behindDoc="0" locked="0" layoutInCell="1" allowOverlap="1">
                  <wp:simplePos x="0" y="0"/>
                  <wp:positionH relativeFrom="column">
                    <wp:posOffset>-9525</wp:posOffset>
                  </wp:positionH>
                  <wp:positionV relativeFrom="paragraph">
                    <wp:posOffset>3585210</wp:posOffset>
                  </wp:positionV>
                  <wp:extent cx="821055" cy="810260"/>
                  <wp:effectExtent l="0" t="0" r="5715" b="3175"/>
                  <wp:wrapSquare wrapText="bothSides"/>
                  <wp:docPr id="20" name="图片 20"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0CA90126">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2050*750*850</w:t>
            </w:r>
            <w:r>
              <w:rPr>
                <w:rFonts w:hint="eastAsia" w:ascii="宋体" w:hAnsi="宋体" w:eastAsia="宋体" w:cs="宋体"/>
                <w:color w:val="auto"/>
                <w:kern w:val="0"/>
                <w:sz w:val="21"/>
                <w:szCs w:val="21"/>
                <w:highlight w:val="none"/>
                <w:lang w:val="en-US" w:eastAsia="zh-CN" w:bidi="ar"/>
              </w:rPr>
              <w:t>mm</w:t>
            </w:r>
          </w:p>
          <w:p w14:paraId="6AB3084A">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 w:val="21"/>
                <w:szCs w:val="21"/>
                <w:highlight w:val="none"/>
                <w:lang w:bidi="ar"/>
              </w:rPr>
              <w:t>性能需满足以下基本要求：</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★1、陶瓷台面截面耐污性能要求：参照 GB/T24820-2024检测标准试件正面和截面（测试对象为同一块样品）污染物接触时间不低于48h，污染物至少包含二氯甲烷99.8%、丙酮99.5%及碘伏（碘酒）等检测项目，检测结果为5级，表面无明显变化。台面截面表面区域为台面四周可见截面或杯槽开孔截面。</w:t>
            </w:r>
          </w:p>
          <w:p w14:paraId="19714D93">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eastAsia="zh-CN" w:bidi="ar"/>
              </w:rPr>
              <w:t>★2、陶瓷台面表面质量性能要求：参照GB/T3810.2-2016检验依据（委托抽样检验），表面质量至少98%以上的陶瓷台面主要区域无明显缺陷，以上检测结果：符合。</w:t>
            </w:r>
          </w:p>
          <w:p w14:paraId="5E4A2EBE">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 w:val="21"/>
                <w:szCs w:val="21"/>
                <w:highlight w:val="none"/>
                <w:lang w:eastAsia="zh-CN"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 w:val="21"/>
                <w:szCs w:val="21"/>
                <w:highlight w:val="none"/>
                <w:lang w:eastAsia="zh-CN" w:bidi="ar"/>
              </w:rPr>
              <w:t>m</w:t>
            </w:r>
            <w:r>
              <w:rPr>
                <w:rFonts w:hint="eastAsia" w:ascii="宋体" w:hAnsi="宋体" w:eastAsia="宋体" w:cs="宋体"/>
                <w:color w:val="auto"/>
                <w:kern w:val="0"/>
                <w:sz w:val="21"/>
                <w:szCs w:val="21"/>
                <w:highlight w:val="none"/>
                <w:vertAlign w:val="superscript"/>
                <w:lang w:eastAsia="zh-CN" w:bidi="ar"/>
              </w:rPr>
              <w:t>3</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★4、陶瓷台面尺寸允许偏差性能要求：参照GB/T3810.2-2016检验依据（委托抽样检验），检测长度、宽度的实际尺寸与工作尺寸的允许偏差，检测结果为：长度、宽度偏差±0.3%，最大值±5mm。</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投标时</w:t>
            </w:r>
            <w:r>
              <w:rPr>
                <w:rFonts w:hint="eastAsia" w:ascii="宋体" w:hAnsi="宋体" w:eastAsia="宋体" w:cs="宋体"/>
                <w:color w:val="auto"/>
                <w:kern w:val="0"/>
                <w:sz w:val="21"/>
                <w:szCs w:val="21"/>
                <w:highlight w:val="none"/>
                <w:lang w:bidi="ar"/>
              </w:rPr>
              <w:t>提供满足或优于以上所有技术参数内容</w:t>
            </w:r>
            <w:r>
              <w:rPr>
                <w:rFonts w:hint="eastAsia" w:ascii="宋体" w:hAnsi="宋体" w:eastAsia="宋体" w:cs="宋体"/>
                <w:color w:val="auto"/>
                <w:kern w:val="0"/>
                <w:sz w:val="21"/>
                <w:szCs w:val="21"/>
                <w:highlight w:val="none"/>
                <w:lang w:eastAsia="zh-CN" w:bidi="ar"/>
              </w:rPr>
              <w:t>及</w:t>
            </w:r>
            <w:r>
              <w:rPr>
                <w:rFonts w:hint="eastAsia" w:ascii="宋体" w:hAnsi="宋体" w:eastAsia="宋体" w:cs="宋体"/>
                <w:color w:val="auto"/>
                <w:kern w:val="0"/>
                <w:sz w:val="21"/>
                <w:szCs w:val="21"/>
                <w:highlight w:val="none"/>
                <w:lang w:bidi="ar"/>
              </w:rPr>
              <w:t>对本项至少5年使用破损无条件</w:t>
            </w:r>
            <w:r>
              <w:rPr>
                <w:rStyle w:val="25"/>
                <w:rFonts w:hint="eastAsia" w:ascii="宋体" w:hAnsi="宋体" w:eastAsia="宋体" w:cs="宋体"/>
                <w:color w:val="auto"/>
                <w:sz w:val="21"/>
                <w:szCs w:val="21"/>
                <w:highlight w:val="none"/>
                <w:lang w:bidi="ar"/>
              </w:rPr>
              <w:t>‬</w:t>
            </w:r>
            <w:r>
              <w:rPr>
                <w:rStyle w:val="26"/>
                <w:rFonts w:hint="eastAsia" w:ascii="宋体" w:hAnsi="宋体" w:eastAsia="宋体" w:cs="宋体"/>
                <w:color w:val="auto"/>
                <w:sz w:val="21"/>
                <w:szCs w:val="21"/>
                <w:highlight w:val="none"/>
                <w:lang w:bidi="ar"/>
              </w:rPr>
              <w:t>更换的售后承诺书。</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02B40D8F">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6C7DE8A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28D7790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4</w:t>
            </w:r>
          </w:p>
        </w:tc>
      </w:tr>
      <w:tr w14:paraId="5A2A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1" w:hRule="atLeast"/>
        </w:trPr>
        <w:tc>
          <w:tcPr>
            <w:tcW w:w="384" w:type="pct"/>
            <w:shd w:val="clear" w:color="auto" w:fill="auto"/>
            <w:noWrap/>
            <w:vAlign w:val="center"/>
          </w:tcPr>
          <w:p w14:paraId="315C539B">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381" w:type="pct"/>
            <w:shd w:val="clear" w:color="auto" w:fill="auto"/>
            <w:vAlign w:val="center"/>
          </w:tcPr>
          <w:p w14:paraId="0CFC818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边台18</w:t>
            </w:r>
          </w:p>
        </w:tc>
        <w:tc>
          <w:tcPr>
            <w:tcW w:w="783" w:type="pct"/>
            <w:shd w:val="clear" w:color="auto" w:fill="auto"/>
            <w:vAlign w:val="center"/>
          </w:tcPr>
          <w:p w14:paraId="5A6BAA8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70528" behindDoc="0" locked="0" layoutInCell="1" allowOverlap="1">
                  <wp:simplePos x="0" y="0"/>
                  <wp:positionH relativeFrom="column">
                    <wp:posOffset>38100</wp:posOffset>
                  </wp:positionH>
                  <wp:positionV relativeFrom="paragraph">
                    <wp:posOffset>2385060</wp:posOffset>
                  </wp:positionV>
                  <wp:extent cx="821055" cy="810260"/>
                  <wp:effectExtent l="0" t="0" r="5715" b="3175"/>
                  <wp:wrapSquare wrapText="bothSides"/>
                  <wp:docPr id="21" name="图片 21"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4BC6E6A9">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2150*750*850</w:t>
            </w:r>
            <w:r>
              <w:rPr>
                <w:rFonts w:hint="eastAsia" w:ascii="宋体" w:hAnsi="宋体" w:eastAsia="宋体" w:cs="宋体"/>
                <w:color w:val="auto"/>
                <w:kern w:val="0"/>
                <w:sz w:val="21"/>
                <w:szCs w:val="21"/>
                <w:highlight w:val="none"/>
                <w:lang w:val="en-US" w:eastAsia="zh-CN" w:bidi="ar"/>
              </w:rPr>
              <w:t>mm</w:t>
            </w:r>
          </w:p>
          <w:p w14:paraId="093BA51D">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 w:val="21"/>
                <w:szCs w:val="21"/>
                <w:highlight w:val="none"/>
                <w:lang w:bidi="ar"/>
              </w:rPr>
              <w:t>性能需满足以下基本要求：</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★1、陶瓷台面截面耐污性能要求：参照 GB/T24820-2024检测标准试件正面和截面（测试对象为同一块样品）污染物接触时间不低于48h，污染物至少包含二氯甲烷99.8%、丙酮99.5%及碘伏（碘酒）等检测项目，检测结果为5级，表面无明显变化。台面截面表面区域为台面四周可见截面或杯槽开孔截面。</w:t>
            </w:r>
          </w:p>
          <w:p w14:paraId="7E815738">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eastAsia="zh-CN" w:bidi="ar"/>
              </w:rPr>
              <w:t>★2、陶瓷台面表面质量性能要求：参照GB/T3810.2-2016检验依据（委托抽样检验），表面质量至少98%以上的陶瓷台面主要区域无明显缺陷，以上检测结果：符合。</w:t>
            </w:r>
          </w:p>
          <w:p w14:paraId="48A820C9">
            <w:pPr>
              <w:keepNext w:val="0"/>
              <w:keepLines w:val="0"/>
              <w:pageBreakBefore w:val="0"/>
              <w:widowControl/>
              <w:numPr>
                <w:ilvl w:val="-1"/>
                <w:numId w:val="0"/>
              </w:numPr>
              <w:kinsoku/>
              <w:wordWrap w:val="0"/>
              <w:overflowPunct/>
              <w:topLinePunct w:val="0"/>
              <w:autoSpaceDE/>
              <w:autoSpaceDN/>
              <w:bidi w:val="0"/>
              <w:adjustRightInd/>
              <w:spacing w:line="240" w:lineRule="auto"/>
              <w:jc w:val="left"/>
              <w:textAlignment w:val="auto"/>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 w:val="21"/>
                <w:szCs w:val="21"/>
                <w:highlight w:val="none"/>
                <w:lang w:eastAsia="zh-CN"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 w:val="21"/>
                <w:szCs w:val="21"/>
                <w:highlight w:val="none"/>
                <w:lang w:eastAsia="zh-CN" w:bidi="ar"/>
              </w:rPr>
              <w:t>/m</w:t>
            </w:r>
            <w:r>
              <w:rPr>
                <w:rFonts w:hint="eastAsia" w:ascii="宋体" w:hAnsi="宋体" w:eastAsia="宋体" w:cs="宋体"/>
                <w:color w:val="auto"/>
                <w:kern w:val="0"/>
                <w:sz w:val="21"/>
                <w:szCs w:val="21"/>
                <w:highlight w:val="none"/>
                <w:vertAlign w:val="superscript"/>
                <w:lang w:eastAsia="zh-CN" w:bidi="ar"/>
              </w:rPr>
              <w:t>3</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★4、陶瓷台面尺寸允许偏差性能要求：参照GB/T3810.2-2016检验依据（委托抽样检验），检测长度、宽度的实际尺寸与工作尺寸的允许偏差，检测结果为：长度、宽度偏差±0.3%，最大值±5mm。</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投标时</w:t>
            </w:r>
            <w:r>
              <w:rPr>
                <w:rFonts w:hint="eastAsia" w:ascii="宋体" w:hAnsi="宋体" w:eastAsia="宋体" w:cs="宋体"/>
                <w:color w:val="auto"/>
                <w:kern w:val="0"/>
                <w:sz w:val="21"/>
                <w:szCs w:val="21"/>
                <w:highlight w:val="none"/>
                <w:lang w:bidi="ar"/>
              </w:rPr>
              <w:t>提供满足或优于以上所有技术参数内容</w:t>
            </w:r>
            <w:r>
              <w:rPr>
                <w:rFonts w:hint="eastAsia" w:ascii="宋体" w:hAnsi="宋体" w:eastAsia="宋体" w:cs="宋体"/>
                <w:color w:val="auto"/>
                <w:kern w:val="0"/>
                <w:sz w:val="21"/>
                <w:szCs w:val="21"/>
                <w:highlight w:val="none"/>
                <w:lang w:eastAsia="zh-CN" w:bidi="ar"/>
              </w:rPr>
              <w:t>及</w:t>
            </w:r>
            <w:r>
              <w:rPr>
                <w:rFonts w:hint="eastAsia" w:ascii="宋体" w:hAnsi="宋体" w:eastAsia="宋体" w:cs="宋体"/>
                <w:color w:val="auto"/>
                <w:kern w:val="0"/>
                <w:sz w:val="21"/>
                <w:szCs w:val="21"/>
                <w:highlight w:val="none"/>
                <w:lang w:bidi="ar"/>
              </w:rPr>
              <w:t>对本项至少5年使用破损无条件</w:t>
            </w:r>
            <w:r>
              <w:rPr>
                <w:rStyle w:val="25"/>
                <w:rFonts w:hint="eastAsia" w:ascii="宋体" w:hAnsi="宋体" w:eastAsia="宋体" w:cs="宋体"/>
                <w:color w:val="auto"/>
                <w:sz w:val="21"/>
                <w:szCs w:val="21"/>
                <w:highlight w:val="none"/>
                <w:lang w:bidi="ar"/>
              </w:rPr>
              <w:t>‬</w:t>
            </w:r>
            <w:r>
              <w:rPr>
                <w:rStyle w:val="26"/>
                <w:rFonts w:hint="eastAsia" w:ascii="宋体" w:hAnsi="宋体" w:eastAsia="宋体" w:cs="宋体"/>
                <w:color w:val="auto"/>
                <w:sz w:val="21"/>
                <w:szCs w:val="21"/>
                <w:highlight w:val="none"/>
                <w:lang w:bidi="ar"/>
              </w:rPr>
              <w:t>更换的售后承诺书。</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2848EFE3">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3A9BBE9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26F03C2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14:paraId="51ECC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4" w:type="pct"/>
            <w:shd w:val="clear" w:color="auto" w:fill="auto"/>
            <w:noWrap/>
            <w:vAlign w:val="center"/>
          </w:tcPr>
          <w:p w14:paraId="7EBEF601">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381" w:type="pct"/>
            <w:shd w:val="clear" w:color="auto" w:fill="auto"/>
            <w:vAlign w:val="center"/>
          </w:tcPr>
          <w:p w14:paraId="05FCB77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边台19</w:t>
            </w:r>
          </w:p>
        </w:tc>
        <w:tc>
          <w:tcPr>
            <w:tcW w:w="783" w:type="pct"/>
            <w:shd w:val="clear" w:color="auto" w:fill="auto"/>
            <w:vAlign w:val="center"/>
          </w:tcPr>
          <w:p w14:paraId="6232BC0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71552" behindDoc="0" locked="0" layoutInCell="1" allowOverlap="1">
                  <wp:simplePos x="0" y="0"/>
                  <wp:positionH relativeFrom="column">
                    <wp:posOffset>0</wp:posOffset>
                  </wp:positionH>
                  <wp:positionV relativeFrom="paragraph">
                    <wp:posOffset>1565910</wp:posOffset>
                  </wp:positionV>
                  <wp:extent cx="821055" cy="810260"/>
                  <wp:effectExtent l="0" t="0" r="5715" b="3175"/>
                  <wp:wrapSquare wrapText="bothSides"/>
                  <wp:docPr id="22" name="图片 22"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6F42B1D2">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4800*750*850</w:t>
            </w:r>
            <w:r>
              <w:rPr>
                <w:rFonts w:hint="eastAsia" w:ascii="宋体" w:hAnsi="宋体" w:eastAsia="宋体" w:cs="宋体"/>
                <w:color w:val="auto"/>
                <w:kern w:val="0"/>
                <w:sz w:val="21"/>
                <w:szCs w:val="21"/>
                <w:highlight w:val="none"/>
                <w:lang w:val="en-US" w:eastAsia="zh-CN" w:bidi="ar"/>
              </w:rPr>
              <w:t>mm</w:t>
            </w:r>
          </w:p>
          <w:p w14:paraId="701AE038">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 w:val="21"/>
                <w:szCs w:val="21"/>
                <w:highlight w:val="none"/>
                <w:lang w:bidi="ar"/>
              </w:rPr>
              <w:t>性能需满足以下基本要求：</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★1、陶瓷台面截面耐污性能要求：参照 GB/T24820-2024检测标准试件正面和截面（测试对象为同一块样品）污染物接触时间不低于48h，污染物至少包含二氯甲烷99.8%、丙酮99.5%及碘伏（碘酒）等检测项目，检测结果为5级，表面无明显变化。台面截面表面区域为台面四周可见截面或杯槽开孔截面。</w:t>
            </w:r>
          </w:p>
          <w:p w14:paraId="5FF54862">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eastAsia="zh-CN" w:bidi="ar"/>
              </w:rPr>
              <w:t>★2、陶瓷台面表面质量性能要求：参照GB/T3810.2-2016检验依据（委托抽样检验），表面质量至少98%以上的陶瓷台面主要区域无明显缺陷，以上检测结果：符合。</w:t>
            </w:r>
          </w:p>
          <w:p w14:paraId="1358AF40">
            <w:pPr>
              <w:keepNext w:val="0"/>
              <w:keepLines w:val="0"/>
              <w:pageBreakBefore w:val="0"/>
              <w:widowControl/>
              <w:numPr>
                <w:ilvl w:val="-1"/>
                <w:numId w:val="0"/>
              </w:numPr>
              <w:kinsoku/>
              <w:wordWrap w:val="0"/>
              <w:overflowPunct/>
              <w:topLinePunct w:val="0"/>
              <w:autoSpaceDE/>
              <w:autoSpaceDN/>
              <w:bidi w:val="0"/>
              <w:adjustRightInd/>
              <w:spacing w:line="240" w:lineRule="auto"/>
              <w:jc w:val="left"/>
              <w:textAlignment w:val="auto"/>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 w:val="21"/>
                <w:szCs w:val="21"/>
                <w:highlight w:val="none"/>
                <w:lang w:eastAsia="zh-CN"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 w:val="21"/>
                <w:szCs w:val="21"/>
                <w:highlight w:val="none"/>
                <w:lang w:eastAsia="zh-CN" w:bidi="ar"/>
              </w:rPr>
              <w:t>m</w:t>
            </w:r>
            <w:r>
              <w:rPr>
                <w:rFonts w:hint="eastAsia" w:ascii="宋体" w:hAnsi="宋体" w:eastAsia="宋体" w:cs="宋体"/>
                <w:color w:val="auto"/>
                <w:kern w:val="0"/>
                <w:sz w:val="21"/>
                <w:szCs w:val="21"/>
                <w:highlight w:val="none"/>
                <w:vertAlign w:val="superscript"/>
                <w:lang w:eastAsia="zh-CN" w:bidi="ar"/>
              </w:rPr>
              <w:t>3</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★4、陶瓷台面尺寸允许偏差性能要求：参照GB/T3810.2-2016检验依据（委托抽样检验），检测长度、宽度的实际尺寸与工作尺寸的允许偏差，检测结果为：长度、宽度偏差±0.3%，最大值±5mm。</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投标时</w:t>
            </w:r>
            <w:r>
              <w:rPr>
                <w:rFonts w:hint="eastAsia" w:ascii="宋体" w:hAnsi="宋体" w:eastAsia="宋体" w:cs="宋体"/>
                <w:color w:val="auto"/>
                <w:kern w:val="0"/>
                <w:sz w:val="21"/>
                <w:szCs w:val="21"/>
                <w:highlight w:val="none"/>
                <w:lang w:bidi="ar"/>
              </w:rPr>
              <w:t>提供满足或优于以上所有技术参数内容</w:t>
            </w:r>
            <w:r>
              <w:rPr>
                <w:rFonts w:hint="eastAsia" w:ascii="宋体" w:hAnsi="宋体" w:eastAsia="宋体" w:cs="宋体"/>
                <w:color w:val="auto"/>
                <w:kern w:val="0"/>
                <w:sz w:val="21"/>
                <w:szCs w:val="21"/>
                <w:highlight w:val="none"/>
                <w:lang w:eastAsia="zh-CN" w:bidi="ar"/>
              </w:rPr>
              <w:t>及</w:t>
            </w:r>
            <w:r>
              <w:rPr>
                <w:rFonts w:hint="eastAsia" w:ascii="宋体" w:hAnsi="宋体" w:eastAsia="宋体" w:cs="宋体"/>
                <w:color w:val="auto"/>
                <w:kern w:val="0"/>
                <w:sz w:val="21"/>
                <w:szCs w:val="21"/>
                <w:highlight w:val="none"/>
                <w:lang w:bidi="ar"/>
              </w:rPr>
              <w:t>对本项至少5年使用破损无条件</w:t>
            </w:r>
            <w:r>
              <w:rPr>
                <w:rStyle w:val="25"/>
                <w:rFonts w:hint="eastAsia" w:ascii="宋体" w:hAnsi="宋体" w:eastAsia="宋体" w:cs="宋体"/>
                <w:color w:val="auto"/>
                <w:sz w:val="21"/>
                <w:szCs w:val="21"/>
                <w:highlight w:val="none"/>
                <w:lang w:bidi="ar"/>
              </w:rPr>
              <w:t>‬</w:t>
            </w:r>
            <w:r>
              <w:rPr>
                <w:rStyle w:val="26"/>
                <w:rFonts w:hint="eastAsia" w:ascii="宋体" w:hAnsi="宋体" w:eastAsia="宋体" w:cs="宋体"/>
                <w:color w:val="auto"/>
                <w:sz w:val="21"/>
                <w:szCs w:val="21"/>
                <w:highlight w:val="none"/>
                <w:lang w:bidi="ar"/>
              </w:rPr>
              <w:t>更换的售后承诺书。</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0762EDDC">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047D9C3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57E0CD2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11</w:t>
            </w:r>
          </w:p>
        </w:tc>
      </w:tr>
      <w:tr w14:paraId="7717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4" w:type="pct"/>
            <w:shd w:val="clear" w:color="auto" w:fill="auto"/>
            <w:noWrap/>
            <w:vAlign w:val="center"/>
          </w:tcPr>
          <w:p w14:paraId="4E95F6E8">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13</w:t>
            </w:r>
          </w:p>
        </w:tc>
        <w:tc>
          <w:tcPr>
            <w:tcW w:w="381" w:type="pct"/>
            <w:shd w:val="clear" w:color="auto" w:fill="auto"/>
            <w:vAlign w:val="center"/>
          </w:tcPr>
          <w:p w14:paraId="4F8DF35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边台2</w:t>
            </w:r>
          </w:p>
        </w:tc>
        <w:tc>
          <w:tcPr>
            <w:tcW w:w="783" w:type="pct"/>
            <w:shd w:val="clear" w:color="auto" w:fill="auto"/>
            <w:vAlign w:val="center"/>
          </w:tcPr>
          <w:p w14:paraId="5AC161B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72576" behindDoc="0" locked="0" layoutInCell="1" allowOverlap="1">
                  <wp:simplePos x="0" y="0"/>
                  <wp:positionH relativeFrom="column">
                    <wp:posOffset>0</wp:posOffset>
                  </wp:positionH>
                  <wp:positionV relativeFrom="paragraph">
                    <wp:posOffset>651510</wp:posOffset>
                  </wp:positionV>
                  <wp:extent cx="821055" cy="810260"/>
                  <wp:effectExtent l="0" t="0" r="5715" b="3175"/>
                  <wp:wrapSquare wrapText="bothSides"/>
                  <wp:docPr id="23" name="图片 23"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40D10CC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5300*750*850</w:t>
            </w:r>
            <w:r>
              <w:rPr>
                <w:rFonts w:hint="eastAsia" w:ascii="宋体" w:hAnsi="宋体" w:eastAsia="宋体" w:cs="宋体"/>
                <w:color w:val="auto"/>
                <w:kern w:val="0"/>
                <w:sz w:val="21"/>
                <w:szCs w:val="21"/>
                <w:highlight w:val="none"/>
                <w:lang w:val="en-US" w:eastAsia="zh-CN" w:bidi="ar"/>
              </w:rPr>
              <w:t>mm</w:t>
            </w:r>
          </w:p>
          <w:p w14:paraId="14FF19DB">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72464F80">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2E82427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0C98E801">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2B6E27AF">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27D0807D">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6B3CC08B">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32700DC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027EEF1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r>
      <w:tr w14:paraId="5780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6" w:hRule="atLeast"/>
        </w:trPr>
        <w:tc>
          <w:tcPr>
            <w:tcW w:w="384" w:type="pct"/>
            <w:shd w:val="clear" w:color="auto" w:fill="auto"/>
            <w:noWrap/>
            <w:vAlign w:val="center"/>
          </w:tcPr>
          <w:p w14:paraId="031E2531">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381" w:type="pct"/>
            <w:shd w:val="clear" w:color="auto" w:fill="auto"/>
            <w:vAlign w:val="center"/>
          </w:tcPr>
          <w:p w14:paraId="7BC598D4">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边台20</w:t>
            </w:r>
          </w:p>
        </w:tc>
        <w:tc>
          <w:tcPr>
            <w:tcW w:w="783" w:type="pct"/>
            <w:shd w:val="clear" w:color="auto" w:fill="auto"/>
            <w:vAlign w:val="center"/>
          </w:tcPr>
          <w:p w14:paraId="33651B5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73600" behindDoc="0" locked="0" layoutInCell="1" allowOverlap="1">
                  <wp:simplePos x="0" y="0"/>
                  <wp:positionH relativeFrom="column">
                    <wp:posOffset>-9525</wp:posOffset>
                  </wp:positionH>
                  <wp:positionV relativeFrom="paragraph">
                    <wp:posOffset>3623310</wp:posOffset>
                  </wp:positionV>
                  <wp:extent cx="821055" cy="810260"/>
                  <wp:effectExtent l="0" t="0" r="5715" b="3175"/>
                  <wp:wrapSquare wrapText="bothSides"/>
                  <wp:docPr id="24" name="图片 24"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6631141B">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2075*750*850</w:t>
            </w:r>
            <w:r>
              <w:rPr>
                <w:rFonts w:hint="eastAsia" w:ascii="宋体" w:hAnsi="宋体" w:eastAsia="宋体" w:cs="宋体"/>
                <w:color w:val="auto"/>
                <w:kern w:val="0"/>
                <w:sz w:val="21"/>
                <w:szCs w:val="21"/>
                <w:highlight w:val="none"/>
                <w:lang w:val="en-US" w:eastAsia="zh-CN" w:bidi="ar"/>
              </w:rPr>
              <w:t>mm</w:t>
            </w:r>
          </w:p>
          <w:p w14:paraId="6CADEEC3">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43D31E2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0AA82FE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1FCF4548">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0281BCBA">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738C2EF0">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19D7B3B1">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342FDFA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1240B18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4A448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3" w:hRule="atLeast"/>
        </w:trPr>
        <w:tc>
          <w:tcPr>
            <w:tcW w:w="384" w:type="pct"/>
            <w:shd w:val="clear" w:color="auto" w:fill="auto"/>
            <w:noWrap/>
            <w:vAlign w:val="center"/>
          </w:tcPr>
          <w:p w14:paraId="2B30030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381" w:type="pct"/>
            <w:shd w:val="clear" w:color="auto" w:fill="auto"/>
            <w:vAlign w:val="center"/>
          </w:tcPr>
          <w:p w14:paraId="6A30444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边台21</w:t>
            </w:r>
          </w:p>
        </w:tc>
        <w:tc>
          <w:tcPr>
            <w:tcW w:w="783" w:type="pct"/>
            <w:shd w:val="clear" w:color="auto" w:fill="auto"/>
            <w:vAlign w:val="center"/>
          </w:tcPr>
          <w:p w14:paraId="79ADD1B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74624" behindDoc="0" locked="0" layoutInCell="1" allowOverlap="1">
                  <wp:simplePos x="0" y="0"/>
                  <wp:positionH relativeFrom="column">
                    <wp:posOffset>104775</wp:posOffset>
                  </wp:positionH>
                  <wp:positionV relativeFrom="paragraph">
                    <wp:posOffset>2270760</wp:posOffset>
                  </wp:positionV>
                  <wp:extent cx="821055" cy="810260"/>
                  <wp:effectExtent l="0" t="0" r="5715" b="3175"/>
                  <wp:wrapSquare wrapText="bothSides"/>
                  <wp:docPr id="25" name="图片 25"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115373C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1854*750*850</w:t>
            </w:r>
            <w:r>
              <w:rPr>
                <w:rFonts w:hint="eastAsia" w:ascii="宋体" w:hAnsi="宋体" w:eastAsia="宋体" w:cs="宋体"/>
                <w:color w:val="auto"/>
                <w:kern w:val="0"/>
                <w:sz w:val="21"/>
                <w:szCs w:val="21"/>
                <w:highlight w:val="none"/>
                <w:lang w:val="en-US" w:eastAsia="zh-CN" w:bidi="ar"/>
              </w:rPr>
              <w:t>mm</w:t>
            </w:r>
          </w:p>
          <w:p w14:paraId="3B982F96">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098976F1">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7EF902FA">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0BFE713E">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w:t>
            </w:r>
          </w:p>
          <w:p w14:paraId="6EB75A6A">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2A7DD7A4">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674540A0">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080375A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4030074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4600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4" w:hRule="atLeast"/>
        </w:trPr>
        <w:tc>
          <w:tcPr>
            <w:tcW w:w="384" w:type="pct"/>
            <w:shd w:val="clear" w:color="auto" w:fill="auto"/>
            <w:noWrap/>
            <w:vAlign w:val="center"/>
          </w:tcPr>
          <w:p w14:paraId="156738B5">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381" w:type="pct"/>
            <w:shd w:val="clear" w:color="auto" w:fill="auto"/>
            <w:vAlign w:val="center"/>
          </w:tcPr>
          <w:p w14:paraId="07C4ED9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边台22</w:t>
            </w:r>
          </w:p>
        </w:tc>
        <w:tc>
          <w:tcPr>
            <w:tcW w:w="783" w:type="pct"/>
            <w:shd w:val="clear" w:color="auto" w:fill="auto"/>
            <w:vAlign w:val="center"/>
          </w:tcPr>
          <w:p w14:paraId="1602487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75648" behindDoc="0" locked="0" layoutInCell="1" allowOverlap="1">
                  <wp:simplePos x="0" y="0"/>
                  <wp:positionH relativeFrom="column">
                    <wp:posOffset>66675</wp:posOffset>
                  </wp:positionH>
                  <wp:positionV relativeFrom="paragraph">
                    <wp:posOffset>3880485</wp:posOffset>
                  </wp:positionV>
                  <wp:extent cx="821055" cy="810260"/>
                  <wp:effectExtent l="0" t="0" r="5715" b="3175"/>
                  <wp:wrapSquare wrapText="bothSides"/>
                  <wp:docPr id="26" name="图片 26"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001F635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3050*750*850</w:t>
            </w:r>
            <w:r>
              <w:rPr>
                <w:rFonts w:hint="eastAsia" w:ascii="宋体" w:hAnsi="宋体" w:eastAsia="宋体" w:cs="宋体"/>
                <w:color w:val="auto"/>
                <w:kern w:val="0"/>
                <w:sz w:val="21"/>
                <w:szCs w:val="21"/>
                <w:highlight w:val="none"/>
                <w:lang w:val="en-US" w:eastAsia="zh-CN" w:bidi="ar"/>
              </w:rPr>
              <w:t>mm</w:t>
            </w:r>
          </w:p>
          <w:p w14:paraId="32C69DD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44A2FEB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5CEB349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7052FD0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2AFD50B2">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32ACDDFE">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09D95F81">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1F27640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5D698FE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0CC7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7" w:hRule="atLeast"/>
        </w:trPr>
        <w:tc>
          <w:tcPr>
            <w:tcW w:w="384" w:type="pct"/>
            <w:shd w:val="clear" w:color="auto" w:fill="auto"/>
            <w:noWrap/>
            <w:vAlign w:val="center"/>
          </w:tcPr>
          <w:p w14:paraId="39FF5543">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17</w:t>
            </w:r>
          </w:p>
        </w:tc>
        <w:tc>
          <w:tcPr>
            <w:tcW w:w="381" w:type="pct"/>
            <w:shd w:val="clear" w:color="auto" w:fill="auto"/>
            <w:vAlign w:val="center"/>
          </w:tcPr>
          <w:p w14:paraId="4CAD8EB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边台23</w:t>
            </w:r>
          </w:p>
        </w:tc>
        <w:tc>
          <w:tcPr>
            <w:tcW w:w="783" w:type="pct"/>
            <w:shd w:val="clear" w:color="auto" w:fill="auto"/>
            <w:vAlign w:val="center"/>
          </w:tcPr>
          <w:p w14:paraId="4D68801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76672" behindDoc="0" locked="0" layoutInCell="1" allowOverlap="1">
                  <wp:simplePos x="0" y="0"/>
                  <wp:positionH relativeFrom="column">
                    <wp:posOffset>-28575</wp:posOffset>
                  </wp:positionH>
                  <wp:positionV relativeFrom="paragraph">
                    <wp:posOffset>2442210</wp:posOffset>
                  </wp:positionV>
                  <wp:extent cx="821055" cy="810260"/>
                  <wp:effectExtent l="0" t="0" r="5715" b="3175"/>
                  <wp:wrapSquare wrapText="bothSides"/>
                  <wp:docPr id="27" name="图片 27"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16242FED">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800*750*850</w:t>
            </w:r>
            <w:r>
              <w:rPr>
                <w:rFonts w:hint="eastAsia" w:ascii="宋体" w:hAnsi="宋体" w:eastAsia="宋体" w:cs="宋体"/>
                <w:color w:val="auto"/>
                <w:kern w:val="0"/>
                <w:sz w:val="21"/>
                <w:szCs w:val="21"/>
                <w:highlight w:val="none"/>
                <w:lang w:val="en-US" w:eastAsia="zh-CN" w:bidi="ar"/>
              </w:rPr>
              <w:t>mm</w:t>
            </w:r>
          </w:p>
          <w:p w14:paraId="11639C6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7C8E327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7A3352F8">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1ADF3E3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7E1E60E9">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299E6D9B">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49CCAFBF">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782B90D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6BB7312D">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r>
      <w:tr w14:paraId="5D0D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4" w:hRule="atLeast"/>
        </w:trPr>
        <w:tc>
          <w:tcPr>
            <w:tcW w:w="384" w:type="pct"/>
            <w:shd w:val="clear" w:color="auto" w:fill="auto"/>
            <w:noWrap/>
            <w:vAlign w:val="center"/>
          </w:tcPr>
          <w:p w14:paraId="5645C3EF">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381" w:type="pct"/>
            <w:shd w:val="clear" w:color="auto" w:fill="auto"/>
            <w:vAlign w:val="center"/>
          </w:tcPr>
          <w:p w14:paraId="7CD70A6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边台24</w:t>
            </w:r>
          </w:p>
        </w:tc>
        <w:tc>
          <w:tcPr>
            <w:tcW w:w="783" w:type="pct"/>
            <w:shd w:val="clear" w:color="auto" w:fill="auto"/>
            <w:vAlign w:val="center"/>
          </w:tcPr>
          <w:p w14:paraId="5EA1414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77696" behindDoc="0" locked="0" layoutInCell="1" allowOverlap="1">
                  <wp:simplePos x="0" y="0"/>
                  <wp:positionH relativeFrom="column">
                    <wp:posOffset>0</wp:posOffset>
                  </wp:positionH>
                  <wp:positionV relativeFrom="paragraph">
                    <wp:posOffset>3899535</wp:posOffset>
                  </wp:positionV>
                  <wp:extent cx="821055" cy="810260"/>
                  <wp:effectExtent l="0" t="0" r="5715" b="3175"/>
                  <wp:wrapSquare wrapText="bothSides"/>
                  <wp:docPr id="28" name="图片 28"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46EA5679">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2700*750*850</w:t>
            </w:r>
            <w:r>
              <w:rPr>
                <w:rFonts w:hint="eastAsia" w:ascii="宋体" w:hAnsi="宋体" w:eastAsia="宋体" w:cs="宋体"/>
                <w:color w:val="auto"/>
                <w:kern w:val="0"/>
                <w:sz w:val="21"/>
                <w:szCs w:val="21"/>
                <w:highlight w:val="none"/>
                <w:lang w:val="en-US" w:eastAsia="zh-CN" w:bidi="ar"/>
              </w:rPr>
              <w:t>mm</w:t>
            </w:r>
          </w:p>
          <w:p w14:paraId="25331C0B">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2E1C00B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2D10DFDA">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1D5F5E3B">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6E34F8C9">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24C799E3">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48656D67">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5E81558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43006A0D">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6E330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3" w:hRule="atLeast"/>
        </w:trPr>
        <w:tc>
          <w:tcPr>
            <w:tcW w:w="384" w:type="pct"/>
            <w:shd w:val="clear" w:color="auto" w:fill="auto"/>
            <w:noWrap/>
            <w:vAlign w:val="center"/>
          </w:tcPr>
          <w:p w14:paraId="0700033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19</w:t>
            </w:r>
          </w:p>
        </w:tc>
        <w:tc>
          <w:tcPr>
            <w:tcW w:w="381" w:type="pct"/>
            <w:shd w:val="clear" w:color="auto" w:fill="auto"/>
            <w:vAlign w:val="center"/>
          </w:tcPr>
          <w:p w14:paraId="3087AB9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边台25</w:t>
            </w:r>
          </w:p>
        </w:tc>
        <w:tc>
          <w:tcPr>
            <w:tcW w:w="783" w:type="pct"/>
            <w:shd w:val="clear" w:color="auto" w:fill="auto"/>
            <w:vAlign w:val="center"/>
          </w:tcPr>
          <w:p w14:paraId="5063D1C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78720" behindDoc="0" locked="0" layoutInCell="1" allowOverlap="1">
                  <wp:simplePos x="0" y="0"/>
                  <wp:positionH relativeFrom="column">
                    <wp:posOffset>19050</wp:posOffset>
                  </wp:positionH>
                  <wp:positionV relativeFrom="paragraph">
                    <wp:posOffset>4032885</wp:posOffset>
                  </wp:positionV>
                  <wp:extent cx="821055" cy="810260"/>
                  <wp:effectExtent l="0" t="0" r="5715" b="3175"/>
                  <wp:wrapSquare wrapText="bothSides"/>
                  <wp:docPr id="29" name="图片 29"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75805C1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6300*750*850</w:t>
            </w:r>
            <w:r>
              <w:rPr>
                <w:rFonts w:hint="eastAsia" w:ascii="宋体" w:hAnsi="宋体" w:eastAsia="宋体" w:cs="宋体"/>
                <w:color w:val="auto"/>
                <w:kern w:val="0"/>
                <w:sz w:val="21"/>
                <w:szCs w:val="21"/>
                <w:highlight w:val="none"/>
                <w:lang w:val="en-US" w:eastAsia="zh-CN" w:bidi="ar"/>
              </w:rPr>
              <w:t>mm</w:t>
            </w:r>
          </w:p>
          <w:p w14:paraId="4CE8077F">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08AD69A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01CB951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16DA1A23">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w:t>
            </w:r>
          </w:p>
          <w:p w14:paraId="151226B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56E4150B">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484C7373">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709BAF1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5AEC6FB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0952B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6" w:hRule="atLeast"/>
        </w:trPr>
        <w:tc>
          <w:tcPr>
            <w:tcW w:w="384" w:type="pct"/>
            <w:shd w:val="clear" w:color="auto" w:fill="auto"/>
            <w:noWrap/>
            <w:vAlign w:val="center"/>
          </w:tcPr>
          <w:p w14:paraId="6367959C">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381" w:type="pct"/>
            <w:shd w:val="clear" w:color="auto" w:fill="auto"/>
            <w:vAlign w:val="center"/>
          </w:tcPr>
          <w:p w14:paraId="5646B4D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边台26</w:t>
            </w:r>
          </w:p>
        </w:tc>
        <w:tc>
          <w:tcPr>
            <w:tcW w:w="783" w:type="pct"/>
            <w:shd w:val="clear" w:color="auto" w:fill="auto"/>
            <w:vAlign w:val="center"/>
          </w:tcPr>
          <w:p w14:paraId="62BD850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79744" behindDoc="0" locked="0" layoutInCell="1" allowOverlap="1">
                  <wp:simplePos x="0" y="0"/>
                  <wp:positionH relativeFrom="column">
                    <wp:posOffset>171450</wp:posOffset>
                  </wp:positionH>
                  <wp:positionV relativeFrom="paragraph">
                    <wp:posOffset>2480310</wp:posOffset>
                  </wp:positionV>
                  <wp:extent cx="821055" cy="810260"/>
                  <wp:effectExtent l="0" t="0" r="5715" b="3175"/>
                  <wp:wrapSquare wrapText="bothSides"/>
                  <wp:docPr id="30" name="图片 30"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6E765AAA">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2450*750*850</w:t>
            </w:r>
            <w:r>
              <w:rPr>
                <w:rFonts w:hint="eastAsia" w:ascii="宋体" w:hAnsi="宋体" w:eastAsia="宋体" w:cs="宋体"/>
                <w:color w:val="auto"/>
                <w:kern w:val="0"/>
                <w:sz w:val="21"/>
                <w:szCs w:val="21"/>
                <w:highlight w:val="none"/>
                <w:lang w:val="en-US" w:eastAsia="zh-CN" w:bidi="ar"/>
              </w:rPr>
              <w:t>mm</w:t>
            </w:r>
          </w:p>
          <w:p w14:paraId="0FF8A42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4BC127B8">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64830C39">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7F35E3E3">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78AB511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36904C55">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7ED03ED1">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77A791D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6E5366CD">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1A3E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1" w:hRule="atLeast"/>
        </w:trPr>
        <w:tc>
          <w:tcPr>
            <w:tcW w:w="384" w:type="pct"/>
            <w:shd w:val="clear" w:color="auto" w:fill="auto"/>
            <w:noWrap/>
            <w:vAlign w:val="center"/>
          </w:tcPr>
          <w:p w14:paraId="5502D585">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21</w:t>
            </w:r>
          </w:p>
        </w:tc>
        <w:tc>
          <w:tcPr>
            <w:tcW w:w="381" w:type="pct"/>
            <w:shd w:val="clear" w:color="auto" w:fill="auto"/>
            <w:vAlign w:val="center"/>
          </w:tcPr>
          <w:p w14:paraId="763BC57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边台27</w:t>
            </w:r>
          </w:p>
        </w:tc>
        <w:tc>
          <w:tcPr>
            <w:tcW w:w="783" w:type="pct"/>
            <w:shd w:val="clear" w:color="auto" w:fill="auto"/>
            <w:vAlign w:val="center"/>
          </w:tcPr>
          <w:p w14:paraId="7580D75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80768" behindDoc="0" locked="0" layoutInCell="1" allowOverlap="1">
                  <wp:simplePos x="0" y="0"/>
                  <wp:positionH relativeFrom="column">
                    <wp:posOffset>19050</wp:posOffset>
                  </wp:positionH>
                  <wp:positionV relativeFrom="paragraph">
                    <wp:posOffset>1213485</wp:posOffset>
                  </wp:positionV>
                  <wp:extent cx="821055" cy="810260"/>
                  <wp:effectExtent l="0" t="0" r="5715" b="3175"/>
                  <wp:wrapSquare wrapText="bothSides"/>
                  <wp:docPr id="31" name="图片 31"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4833766E">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1960*750*850</w:t>
            </w:r>
            <w:r>
              <w:rPr>
                <w:rFonts w:hint="eastAsia" w:ascii="宋体" w:hAnsi="宋体" w:eastAsia="宋体" w:cs="宋体"/>
                <w:color w:val="auto"/>
                <w:kern w:val="0"/>
                <w:sz w:val="21"/>
                <w:szCs w:val="21"/>
                <w:highlight w:val="none"/>
                <w:lang w:val="en-US" w:eastAsia="zh-CN" w:bidi="ar"/>
              </w:rPr>
              <w:t>mm</w:t>
            </w:r>
          </w:p>
          <w:p w14:paraId="6F1990F6">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43F17A10">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0EF7DFFF">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563E1D9D">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1126F27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0EE70FB5">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40B47D9F">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30C95A5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782E5DE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0079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6" w:hRule="atLeast"/>
        </w:trPr>
        <w:tc>
          <w:tcPr>
            <w:tcW w:w="384" w:type="pct"/>
            <w:shd w:val="clear" w:color="auto" w:fill="auto"/>
            <w:noWrap/>
            <w:vAlign w:val="center"/>
          </w:tcPr>
          <w:p w14:paraId="29AF79B4">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22</w:t>
            </w:r>
          </w:p>
        </w:tc>
        <w:tc>
          <w:tcPr>
            <w:tcW w:w="381" w:type="pct"/>
            <w:shd w:val="clear" w:color="auto" w:fill="auto"/>
            <w:vAlign w:val="center"/>
          </w:tcPr>
          <w:p w14:paraId="26929CA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边台28</w:t>
            </w:r>
          </w:p>
        </w:tc>
        <w:tc>
          <w:tcPr>
            <w:tcW w:w="783" w:type="pct"/>
            <w:shd w:val="clear" w:color="auto" w:fill="auto"/>
            <w:vAlign w:val="center"/>
          </w:tcPr>
          <w:p w14:paraId="2860956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81792" behindDoc="0" locked="0" layoutInCell="1" allowOverlap="1">
                  <wp:simplePos x="0" y="0"/>
                  <wp:positionH relativeFrom="column">
                    <wp:posOffset>0</wp:posOffset>
                  </wp:positionH>
                  <wp:positionV relativeFrom="paragraph">
                    <wp:posOffset>3975735</wp:posOffset>
                  </wp:positionV>
                  <wp:extent cx="821055" cy="810260"/>
                  <wp:effectExtent l="0" t="0" r="5715" b="3175"/>
                  <wp:wrapSquare wrapText="bothSides"/>
                  <wp:docPr id="32" name="图片 32"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4E6B8DAA">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2100*750*850</w:t>
            </w:r>
            <w:r>
              <w:rPr>
                <w:rFonts w:hint="eastAsia" w:ascii="宋体" w:hAnsi="宋体" w:eastAsia="宋体" w:cs="宋体"/>
                <w:color w:val="auto"/>
                <w:kern w:val="0"/>
                <w:sz w:val="21"/>
                <w:szCs w:val="21"/>
                <w:highlight w:val="none"/>
                <w:lang w:val="en-US" w:eastAsia="zh-CN" w:bidi="ar"/>
              </w:rPr>
              <w:t>mm</w:t>
            </w:r>
          </w:p>
          <w:p w14:paraId="7E5580B8">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777B1F9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50C0C9B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5E6B395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633FCFB8">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5E2B4471">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1997A823">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2BC666E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6D3974F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14:paraId="5A754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2" w:hRule="atLeast"/>
        </w:trPr>
        <w:tc>
          <w:tcPr>
            <w:tcW w:w="384" w:type="pct"/>
            <w:shd w:val="clear" w:color="auto" w:fill="auto"/>
            <w:noWrap/>
            <w:vAlign w:val="center"/>
          </w:tcPr>
          <w:p w14:paraId="4999371D">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23</w:t>
            </w:r>
          </w:p>
        </w:tc>
        <w:tc>
          <w:tcPr>
            <w:tcW w:w="381" w:type="pct"/>
            <w:shd w:val="clear" w:color="auto" w:fill="auto"/>
            <w:vAlign w:val="center"/>
          </w:tcPr>
          <w:p w14:paraId="0A0E571D">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边台29</w:t>
            </w:r>
          </w:p>
        </w:tc>
        <w:tc>
          <w:tcPr>
            <w:tcW w:w="783" w:type="pct"/>
            <w:shd w:val="clear" w:color="auto" w:fill="auto"/>
            <w:vAlign w:val="center"/>
          </w:tcPr>
          <w:p w14:paraId="0BF7DB9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82816" behindDoc="0" locked="0" layoutInCell="1" allowOverlap="1">
                  <wp:simplePos x="0" y="0"/>
                  <wp:positionH relativeFrom="column">
                    <wp:posOffset>0</wp:posOffset>
                  </wp:positionH>
                  <wp:positionV relativeFrom="paragraph">
                    <wp:posOffset>2604135</wp:posOffset>
                  </wp:positionV>
                  <wp:extent cx="821055" cy="810260"/>
                  <wp:effectExtent l="0" t="0" r="5715" b="3175"/>
                  <wp:wrapSquare wrapText="bothSides"/>
                  <wp:docPr id="33" name="图片 33"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68DDCC80">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3100*750*850</w:t>
            </w:r>
            <w:r>
              <w:rPr>
                <w:rFonts w:hint="eastAsia" w:ascii="宋体" w:hAnsi="宋体" w:eastAsia="宋体" w:cs="宋体"/>
                <w:color w:val="auto"/>
                <w:kern w:val="0"/>
                <w:sz w:val="21"/>
                <w:szCs w:val="21"/>
                <w:highlight w:val="none"/>
                <w:lang w:val="en-US" w:eastAsia="zh-CN" w:bidi="ar"/>
              </w:rPr>
              <w:t>mm</w:t>
            </w:r>
          </w:p>
          <w:p w14:paraId="665E556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1D3F8ADD">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6837E8A1">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1FF0F35A">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w:t>
            </w:r>
          </w:p>
          <w:p w14:paraId="1FD4B2D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78961256">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10ED33D3">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4ABD91C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1354470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792B9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5" w:hRule="atLeast"/>
        </w:trPr>
        <w:tc>
          <w:tcPr>
            <w:tcW w:w="384" w:type="pct"/>
            <w:shd w:val="clear" w:color="auto" w:fill="auto"/>
            <w:noWrap/>
            <w:vAlign w:val="center"/>
          </w:tcPr>
          <w:p w14:paraId="6B69CD6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24</w:t>
            </w:r>
          </w:p>
        </w:tc>
        <w:tc>
          <w:tcPr>
            <w:tcW w:w="381" w:type="pct"/>
            <w:shd w:val="clear" w:color="auto" w:fill="auto"/>
            <w:vAlign w:val="center"/>
          </w:tcPr>
          <w:p w14:paraId="5D0D9F2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边台3</w:t>
            </w:r>
          </w:p>
        </w:tc>
        <w:tc>
          <w:tcPr>
            <w:tcW w:w="783" w:type="pct"/>
            <w:shd w:val="clear" w:color="auto" w:fill="auto"/>
            <w:vAlign w:val="center"/>
          </w:tcPr>
          <w:p w14:paraId="19783C3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83840" behindDoc="0" locked="0" layoutInCell="1" allowOverlap="1">
                  <wp:simplePos x="0" y="0"/>
                  <wp:positionH relativeFrom="column">
                    <wp:posOffset>-28575</wp:posOffset>
                  </wp:positionH>
                  <wp:positionV relativeFrom="paragraph">
                    <wp:posOffset>1356360</wp:posOffset>
                  </wp:positionV>
                  <wp:extent cx="821055" cy="810260"/>
                  <wp:effectExtent l="0" t="0" r="5715" b="3175"/>
                  <wp:wrapSquare wrapText="bothSides"/>
                  <wp:docPr id="34" name="图片 34"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59334613">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3800*750*850</w:t>
            </w:r>
            <w:r>
              <w:rPr>
                <w:rFonts w:hint="eastAsia" w:ascii="宋体" w:hAnsi="宋体" w:eastAsia="宋体" w:cs="宋体"/>
                <w:color w:val="auto"/>
                <w:kern w:val="0"/>
                <w:sz w:val="21"/>
                <w:szCs w:val="21"/>
                <w:highlight w:val="none"/>
                <w:lang w:val="en-US" w:eastAsia="zh-CN" w:bidi="ar"/>
              </w:rPr>
              <w:t>mm</w:t>
            </w:r>
          </w:p>
          <w:p w14:paraId="3D9BE410">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24CD54A0">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0D4C2FC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6C264C7D">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w:t>
            </w:r>
          </w:p>
          <w:p w14:paraId="5826FCE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21858F86">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22BC15D9">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06B50ED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31D7D3B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029E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8" w:hRule="atLeast"/>
        </w:trPr>
        <w:tc>
          <w:tcPr>
            <w:tcW w:w="384" w:type="pct"/>
            <w:shd w:val="clear" w:color="auto" w:fill="auto"/>
            <w:noWrap/>
            <w:vAlign w:val="center"/>
          </w:tcPr>
          <w:p w14:paraId="15BED6D3">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25</w:t>
            </w:r>
          </w:p>
        </w:tc>
        <w:tc>
          <w:tcPr>
            <w:tcW w:w="381" w:type="pct"/>
            <w:shd w:val="clear" w:color="auto" w:fill="auto"/>
            <w:vAlign w:val="center"/>
          </w:tcPr>
          <w:p w14:paraId="57CC858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边台30</w:t>
            </w:r>
          </w:p>
        </w:tc>
        <w:tc>
          <w:tcPr>
            <w:tcW w:w="783" w:type="pct"/>
            <w:shd w:val="clear" w:color="auto" w:fill="auto"/>
            <w:vAlign w:val="center"/>
          </w:tcPr>
          <w:p w14:paraId="72AE5C3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84864" behindDoc="0" locked="0" layoutInCell="1" allowOverlap="1">
                  <wp:simplePos x="0" y="0"/>
                  <wp:positionH relativeFrom="column">
                    <wp:posOffset>-9525</wp:posOffset>
                  </wp:positionH>
                  <wp:positionV relativeFrom="paragraph">
                    <wp:posOffset>3890010</wp:posOffset>
                  </wp:positionV>
                  <wp:extent cx="821055" cy="810260"/>
                  <wp:effectExtent l="0" t="0" r="5715" b="3175"/>
                  <wp:wrapSquare wrapText="bothSides"/>
                  <wp:docPr id="35" name="图片 35"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06C109F9">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1550*750*850</w:t>
            </w:r>
            <w:r>
              <w:rPr>
                <w:rFonts w:hint="eastAsia" w:ascii="宋体" w:hAnsi="宋体" w:eastAsia="宋体" w:cs="宋体"/>
                <w:color w:val="auto"/>
                <w:kern w:val="0"/>
                <w:sz w:val="21"/>
                <w:szCs w:val="21"/>
                <w:highlight w:val="none"/>
                <w:lang w:val="en-US" w:eastAsia="zh-CN" w:bidi="ar"/>
              </w:rPr>
              <w:t>mm</w:t>
            </w:r>
          </w:p>
          <w:p w14:paraId="5240112E">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17F29E9A">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001FFADD">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41999CE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w:t>
            </w:r>
          </w:p>
          <w:p w14:paraId="54C8522D">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5EA08AC6">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w:t>
            </w:r>
            <w:r>
              <w:rPr>
                <w:rStyle w:val="26"/>
                <w:rFonts w:hint="eastAsia" w:ascii="宋体" w:hAnsi="宋体" w:eastAsia="宋体" w:cs="宋体"/>
                <w:color w:val="auto"/>
                <w:sz w:val="21"/>
                <w:szCs w:val="21"/>
                <w:highlight w:val="none"/>
                <w:lang w:val="en-US" w:eastAsia="zh-CN" w:bidi="ar"/>
              </w:rPr>
              <w:t xml:space="preserve"> </w:t>
            </w:r>
            <w:r>
              <w:rPr>
                <w:rStyle w:val="26"/>
                <w:rFonts w:hint="eastAsia" w:ascii="宋体" w:hAnsi="宋体" w:eastAsia="宋体" w:cs="宋体"/>
                <w:color w:val="auto"/>
                <w:sz w:val="21"/>
                <w:szCs w:val="21"/>
                <w:highlight w:val="none"/>
                <w:lang w:bidi="ar"/>
              </w:rPr>
              <w:t>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04617531">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098D2F4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0484B92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5B8CE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1" w:hRule="atLeast"/>
        </w:trPr>
        <w:tc>
          <w:tcPr>
            <w:tcW w:w="384" w:type="pct"/>
            <w:shd w:val="clear" w:color="auto" w:fill="auto"/>
            <w:noWrap/>
            <w:vAlign w:val="center"/>
          </w:tcPr>
          <w:p w14:paraId="09FA9658">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26</w:t>
            </w:r>
          </w:p>
        </w:tc>
        <w:tc>
          <w:tcPr>
            <w:tcW w:w="381" w:type="pct"/>
            <w:shd w:val="clear" w:color="auto" w:fill="auto"/>
            <w:vAlign w:val="center"/>
          </w:tcPr>
          <w:p w14:paraId="7AB2A26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边台31</w:t>
            </w:r>
          </w:p>
        </w:tc>
        <w:tc>
          <w:tcPr>
            <w:tcW w:w="783" w:type="pct"/>
            <w:shd w:val="clear" w:color="auto" w:fill="auto"/>
            <w:vAlign w:val="center"/>
          </w:tcPr>
          <w:p w14:paraId="7EC4AD2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85888" behindDoc="0" locked="0" layoutInCell="1" allowOverlap="1">
                  <wp:simplePos x="0" y="0"/>
                  <wp:positionH relativeFrom="column">
                    <wp:posOffset>57150</wp:posOffset>
                  </wp:positionH>
                  <wp:positionV relativeFrom="paragraph">
                    <wp:posOffset>2642235</wp:posOffset>
                  </wp:positionV>
                  <wp:extent cx="821055" cy="810260"/>
                  <wp:effectExtent l="0" t="0" r="5715" b="3175"/>
                  <wp:wrapSquare wrapText="bothSides"/>
                  <wp:docPr id="36" name="图片 36"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7BBB984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2200*750*850</w:t>
            </w:r>
            <w:r>
              <w:rPr>
                <w:rFonts w:hint="eastAsia" w:ascii="宋体" w:hAnsi="宋体" w:eastAsia="宋体" w:cs="宋体"/>
                <w:color w:val="auto"/>
                <w:kern w:val="0"/>
                <w:sz w:val="21"/>
                <w:szCs w:val="21"/>
                <w:highlight w:val="none"/>
                <w:lang w:val="en-US" w:eastAsia="zh-CN" w:bidi="ar"/>
              </w:rPr>
              <w:t>mm</w:t>
            </w:r>
          </w:p>
          <w:p w14:paraId="51C1CE20">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007A72F2">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6B912C4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57857B71">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721D4820">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60921349">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6ABB0C59">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10640E94">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16ACB94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659D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9" w:hRule="atLeast"/>
        </w:trPr>
        <w:tc>
          <w:tcPr>
            <w:tcW w:w="384" w:type="pct"/>
            <w:shd w:val="clear" w:color="auto" w:fill="auto"/>
            <w:noWrap/>
            <w:vAlign w:val="center"/>
          </w:tcPr>
          <w:p w14:paraId="03197C86">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27</w:t>
            </w:r>
          </w:p>
        </w:tc>
        <w:tc>
          <w:tcPr>
            <w:tcW w:w="381" w:type="pct"/>
            <w:shd w:val="clear" w:color="auto" w:fill="auto"/>
            <w:vAlign w:val="center"/>
          </w:tcPr>
          <w:p w14:paraId="3EFB626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边台32</w:t>
            </w:r>
          </w:p>
        </w:tc>
        <w:tc>
          <w:tcPr>
            <w:tcW w:w="783" w:type="pct"/>
            <w:shd w:val="clear" w:color="auto" w:fill="auto"/>
            <w:vAlign w:val="center"/>
          </w:tcPr>
          <w:p w14:paraId="66AAC65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86912" behindDoc="0" locked="0" layoutInCell="1" allowOverlap="1">
                  <wp:simplePos x="0" y="0"/>
                  <wp:positionH relativeFrom="column">
                    <wp:posOffset>0</wp:posOffset>
                  </wp:positionH>
                  <wp:positionV relativeFrom="paragraph">
                    <wp:posOffset>1318260</wp:posOffset>
                  </wp:positionV>
                  <wp:extent cx="821055" cy="810260"/>
                  <wp:effectExtent l="0" t="0" r="5715" b="3175"/>
                  <wp:wrapSquare wrapText="bothSides"/>
                  <wp:docPr id="37" name="图片 37"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1EEFADC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2300*750*850</w:t>
            </w:r>
            <w:r>
              <w:rPr>
                <w:rFonts w:hint="eastAsia" w:ascii="宋体" w:hAnsi="宋体" w:eastAsia="宋体" w:cs="宋体"/>
                <w:color w:val="auto"/>
                <w:kern w:val="0"/>
                <w:sz w:val="21"/>
                <w:szCs w:val="21"/>
                <w:highlight w:val="none"/>
                <w:lang w:val="en-US" w:eastAsia="zh-CN" w:bidi="ar"/>
              </w:rPr>
              <w:t>mm</w:t>
            </w:r>
          </w:p>
          <w:p w14:paraId="510132BB">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10ADB32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31CB5A0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682EA552">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3672950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339C1DE8">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435FAAFB">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0A3C6F8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25BD900D">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153B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7" w:hRule="atLeast"/>
        </w:trPr>
        <w:tc>
          <w:tcPr>
            <w:tcW w:w="384" w:type="pct"/>
            <w:shd w:val="clear" w:color="auto" w:fill="auto"/>
            <w:noWrap/>
            <w:vAlign w:val="center"/>
          </w:tcPr>
          <w:p w14:paraId="6E465B5B">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28</w:t>
            </w:r>
          </w:p>
        </w:tc>
        <w:tc>
          <w:tcPr>
            <w:tcW w:w="381" w:type="pct"/>
            <w:shd w:val="clear" w:color="auto" w:fill="auto"/>
            <w:vAlign w:val="center"/>
          </w:tcPr>
          <w:p w14:paraId="74BAE1D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边台33</w:t>
            </w:r>
          </w:p>
        </w:tc>
        <w:tc>
          <w:tcPr>
            <w:tcW w:w="783" w:type="pct"/>
            <w:shd w:val="clear" w:color="auto" w:fill="auto"/>
            <w:vAlign w:val="center"/>
          </w:tcPr>
          <w:p w14:paraId="6A31A58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87936" behindDoc="0" locked="0" layoutInCell="1" allowOverlap="1">
                  <wp:simplePos x="0" y="0"/>
                  <wp:positionH relativeFrom="column">
                    <wp:posOffset>-28575</wp:posOffset>
                  </wp:positionH>
                  <wp:positionV relativeFrom="paragraph">
                    <wp:posOffset>4023360</wp:posOffset>
                  </wp:positionV>
                  <wp:extent cx="821055" cy="810260"/>
                  <wp:effectExtent l="0" t="0" r="5715" b="3175"/>
                  <wp:wrapSquare wrapText="bothSides"/>
                  <wp:docPr id="38" name="图片 38"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19EF8096">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2800*750*850</w:t>
            </w:r>
            <w:r>
              <w:rPr>
                <w:rFonts w:hint="eastAsia" w:ascii="宋体" w:hAnsi="宋体" w:eastAsia="宋体" w:cs="宋体"/>
                <w:color w:val="auto"/>
                <w:kern w:val="0"/>
                <w:sz w:val="21"/>
                <w:szCs w:val="21"/>
                <w:highlight w:val="none"/>
                <w:lang w:val="en-US" w:eastAsia="zh-CN" w:bidi="ar"/>
              </w:rPr>
              <w:t>mm</w:t>
            </w:r>
          </w:p>
          <w:p w14:paraId="375DC8DA">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5876DDB3">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7EAD42E3">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17059EA1">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5665CBC0">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12ECBDC4">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66056E9E">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1069BAB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2032310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14</w:t>
            </w:r>
          </w:p>
        </w:tc>
      </w:tr>
      <w:tr w14:paraId="175A6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3" w:hRule="atLeast"/>
        </w:trPr>
        <w:tc>
          <w:tcPr>
            <w:tcW w:w="384" w:type="pct"/>
            <w:shd w:val="clear" w:color="auto" w:fill="auto"/>
            <w:noWrap/>
            <w:vAlign w:val="center"/>
          </w:tcPr>
          <w:p w14:paraId="4B1A8D63">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29</w:t>
            </w:r>
          </w:p>
        </w:tc>
        <w:tc>
          <w:tcPr>
            <w:tcW w:w="381" w:type="pct"/>
            <w:shd w:val="clear" w:color="auto" w:fill="auto"/>
            <w:vAlign w:val="center"/>
          </w:tcPr>
          <w:p w14:paraId="666E30B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边台34</w:t>
            </w:r>
          </w:p>
        </w:tc>
        <w:tc>
          <w:tcPr>
            <w:tcW w:w="783" w:type="pct"/>
            <w:shd w:val="clear" w:color="auto" w:fill="auto"/>
            <w:vAlign w:val="center"/>
          </w:tcPr>
          <w:p w14:paraId="26CEECF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88960" behindDoc="0" locked="0" layoutInCell="1" allowOverlap="1">
                  <wp:simplePos x="0" y="0"/>
                  <wp:positionH relativeFrom="column">
                    <wp:posOffset>85725</wp:posOffset>
                  </wp:positionH>
                  <wp:positionV relativeFrom="paragraph">
                    <wp:posOffset>2642235</wp:posOffset>
                  </wp:positionV>
                  <wp:extent cx="821055" cy="810260"/>
                  <wp:effectExtent l="0" t="0" r="5715" b="3175"/>
                  <wp:wrapSquare wrapText="bothSides"/>
                  <wp:docPr id="39" name="图片 39"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5A7B6729">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3950*750*850</w:t>
            </w:r>
            <w:r>
              <w:rPr>
                <w:rFonts w:hint="eastAsia" w:ascii="宋体" w:hAnsi="宋体" w:eastAsia="宋体" w:cs="宋体"/>
                <w:color w:val="auto"/>
                <w:kern w:val="0"/>
                <w:sz w:val="21"/>
                <w:szCs w:val="21"/>
                <w:highlight w:val="none"/>
                <w:lang w:val="en-US" w:eastAsia="zh-CN" w:bidi="ar"/>
              </w:rPr>
              <w:t>mm</w:t>
            </w:r>
          </w:p>
          <w:p w14:paraId="14622C43">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6C108FF1">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3F450F8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5665480E">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1F85B6E1">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00D24DBE">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7E30DAED">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78A53B6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116D538D">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w:t>
            </w:r>
          </w:p>
        </w:tc>
      </w:tr>
      <w:tr w14:paraId="0DE85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9" w:hRule="atLeast"/>
        </w:trPr>
        <w:tc>
          <w:tcPr>
            <w:tcW w:w="384" w:type="pct"/>
            <w:shd w:val="clear" w:color="auto" w:fill="auto"/>
            <w:noWrap/>
            <w:vAlign w:val="center"/>
          </w:tcPr>
          <w:p w14:paraId="2C05CD99">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381" w:type="pct"/>
            <w:shd w:val="clear" w:color="auto" w:fill="auto"/>
            <w:vAlign w:val="center"/>
          </w:tcPr>
          <w:p w14:paraId="3F52641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边台35</w:t>
            </w:r>
          </w:p>
        </w:tc>
        <w:tc>
          <w:tcPr>
            <w:tcW w:w="783" w:type="pct"/>
            <w:shd w:val="clear" w:color="auto" w:fill="auto"/>
            <w:vAlign w:val="center"/>
          </w:tcPr>
          <w:p w14:paraId="52553B2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89984" behindDoc="0" locked="0" layoutInCell="1" allowOverlap="1">
                  <wp:simplePos x="0" y="0"/>
                  <wp:positionH relativeFrom="column">
                    <wp:posOffset>-9525</wp:posOffset>
                  </wp:positionH>
                  <wp:positionV relativeFrom="paragraph">
                    <wp:posOffset>1442085</wp:posOffset>
                  </wp:positionV>
                  <wp:extent cx="821055" cy="810260"/>
                  <wp:effectExtent l="0" t="0" r="5715" b="3175"/>
                  <wp:wrapSquare wrapText="bothSides"/>
                  <wp:docPr id="40" name="图片 40"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2CFC8722">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4750*750*850</w:t>
            </w:r>
            <w:r>
              <w:rPr>
                <w:rFonts w:hint="eastAsia" w:ascii="宋体" w:hAnsi="宋体" w:eastAsia="宋体" w:cs="宋体"/>
                <w:color w:val="auto"/>
                <w:kern w:val="0"/>
                <w:sz w:val="21"/>
                <w:szCs w:val="21"/>
                <w:highlight w:val="none"/>
                <w:lang w:val="en-US" w:eastAsia="zh-CN" w:bidi="ar"/>
              </w:rPr>
              <w:t>mm</w:t>
            </w:r>
          </w:p>
          <w:p w14:paraId="0E6C01BA">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7B42ECD6">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31591E32">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02A42980">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w:t>
            </w:r>
            <w:r>
              <w:rPr>
                <w:rFonts w:hint="eastAsia" w:ascii="宋体" w:hAnsi="宋体" w:eastAsia="宋体" w:cs="宋体"/>
                <w:color w:val="auto"/>
                <w:kern w:val="0"/>
                <w:szCs w:val="21"/>
                <w:highlight w:val="none"/>
                <w:lang w:bidi="ar"/>
              </w:rPr>
              <w:t>g/m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0C745688">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3D9CA129">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14A91ACD">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2FB0E03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38CAB44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14:paraId="27F4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4" w:hRule="atLeast"/>
        </w:trPr>
        <w:tc>
          <w:tcPr>
            <w:tcW w:w="384" w:type="pct"/>
            <w:shd w:val="clear" w:color="auto" w:fill="auto"/>
            <w:noWrap/>
            <w:vAlign w:val="center"/>
          </w:tcPr>
          <w:p w14:paraId="4922D0B4">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31</w:t>
            </w:r>
          </w:p>
        </w:tc>
        <w:tc>
          <w:tcPr>
            <w:tcW w:w="381" w:type="pct"/>
            <w:shd w:val="clear" w:color="auto" w:fill="auto"/>
            <w:vAlign w:val="center"/>
          </w:tcPr>
          <w:p w14:paraId="49D0B81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边台36</w:t>
            </w:r>
          </w:p>
        </w:tc>
        <w:tc>
          <w:tcPr>
            <w:tcW w:w="783" w:type="pct"/>
            <w:shd w:val="clear" w:color="auto" w:fill="auto"/>
            <w:vAlign w:val="center"/>
          </w:tcPr>
          <w:p w14:paraId="1BB0AF3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91008" behindDoc="0" locked="0" layoutInCell="1" allowOverlap="1">
                  <wp:simplePos x="0" y="0"/>
                  <wp:positionH relativeFrom="column">
                    <wp:posOffset>9525</wp:posOffset>
                  </wp:positionH>
                  <wp:positionV relativeFrom="paragraph">
                    <wp:posOffset>4023360</wp:posOffset>
                  </wp:positionV>
                  <wp:extent cx="821055" cy="810260"/>
                  <wp:effectExtent l="0" t="0" r="5715" b="3175"/>
                  <wp:wrapSquare wrapText="bothSides"/>
                  <wp:docPr id="41" name="图片 41"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1394E661">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3800*900*850</w:t>
            </w:r>
            <w:r>
              <w:rPr>
                <w:rFonts w:hint="eastAsia" w:ascii="宋体" w:hAnsi="宋体" w:eastAsia="宋体" w:cs="宋体"/>
                <w:color w:val="auto"/>
                <w:kern w:val="0"/>
                <w:sz w:val="21"/>
                <w:szCs w:val="21"/>
                <w:highlight w:val="none"/>
                <w:lang w:val="en-US" w:eastAsia="zh-CN" w:bidi="ar"/>
              </w:rPr>
              <w:t>mm</w:t>
            </w:r>
          </w:p>
          <w:p w14:paraId="6298673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2A131FBF">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4C73F572">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5BDD017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74713B0D">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54FB5657">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47A17A3E">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7D251FA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4CA183B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18</w:t>
            </w:r>
          </w:p>
        </w:tc>
      </w:tr>
      <w:tr w14:paraId="5F281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9" w:hRule="atLeast"/>
        </w:trPr>
        <w:tc>
          <w:tcPr>
            <w:tcW w:w="384" w:type="pct"/>
            <w:shd w:val="clear" w:color="auto" w:fill="auto"/>
            <w:noWrap/>
            <w:vAlign w:val="center"/>
          </w:tcPr>
          <w:p w14:paraId="0952922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32</w:t>
            </w:r>
          </w:p>
        </w:tc>
        <w:tc>
          <w:tcPr>
            <w:tcW w:w="381" w:type="pct"/>
            <w:shd w:val="clear" w:color="auto" w:fill="auto"/>
            <w:vAlign w:val="center"/>
          </w:tcPr>
          <w:p w14:paraId="4F18CFA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边台37</w:t>
            </w:r>
          </w:p>
        </w:tc>
        <w:tc>
          <w:tcPr>
            <w:tcW w:w="783" w:type="pct"/>
            <w:shd w:val="clear" w:color="auto" w:fill="auto"/>
            <w:vAlign w:val="center"/>
          </w:tcPr>
          <w:p w14:paraId="4B0E735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92032" behindDoc="0" locked="0" layoutInCell="1" allowOverlap="1">
                  <wp:simplePos x="0" y="0"/>
                  <wp:positionH relativeFrom="column">
                    <wp:posOffset>-38100</wp:posOffset>
                  </wp:positionH>
                  <wp:positionV relativeFrom="paragraph">
                    <wp:posOffset>2680335</wp:posOffset>
                  </wp:positionV>
                  <wp:extent cx="821055" cy="810260"/>
                  <wp:effectExtent l="0" t="0" r="5715" b="3175"/>
                  <wp:wrapSquare wrapText="bothSides"/>
                  <wp:docPr id="42" name="图片 42"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1517AF86">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3000*900*850</w:t>
            </w:r>
            <w:r>
              <w:rPr>
                <w:rFonts w:hint="eastAsia" w:ascii="宋体" w:hAnsi="宋体" w:eastAsia="宋体" w:cs="宋体"/>
                <w:color w:val="auto"/>
                <w:kern w:val="0"/>
                <w:sz w:val="21"/>
                <w:szCs w:val="21"/>
                <w:highlight w:val="none"/>
                <w:lang w:val="en-US" w:eastAsia="zh-CN" w:bidi="ar"/>
              </w:rPr>
              <w:t>mm</w:t>
            </w:r>
          </w:p>
          <w:p w14:paraId="02E4D6A3">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01EB20CF">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48A7B4C6">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3A7D87E9">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38904C5D">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15D2040F">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2CCD4828">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27798EC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66ACB23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7</w:t>
            </w:r>
          </w:p>
        </w:tc>
      </w:tr>
      <w:tr w14:paraId="6504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4" w:hRule="atLeast"/>
        </w:trPr>
        <w:tc>
          <w:tcPr>
            <w:tcW w:w="384" w:type="pct"/>
            <w:shd w:val="clear" w:color="auto" w:fill="auto"/>
            <w:noWrap/>
            <w:vAlign w:val="center"/>
          </w:tcPr>
          <w:p w14:paraId="4C00BC5B">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381" w:type="pct"/>
            <w:shd w:val="clear" w:color="auto" w:fill="auto"/>
            <w:vAlign w:val="center"/>
          </w:tcPr>
          <w:p w14:paraId="3408730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边台38</w:t>
            </w:r>
          </w:p>
        </w:tc>
        <w:tc>
          <w:tcPr>
            <w:tcW w:w="783" w:type="pct"/>
            <w:shd w:val="clear" w:color="auto" w:fill="auto"/>
            <w:vAlign w:val="center"/>
          </w:tcPr>
          <w:p w14:paraId="58C6478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93056" behindDoc="0" locked="0" layoutInCell="1" allowOverlap="1">
                  <wp:simplePos x="0" y="0"/>
                  <wp:positionH relativeFrom="column">
                    <wp:posOffset>57150</wp:posOffset>
                  </wp:positionH>
                  <wp:positionV relativeFrom="paragraph">
                    <wp:posOffset>1394460</wp:posOffset>
                  </wp:positionV>
                  <wp:extent cx="821055" cy="810260"/>
                  <wp:effectExtent l="0" t="0" r="5715" b="3175"/>
                  <wp:wrapSquare wrapText="bothSides"/>
                  <wp:docPr id="43" name="图片 43"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14DF730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4500*900*850</w:t>
            </w:r>
            <w:r>
              <w:rPr>
                <w:rFonts w:hint="eastAsia" w:ascii="宋体" w:hAnsi="宋体" w:eastAsia="宋体" w:cs="宋体"/>
                <w:color w:val="auto"/>
                <w:kern w:val="0"/>
                <w:sz w:val="21"/>
                <w:szCs w:val="21"/>
                <w:highlight w:val="none"/>
                <w:lang w:val="en-US" w:eastAsia="zh-CN" w:bidi="ar"/>
              </w:rPr>
              <w:t>mm</w:t>
            </w:r>
          </w:p>
          <w:p w14:paraId="5A54568D">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1302F113">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010EE47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43025471">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w:t>
            </w:r>
          </w:p>
          <w:p w14:paraId="18B65793">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7AB73209">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0FDD584F">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5D6D368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4F20131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14</w:t>
            </w:r>
          </w:p>
        </w:tc>
      </w:tr>
      <w:tr w14:paraId="560E7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9" w:hRule="atLeast"/>
        </w:trPr>
        <w:tc>
          <w:tcPr>
            <w:tcW w:w="384" w:type="pct"/>
            <w:shd w:val="clear" w:color="auto" w:fill="auto"/>
            <w:noWrap/>
            <w:vAlign w:val="center"/>
          </w:tcPr>
          <w:p w14:paraId="45153F83">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34</w:t>
            </w:r>
          </w:p>
        </w:tc>
        <w:tc>
          <w:tcPr>
            <w:tcW w:w="381" w:type="pct"/>
            <w:shd w:val="clear" w:color="auto" w:fill="auto"/>
            <w:vAlign w:val="center"/>
          </w:tcPr>
          <w:p w14:paraId="5246CCE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边台39</w:t>
            </w:r>
          </w:p>
        </w:tc>
        <w:tc>
          <w:tcPr>
            <w:tcW w:w="783" w:type="pct"/>
            <w:shd w:val="clear" w:color="auto" w:fill="auto"/>
            <w:vAlign w:val="center"/>
          </w:tcPr>
          <w:p w14:paraId="34D6232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94080" behindDoc="0" locked="0" layoutInCell="1" allowOverlap="1">
                  <wp:simplePos x="0" y="0"/>
                  <wp:positionH relativeFrom="column">
                    <wp:posOffset>0</wp:posOffset>
                  </wp:positionH>
                  <wp:positionV relativeFrom="paragraph">
                    <wp:posOffset>3956685</wp:posOffset>
                  </wp:positionV>
                  <wp:extent cx="821055" cy="810260"/>
                  <wp:effectExtent l="0" t="0" r="5715" b="3175"/>
                  <wp:wrapSquare wrapText="bothSides"/>
                  <wp:docPr id="44" name="图片 44"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2D4C8140">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1375*900*850</w:t>
            </w:r>
            <w:r>
              <w:rPr>
                <w:rFonts w:hint="eastAsia" w:ascii="宋体" w:hAnsi="宋体" w:eastAsia="宋体" w:cs="宋体"/>
                <w:color w:val="auto"/>
                <w:kern w:val="0"/>
                <w:sz w:val="21"/>
                <w:szCs w:val="21"/>
                <w:highlight w:val="none"/>
                <w:lang w:val="en-US" w:eastAsia="zh-CN" w:bidi="ar"/>
              </w:rPr>
              <w:t>mm</w:t>
            </w:r>
          </w:p>
          <w:p w14:paraId="3DE6C412">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6CC2F75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45DC31F9">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2824E6AD">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w:t>
            </w:r>
          </w:p>
          <w:p w14:paraId="4FEDAD1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59C60575">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1AC5F072">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23A40F4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0DDFA95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14</w:t>
            </w:r>
          </w:p>
        </w:tc>
      </w:tr>
      <w:tr w14:paraId="27055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4" w:hRule="atLeast"/>
        </w:trPr>
        <w:tc>
          <w:tcPr>
            <w:tcW w:w="384" w:type="pct"/>
            <w:shd w:val="clear" w:color="auto" w:fill="auto"/>
            <w:noWrap/>
            <w:vAlign w:val="center"/>
          </w:tcPr>
          <w:p w14:paraId="66533982">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35</w:t>
            </w:r>
          </w:p>
        </w:tc>
        <w:tc>
          <w:tcPr>
            <w:tcW w:w="381" w:type="pct"/>
            <w:shd w:val="clear" w:color="auto" w:fill="auto"/>
            <w:vAlign w:val="center"/>
          </w:tcPr>
          <w:p w14:paraId="7EAE314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边台4</w:t>
            </w:r>
          </w:p>
        </w:tc>
        <w:tc>
          <w:tcPr>
            <w:tcW w:w="783" w:type="pct"/>
            <w:shd w:val="clear" w:color="auto" w:fill="auto"/>
            <w:vAlign w:val="center"/>
          </w:tcPr>
          <w:p w14:paraId="0D137A4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95104" behindDoc="0" locked="0" layoutInCell="1" allowOverlap="1">
                  <wp:simplePos x="0" y="0"/>
                  <wp:positionH relativeFrom="column">
                    <wp:posOffset>9525</wp:posOffset>
                  </wp:positionH>
                  <wp:positionV relativeFrom="paragraph">
                    <wp:posOffset>2689860</wp:posOffset>
                  </wp:positionV>
                  <wp:extent cx="821055" cy="810260"/>
                  <wp:effectExtent l="0" t="0" r="5715" b="3175"/>
                  <wp:wrapSquare wrapText="bothSides"/>
                  <wp:docPr id="45" name="图片 45"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7B9A1E6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3600*750*850</w:t>
            </w:r>
            <w:r>
              <w:rPr>
                <w:rFonts w:hint="eastAsia" w:ascii="宋体" w:hAnsi="宋体" w:eastAsia="宋体" w:cs="宋体"/>
                <w:color w:val="auto"/>
                <w:kern w:val="0"/>
                <w:sz w:val="21"/>
                <w:szCs w:val="21"/>
                <w:highlight w:val="none"/>
                <w:lang w:val="en-US" w:eastAsia="zh-CN" w:bidi="ar"/>
              </w:rPr>
              <w:t>mm</w:t>
            </w:r>
          </w:p>
          <w:p w14:paraId="5C21688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35ACE0E3">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2A0D0AB3">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182C2D1F">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w:t>
            </w:r>
          </w:p>
          <w:p w14:paraId="7B10A168">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70E880CF">
            <w:pPr>
              <w:keepNext w:val="0"/>
              <w:keepLines w:val="0"/>
              <w:pageBreakBefore w:val="0"/>
              <w:widowControl/>
              <w:numPr>
                <w:ilvl w:val="0"/>
                <w:numId w:val="2"/>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0B4DED14">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4002D8A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603192C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3368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1" w:hRule="atLeast"/>
        </w:trPr>
        <w:tc>
          <w:tcPr>
            <w:tcW w:w="384" w:type="pct"/>
            <w:shd w:val="clear" w:color="auto" w:fill="auto"/>
            <w:noWrap/>
            <w:vAlign w:val="center"/>
          </w:tcPr>
          <w:p w14:paraId="423EA14C">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36</w:t>
            </w:r>
          </w:p>
        </w:tc>
        <w:tc>
          <w:tcPr>
            <w:tcW w:w="381" w:type="pct"/>
            <w:shd w:val="clear" w:color="auto" w:fill="auto"/>
            <w:vAlign w:val="center"/>
          </w:tcPr>
          <w:p w14:paraId="185FAFF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边台40</w:t>
            </w:r>
          </w:p>
        </w:tc>
        <w:tc>
          <w:tcPr>
            <w:tcW w:w="783" w:type="pct"/>
            <w:shd w:val="clear" w:color="auto" w:fill="auto"/>
            <w:vAlign w:val="center"/>
          </w:tcPr>
          <w:p w14:paraId="155A390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96128" behindDoc="0" locked="0" layoutInCell="1" allowOverlap="1">
                  <wp:simplePos x="0" y="0"/>
                  <wp:positionH relativeFrom="column">
                    <wp:posOffset>38100</wp:posOffset>
                  </wp:positionH>
                  <wp:positionV relativeFrom="paragraph">
                    <wp:posOffset>1232535</wp:posOffset>
                  </wp:positionV>
                  <wp:extent cx="821055" cy="810260"/>
                  <wp:effectExtent l="0" t="0" r="5715" b="3175"/>
                  <wp:wrapSquare wrapText="bothSides"/>
                  <wp:docPr id="46" name="图片 46"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4684A38E">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2600*750*850</w:t>
            </w:r>
            <w:r>
              <w:rPr>
                <w:rFonts w:hint="eastAsia" w:ascii="宋体" w:hAnsi="宋体" w:eastAsia="宋体" w:cs="宋体"/>
                <w:color w:val="auto"/>
                <w:kern w:val="0"/>
                <w:sz w:val="21"/>
                <w:szCs w:val="21"/>
                <w:highlight w:val="none"/>
                <w:lang w:val="en-US" w:eastAsia="zh-CN" w:bidi="ar"/>
              </w:rPr>
              <w:t>mm</w:t>
            </w:r>
          </w:p>
          <w:p w14:paraId="7E0980A3">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0DF9472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0DA131C1">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4351FCE2">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7AA917F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28AFEC3A">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54AB100F">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62DF886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239D7B4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201C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0" w:hRule="atLeast"/>
        </w:trPr>
        <w:tc>
          <w:tcPr>
            <w:tcW w:w="384" w:type="pct"/>
            <w:shd w:val="clear" w:color="auto" w:fill="auto"/>
            <w:noWrap/>
            <w:vAlign w:val="center"/>
          </w:tcPr>
          <w:p w14:paraId="4AE02146">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37</w:t>
            </w:r>
          </w:p>
        </w:tc>
        <w:tc>
          <w:tcPr>
            <w:tcW w:w="381" w:type="pct"/>
            <w:shd w:val="clear" w:color="auto" w:fill="auto"/>
            <w:vAlign w:val="center"/>
          </w:tcPr>
          <w:p w14:paraId="3CC26B4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边台41</w:t>
            </w:r>
          </w:p>
        </w:tc>
        <w:tc>
          <w:tcPr>
            <w:tcW w:w="783" w:type="pct"/>
            <w:shd w:val="clear" w:color="auto" w:fill="auto"/>
            <w:vAlign w:val="center"/>
          </w:tcPr>
          <w:p w14:paraId="7850971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97152" behindDoc="0" locked="0" layoutInCell="1" allowOverlap="1">
                  <wp:simplePos x="0" y="0"/>
                  <wp:positionH relativeFrom="column">
                    <wp:posOffset>-57150</wp:posOffset>
                  </wp:positionH>
                  <wp:positionV relativeFrom="paragraph">
                    <wp:posOffset>3861435</wp:posOffset>
                  </wp:positionV>
                  <wp:extent cx="821055" cy="810260"/>
                  <wp:effectExtent l="0" t="0" r="5715" b="3175"/>
                  <wp:wrapSquare wrapText="bothSides"/>
                  <wp:docPr id="48" name="图片 48"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688C8759">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1250*750*850</w:t>
            </w:r>
            <w:r>
              <w:rPr>
                <w:rFonts w:hint="eastAsia" w:ascii="宋体" w:hAnsi="宋体" w:eastAsia="宋体" w:cs="宋体"/>
                <w:color w:val="auto"/>
                <w:kern w:val="0"/>
                <w:sz w:val="21"/>
                <w:szCs w:val="21"/>
                <w:highlight w:val="none"/>
                <w:lang w:val="en-US" w:eastAsia="zh-CN" w:bidi="ar"/>
              </w:rPr>
              <w:t>mm</w:t>
            </w:r>
          </w:p>
          <w:p w14:paraId="6EDB0C8E">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534EAE5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086AF7B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09D9A00E">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w:t>
            </w:r>
          </w:p>
          <w:p w14:paraId="2CDD7548">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2C332780">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406083D6">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1620E6A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60C07D4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r>
      <w:tr w14:paraId="6123F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9" w:hRule="atLeast"/>
        </w:trPr>
        <w:tc>
          <w:tcPr>
            <w:tcW w:w="384" w:type="pct"/>
            <w:shd w:val="clear" w:color="auto" w:fill="auto"/>
            <w:noWrap/>
            <w:vAlign w:val="center"/>
          </w:tcPr>
          <w:p w14:paraId="5DAEA43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38</w:t>
            </w:r>
          </w:p>
        </w:tc>
        <w:tc>
          <w:tcPr>
            <w:tcW w:w="381" w:type="pct"/>
            <w:shd w:val="clear" w:color="auto" w:fill="auto"/>
            <w:vAlign w:val="center"/>
          </w:tcPr>
          <w:p w14:paraId="28F5991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边台42</w:t>
            </w:r>
          </w:p>
        </w:tc>
        <w:tc>
          <w:tcPr>
            <w:tcW w:w="783" w:type="pct"/>
            <w:shd w:val="clear" w:color="auto" w:fill="auto"/>
            <w:vAlign w:val="center"/>
          </w:tcPr>
          <w:p w14:paraId="2895D5D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98176" behindDoc="0" locked="0" layoutInCell="1" allowOverlap="1">
                  <wp:simplePos x="0" y="0"/>
                  <wp:positionH relativeFrom="column">
                    <wp:posOffset>0</wp:posOffset>
                  </wp:positionH>
                  <wp:positionV relativeFrom="paragraph">
                    <wp:posOffset>2385060</wp:posOffset>
                  </wp:positionV>
                  <wp:extent cx="821055" cy="810260"/>
                  <wp:effectExtent l="0" t="0" r="5715" b="3175"/>
                  <wp:wrapSquare wrapText="bothSides"/>
                  <wp:docPr id="49" name="图片 49"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249E7AD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4000*750*850</w:t>
            </w:r>
            <w:r>
              <w:rPr>
                <w:rFonts w:hint="eastAsia" w:ascii="宋体" w:hAnsi="宋体" w:eastAsia="宋体" w:cs="宋体"/>
                <w:color w:val="auto"/>
                <w:kern w:val="0"/>
                <w:sz w:val="21"/>
                <w:szCs w:val="21"/>
                <w:highlight w:val="none"/>
                <w:lang w:val="en-US" w:eastAsia="zh-CN" w:bidi="ar"/>
              </w:rPr>
              <w:t>mm</w:t>
            </w:r>
          </w:p>
          <w:p w14:paraId="3CDA2096">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37D02DD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4EF61DD2">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7AF31446">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w:t>
            </w:r>
          </w:p>
          <w:p w14:paraId="2FFBD0A2">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4007553C">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79309C66">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12F9899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264CAA3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16</w:t>
            </w:r>
          </w:p>
        </w:tc>
      </w:tr>
      <w:tr w14:paraId="16FC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7" w:hRule="atLeast"/>
        </w:trPr>
        <w:tc>
          <w:tcPr>
            <w:tcW w:w="384" w:type="pct"/>
            <w:shd w:val="clear" w:color="auto" w:fill="auto"/>
            <w:noWrap/>
            <w:vAlign w:val="center"/>
          </w:tcPr>
          <w:p w14:paraId="6E13D3C4">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39</w:t>
            </w:r>
          </w:p>
        </w:tc>
        <w:tc>
          <w:tcPr>
            <w:tcW w:w="381" w:type="pct"/>
            <w:shd w:val="clear" w:color="auto" w:fill="auto"/>
            <w:vAlign w:val="center"/>
          </w:tcPr>
          <w:p w14:paraId="01B38E6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边台43</w:t>
            </w:r>
          </w:p>
        </w:tc>
        <w:tc>
          <w:tcPr>
            <w:tcW w:w="783" w:type="pct"/>
            <w:shd w:val="clear" w:color="auto" w:fill="auto"/>
            <w:vAlign w:val="center"/>
          </w:tcPr>
          <w:p w14:paraId="3783F89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699200" behindDoc="0" locked="0" layoutInCell="1" allowOverlap="1">
                  <wp:simplePos x="0" y="0"/>
                  <wp:positionH relativeFrom="column">
                    <wp:posOffset>-9525</wp:posOffset>
                  </wp:positionH>
                  <wp:positionV relativeFrom="paragraph">
                    <wp:posOffset>1194435</wp:posOffset>
                  </wp:positionV>
                  <wp:extent cx="821055" cy="810260"/>
                  <wp:effectExtent l="0" t="0" r="5715" b="3175"/>
                  <wp:wrapSquare wrapText="bothSides"/>
                  <wp:docPr id="50" name="图片 50"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1AFCB5C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1800*750*850</w:t>
            </w:r>
            <w:r>
              <w:rPr>
                <w:rFonts w:hint="eastAsia" w:ascii="宋体" w:hAnsi="宋体" w:eastAsia="宋体" w:cs="宋体"/>
                <w:color w:val="auto"/>
                <w:kern w:val="0"/>
                <w:sz w:val="21"/>
                <w:szCs w:val="21"/>
                <w:highlight w:val="none"/>
                <w:lang w:val="en-US" w:eastAsia="zh-CN" w:bidi="ar"/>
              </w:rPr>
              <w:t>mm</w:t>
            </w:r>
          </w:p>
          <w:p w14:paraId="4E3C42A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5CF4DF7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6B13467E">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64F11CB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w:t>
            </w:r>
          </w:p>
          <w:p w14:paraId="09A0FDBB">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40B57FD6">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6FEC5E73">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750E8FE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119BA03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w:t>
            </w:r>
          </w:p>
        </w:tc>
      </w:tr>
      <w:tr w14:paraId="3D3D5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2" w:hRule="atLeast"/>
        </w:trPr>
        <w:tc>
          <w:tcPr>
            <w:tcW w:w="384" w:type="pct"/>
            <w:shd w:val="clear" w:color="auto" w:fill="auto"/>
            <w:noWrap/>
            <w:vAlign w:val="center"/>
          </w:tcPr>
          <w:p w14:paraId="33CA507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40</w:t>
            </w:r>
          </w:p>
        </w:tc>
        <w:tc>
          <w:tcPr>
            <w:tcW w:w="381" w:type="pct"/>
            <w:shd w:val="clear" w:color="auto" w:fill="auto"/>
            <w:vAlign w:val="center"/>
          </w:tcPr>
          <w:p w14:paraId="6048EBED">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边台44</w:t>
            </w:r>
          </w:p>
        </w:tc>
        <w:tc>
          <w:tcPr>
            <w:tcW w:w="783" w:type="pct"/>
            <w:shd w:val="clear" w:color="auto" w:fill="auto"/>
            <w:vAlign w:val="center"/>
          </w:tcPr>
          <w:p w14:paraId="10B0B3C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00224" behindDoc="0" locked="0" layoutInCell="1" allowOverlap="1">
                  <wp:simplePos x="0" y="0"/>
                  <wp:positionH relativeFrom="column">
                    <wp:posOffset>0</wp:posOffset>
                  </wp:positionH>
                  <wp:positionV relativeFrom="paragraph">
                    <wp:posOffset>4013835</wp:posOffset>
                  </wp:positionV>
                  <wp:extent cx="821055" cy="810260"/>
                  <wp:effectExtent l="0" t="0" r="5715" b="3175"/>
                  <wp:wrapSquare wrapText="bothSides"/>
                  <wp:docPr id="51" name="图片 51"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18BB9EF0">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3850*900*850</w:t>
            </w:r>
            <w:r>
              <w:rPr>
                <w:rFonts w:hint="eastAsia" w:ascii="宋体" w:hAnsi="宋体" w:eastAsia="宋体" w:cs="宋体"/>
                <w:color w:val="auto"/>
                <w:kern w:val="0"/>
                <w:sz w:val="21"/>
                <w:szCs w:val="21"/>
                <w:highlight w:val="none"/>
                <w:lang w:val="en-US" w:eastAsia="zh-CN" w:bidi="ar"/>
              </w:rPr>
              <w:t>mm</w:t>
            </w:r>
          </w:p>
          <w:p w14:paraId="72359CAE">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53C99166">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4FFF0CCF">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5D2A6A98">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w:t>
            </w:r>
          </w:p>
          <w:p w14:paraId="7491B72B">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1B81D457">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5CE6A117">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6DD6CEE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7B031B7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w:t>
            </w:r>
          </w:p>
        </w:tc>
      </w:tr>
      <w:tr w14:paraId="76E9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1" w:hRule="atLeast"/>
        </w:trPr>
        <w:tc>
          <w:tcPr>
            <w:tcW w:w="384" w:type="pct"/>
            <w:shd w:val="clear" w:color="auto" w:fill="auto"/>
            <w:noWrap/>
            <w:vAlign w:val="center"/>
          </w:tcPr>
          <w:p w14:paraId="29757B1E">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41</w:t>
            </w:r>
          </w:p>
        </w:tc>
        <w:tc>
          <w:tcPr>
            <w:tcW w:w="381" w:type="pct"/>
            <w:shd w:val="clear" w:color="auto" w:fill="auto"/>
            <w:vAlign w:val="center"/>
          </w:tcPr>
          <w:p w14:paraId="2E103E3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边台45</w:t>
            </w:r>
          </w:p>
        </w:tc>
        <w:tc>
          <w:tcPr>
            <w:tcW w:w="783" w:type="pct"/>
            <w:shd w:val="clear" w:color="auto" w:fill="auto"/>
            <w:vAlign w:val="center"/>
          </w:tcPr>
          <w:p w14:paraId="20159A8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01248" behindDoc="0" locked="0" layoutInCell="1" allowOverlap="1">
                  <wp:simplePos x="0" y="0"/>
                  <wp:positionH relativeFrom="column">
                    <wp:posOffset>0</wp:posOffset>
                  </wp:positionH>
                  <wp:positionV relativeFrom="paragraph">
                    <wp:posOffset>2727960</wp:posOffset>
                  </wp:positionV>
                  <wp:extent cx="821055" cy="810260"/>
                  <wp:effectExtent l="0" t="0" r="5715" b="3175"/>
                  <wp:wrapSquare wrapText="bothSides"/>
                  <wp:docPr id="52" name="图片 52"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229CB12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3200*750*850</w:t>
            </w:r>
            <w:r>
              <w:rPr>
                <w:rFonts w:hint="eastAsia" w:ascii="宋体" w:hAnsi="宋体" w:eastAsia="宋体" w:cs="宋体"/>
                <w:color w:val="auto"/>
                <w:kern w:val="0"/>
                <w:sz w:val="21"/>
                <w:szCs w:val="21"/>
                <w:highlight w:val="none"/>
                <w:lang w:val="en-US" w:eastAsia="zh-CN" w:bidi="ar"/>
              </w:rPr>
              <w:t>mm</w:t>
            </w:r>
          </w:p>
          <w:p w14:paraId="6D5C67B1">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4BCECA4D">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1B8EABE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09413F8D">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7E77A8A3">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2149E112">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2D8AAA97">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438FAF3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24248FD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14:paraId="2237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5" w:hRule="atLeast"/>
        </w:trPr>
        <w:tc>
          <w:tcPr>
            <w:tcW w:w="384" w:type="pct"/>
            <w:shd w:val="clear" w:color="auto" w:fill="auto"/>
            <w:noWrap/>
            <w:vAlign w:val="center"/>
          </w:tcPr>
          <w:p w14:paraId="568AE89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42</w:t>
            </w:r>
          </w:p>
        </w:tc>
        <w:tc>
          <w:tcPr>
            <w:tcW w:w="381" w:type="pct"/>
            <w:shd w:val="clear" w:color="auto" w:fill="auto"/>
            <w:vAlign w:val="center"/>
          </w:tcPr>
          <w:p w14:paraId="1CCC7274">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边台46</w:t>
            </w:r>
          </w:p>
        </w:tc>
        <w:tc>
          <w:tcPr>
            <w:tcW w:w="783" w:type="pct"/>
            <w:shd w:val="clear" w:color="auto" w:fill="auto"/>
            <w:vAlign w:val="center"/>
          </w:tcPr>
          <w:p w14:paraId="6E6CB98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02272" behindDoc="0" locked="0" layoutInCell="1" allowOverlap="1">
                  <wp:simplePos x="0" y="0"/>
                  <wp:positionH relativeFrom="column">
                    <wp:posOffset>66675</wp:posOffset>
                  </wp:positionH>
                  <wp:positionV relativeFrom="paragraph">
                    <wp:posOffset>1499235</wp:posOffset>
                  </wp:positionV>
                  <wp:extent cx="821055" cy="810260"/>
                  <wp:effectExtent l="0" t="0" r="5715" b="3175"/>
                  <wp:wrapSquare wrapText="bothSides"/>
                  <wp:docPr id="53" name="图片 53"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040B525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3700*750*850</w:t>
            </w:r>
            <w:r>
              <w:rPr>
                <w:rFonts w:hint="eastAsia" w:ascii="宋体" w:hAnsi="宋体" w:eastAsia="宋体" w:cs="宋体"/>
                <w:color w:val="auto"/>
                <w:kern w:val="0"/>
                <w:sz w:val="21"/>
                <w:szCs w:val="21"/>
                <w:highlight w:val="none"/>
                <w:lang w:val="en-US" w:eastAsia="zh-CN" w:bidi="ar"/>
              </w:rPr>
              <w:t>mm</w:t>
            </w:r>
          </w:p>
          <w:p w14:paraId="7CDC7FE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0C9D830A">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0D7C19B9">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16510AC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5B678C0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618D3EF3">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684A59AA">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76E4CC9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6D4E821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31BE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3" w:hRule="atLeast"/>
        </w:trPr>
        <w:tc>
          <w:tcPr>
            <w:tcW w:w="384" w:type="pct"/>
            <w:shd w:val="clear" w:color="auto" w:fill="auto"/>
            <w:noWrap/>
            <w:vAlign w:val="center"/>
          </w:tcPr>
          <w:p w14:paraId="1B5D0873">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43</w:t>
            </w:r>
          </w:p>
        </w:tc>
        <w:tc>
          <w:tcPr>
            <w:tcW w:w="381" w:type="pct"/>
            <w:shd w:val="clear" w:color="auto" w:fill="auto"/>
            <w:vAlign w:val="center"/>
          </w:tcPr>
          <w:p w14:paraId="68DF475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边台47</w:t>
            </w:r>
          </w:p>
        </w:tc>
        <w:tc>
          <w:tcPr>
            <w:tcW w:w="783" w:type="pct"/>
            <w:shd w:val="clear" w:color="auto" w:fill="auto"/>
            <w:vAlign w:val="center"/>
          </w:tcPr>
          <w:p w14:paraId="11B807B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03296" behindDoc="0" locked="0" layoutInCell="1" allowOverlap="1">
                  <wp:simplePos x="0" y="0"/>
                  <wp:positionH relativeFrom="column">
                    <wp:posOffset>28575</wp:posOffset>
                  </wp:positionH>
                  <wp:positionV relativeFrom="paragraph">
                    <wp:posOffset>3890010</wp:posOffset>
                  </wp:positionV>
                  <wp:extent cx="821055" cy="810260"/>
                  <wp:effectExtent l="0" t="0" r="5715" b="3175"/>
                  <wp:wrapSquare wrapText="bothSides"/>
                  <wp:docPr id="54" name="图片 54"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4F98170A">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4400*750*850</w:t>
            </w:r>
            <w:r>
              <w:rPr>
                <w:rFonts w:hint="eastAsia" w:ascii="宋体" w:hAnsi="宋体" w:eastAsia="宋体" w:cs="宋体"/>
                <w:color w:val="auto"/>
                <w:kern w:val="0"/>
                <w:sz w:val="21"/>
                <w:szCs w:val="21"/>
                <w:highlight w:val="none"/>
                <w:lang w:val="en-US" w:eastAsia="zh-CN" w:bidi="ar"/>
              </w:rPr>
              <w:t>mm</w:t>
            </w:r>
          </w:p>
          <w:p w14:paraId="61E4F29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361C1FD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184F44CD">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66BD0B8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6409104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31663CCD">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15B3C2C4">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7D3DB36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5B20837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14:paraId="4BC65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1" w:hRule="atLeast"/>
        </w:trPr>
        <w:tc>
          <w:tcPr>
            <w:tcW w:w="384" w:type="pct"/>
            <w:shd w:val="clear" w:color="auto" w:fill="auto"/>
            <w:noWrap/>
            <w:vAlign w:val="center"/>
          </w:tcPr>
          <w:p w14:paraId="5CDB191C">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44</w:t>
            </w:r>
          </w:p>
        </w:tc>
        <w:tc>
          <w:tcPr>
            <w:tcW w:w="381" w:type="pct"/>
            <w:shd w:val="clear" w:color="auto" w:fill="auto"/>
            <w:vAlign w:val="center"/>
          </w:tcPr>
          <w:p w14:paraId="63D80B7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边台48</w:t>
            </w:r>
          </w:p>
        </w:tc>
        <w:tc>
          <w:tcPr>
            <w:tcW w:w="783" w:type="pct"/>
            <w:shd w:val="clear" w:color="auto" w:fill="auto"/>
            <w:vAlign w:val="center"/>
          </w:tcPr>
          <w:p w14:paraId="4931ECB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04320" behindDoc="0" locked="0" layoutInCell="1" allowOverlap="1">
                  <wp:simplePos x="0" y="0"/>
                  <wp:positionH relativeFrom="column">
                    <wp:posOffset>0</wp:posOffset>
                  </wp:positionH>
                  <wp:positionV relativeFrom="paragraph">
                    <wp:posOffset>2670810</wp:posOffset>
                  </wp:positionV>
                  <wp:extent cx="821055" cy="810260"/>
                  <wp:effectExtent l="0" t="0" r="5715" b="3175"/>
                  <wp:wrapSquare wrapText="bothSides"/>
                  <wp:docPr id="55" name="图片 55"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730C8E6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3300*750*850</w:t>
            </w:r>
            <w:r>
              <w:rPr>
                <w:rFonts w:hint="eastAsia" w:ascii="宋体" w:hAnsi="宋体" w:eastAsia="宋体" w:cs="宋体"/>
                <w:color w:val="auto"/>
                <w:kern w:val="0"/>
                <w:sz w:val="21"/>
                <w:szCs w:val="21"/>
                <w:highlight w:val="none"/>
                <w:lang w:val="en-US" w:eastAsia="zh-CN" w:bidi="ar"/>
              </w:rPr>
              <w:t>mm</w:t>
            </w:r>
          </w:p>
          <w:p w14:paraId="13348696">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607CBB78">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268CF1A0">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41A4DE1B">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092763DE">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48FCCE1B">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3F29C468">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7CE9FC64">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4E47299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0ECA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9" w:hRule="atLeast"/>
        </w:trPr>
        <w:tc>
          <w:tcPr>
            <w:tcW w:w="384" w:type="pct"/>
            <w:shd w:val="clear" w:color="auto" w:fill="auto"/>
            <w:noWrap/>
            <w:vAlign w:val="center"/>
          </w:tcPr>
          <w:p w14:paraId="3B4E47FB">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381" w:type="pct"/>
            <w:shd w:val="clear" w:color="auto" w:fill="auto"/>
            <w:vAlign w:val="center"/>
          </w:tcPr>
          <w:p w14:paraId="7535D01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边台5</w:t>
            </w:r>
          </w:p>
        </w:tc>
        <w:tc>
          <w:tcPr>
            <w:tcW w:w="783" w:type="pct"/>
            <w:shd w:val="clear" w:color="auto" w:fill="auto"/>
            <w:vAlign w:val="center"/>
          </w:tcPr>
          <w:p w14:paraId="5F3127D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05344" behindDoc="0" locked="0" layoutInCell="1" allowOverlap="1">
                  <wp:simplePos x="0" y="0"/>
                  <wp:positionH relativeFrom="column">
                    <wp:posOffset>19050</wp:posOffset>
                  </wp:positionH>
                  <wp:positionV relativeFrom="paragraph">
                    <wp:posOffset>1432560</wp:posOffset>
                  </wp:positionV>
                  <wp:extent cx="821055" cy="810260"/>
                  <wp:effectExtent l="0" t="0" r="5715" b="3175"/>
                  <wp:wrapSquare wrapText="bothSides"/>
                  <wp:docPr id="56" name="图片 56"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4A63104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4200*750*850</w:t>
            </w:r>
            <w:r>
              <w:rPr>
                <w:rFonts w:hint="eastAsia" w:ascii="宋体" w:hAnsi="宋体" w:eastAsia="宋体" w:cs="宋体"/>
                <w:color w:val="auto"/>
                <w:kern w:val="0"/>
                <w:sz w:val="21"/>
                <w:szCs w:val="21"/>
                <w:highlight w:val="none"/>
                <w:lang w:val="en-US" w:eastAsia="zh-CN" w:bidi="ar"/>
              </w:rPr>
              <w:t>mm</w:t>
            </w:r>
          </w:p>
          <w:p w14:paraId="78160039">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75AAA200">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27F7247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390A51F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w:t>
            </w:r>
            <w:r>
              <w:rPr>
                <w:rFonts w:hint="eastAsia" w:ascii="宋体" w:hAnsi="宋体" w:eastAsia="宋体" w:cs="宋体"/>
                <w:color w:val="auto"/>
                <w:kern w:val="0"/>
                <w:szCs w:val="21"/>
                <w:highlight w:val="none"/>
                <w:lang w:bidi="ar"/>
              </w:rPr>
              <w:t>g/m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421B8BF1">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671F77BC">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5A974FBB">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060875A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046E580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2074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5" w:hRule="atLeast"/>
        </w:trPr>
        <w:tc>
          <w:tcPr>
            <w:tcW w:w="384" w:type="pct"/>
            <w:shd w:val="clear" w:color="auto" w:fill="auto"/>
            <w:noWrap/>
            <w:vAlign w:val="center"/>
          </w:tcPr>
          <w:p w14:paraId="20BDB76B">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46</w:t>
            </w:r>
          </w:p>
        </w:tc>
        <w:tc>
          <w:tcPr>
            <w:tcW w:w="381" w:type="pct"/>
            <w:shd w:val="clear" w:color="auto" w:fill="auto"/>
            <w:vAlign w:val="center"/>
          </w:tcPr>
          <w:p w14:paraId="0012609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边台6</w:t>
            </w:r>
          </w:p>
        </w:tc>
        <w:tc>
          <w:tcPr>
            <w:tcW w:w="783" w:type="pct"/>
            <w:shd w:val="clear" w:color="auto" w:fill="auto"/>
            <w:vAlign w:val="center"/>
          </w:tcPr>
          <w:p w14:paraId="70588C9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06368" behindDoc="0" locked="0" layoutInCell="1" allowOverlap="1">
                  <wp:simplePos x="0" y="0"/>
                  <wp:positionH relativeFrom="column">
                    <wp:posOffset>-38100</wp:posOffset>
                  </wp:positionH>
                  <wp:positionV relativeFrom="paragraph">
                    <wp:posOffset>3937635</wp:posOffset>
                  </wp:positionV>
                  <wp:extent cx="821055" cy="810260"/>
                  <wp:effectExtent l="0" t="0" r="5715" b="3175"/>
                  <wp:wrapSquare wrapText="bothSides"/>
                  <wp:docPr id="57" name="图片 57"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49C32A50">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4650*750*850</w:t>
            </w:r>
            <w:r>
              <w:rPr>
                <w:rFonts w:hint="eastAsia" w:ascii="宋体" w:hAnsi="宋体" w:eastAsia="宋体" w:cs="宋体"/>
                <w:color w:val="auto"/>
                <w:kern w:val="0"/>
                <w:sz w:val="21"/>
                <w:szCs w:val="21"/>
                <w:highlight w:val="none"/>
                <w:lang w:val="en-US" w:eastAsia="zh-CN" w:bidi="ar"/>
              </w:rPr>
              <w:t>mm</w:t>
            </w:r>
          </w:p>
          <w:p w14:paraId="1072C6B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19E65F68">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65BF9CCF">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2C8FC07B">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7BCE393F">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14A54D85">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35341074">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48E75EA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393760D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5279A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7" w:hRule="atLeast"/>
        </w:trPr>
        <w:tc>
          <w:tcPr>
            <w:tcW w:w="384" w:type="pct"/>
            <w:shd w:val="clear" w:color="auto" w:fill="auto"/>
            <w:noWrap/>
            <w:vAlign w:val="center"/>
          </w:tcPr>
          <w:p w14:paraId="0BFF4839">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47</w:t>
            </w:r>
          </w:p>
        </w:tc>
        <w:tc>
          <w:tcPr>
            <w:tcW w:w="381" w:type="pct"/>
            <w:shd w:val="clear" w:color="auto" w:fill="auto"/>
            <w:vAlign w:val="center"/>
          </w:tcPr>
          <w:p w14:paraId="63E4F13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边台7</w:t>
            </w:r>
          </w:p>
        </w:tc>
        <w:tc>
          <w:tcPr>
            <w:tcW w:w="783" w:type="pct"/>
            <w:shd w:val="clear" w:color="auto" w:fill="auto"/>
            <w:vAlign w:val="center"/>
          </w:tcPr>
          <w:p w14:paraId="3208778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07392" behindDoc="0" locked="0" layoutInCell="1" allowOverlap="1">
                  <wp:simplePos x="0" y="0"/>
                  <wp:positionH relativeFrom="column">
                    <wp:posOffset>57150</wp:posOffset>
                  </wp:positionH>
                  <wp:positionV relativeFrom="paragraph">
                    <wp:posOffset>2804160</wp:posOffset>
                  </wp:positionV>
                  <wp:extent cx="821055" cy="810260"/>
                  <wp:effectExtent l="0" t="0" r="5715" b="3175"/>
                  <wp:wrapSquare wrapText="bothSides"/>
                  <wp:docPr id="58" name="图片 58"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0D51317A">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2400*750*850</w:t>
            </w:r>
            <w:r>
              <w:rPr>
                <w:rFonts w:hint="eastAsia" w:ascii="宋体" w:hAnsi="宋体" w:eastAsia="宋体" w:cs="宋体"/>
                <w:color w:val="auto"/>
                <w:kern w:val="0"/>
                <w:sz w:val="21"/>
                <w:szCs w:val="21"/>
                <w:highlight w:val="none"/>
                <w:lang w:val="en-US" w:eastAsia="zh-CN" w:bidi="ar"/>
              </w:rPr>
              <w:t>mm</w:t>
            </w:r>
          </w:p>
          <w:p w14:paraId="6CC3769E">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397613CF">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3B9324A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704B278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w:t>
            </w:r>
          </w:p>
          <w:p w14:paraId="7EB71A3E">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28A11075">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137F295D">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4555FC4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3B90A25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w:t>
            </w:r>
          </w:p>
        </w:tc>
      </w:tr>
      <w:tr w14:paraId="4F5E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1" w:hRule="atLeast"/>
        </w:trPr>
        <w:tc>
          <w:tcPr>
            <w:tcW w:w="384" w:type="pct"/>
            <w:shd w:val="clear" w:color="auto" w:fill="auto"/>
            <w:noWrap/>
            <w:vAlign w:val="center"/>
          </w:tcPr>
          <w:p w14:paraId="36D1AD43">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48</w:t>
            </w:r>
          </w:p>
        </w:tc>
        <w:tc>
          <w:tcPr>
            <w:tcW w:w="381" w:type="pct"/>
            <w:shd w:val="clear" w:color="auto" w:fill="auto"/>
            <w:vAlign w:val="center"/>
          </w:tcPr>
          <w:p w14:paraId="2EB3814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边台8</w:t>
            </w:r>
          </w:p>
        </w:tc>
        <w:tc>
          <w:tcPr>
            <w:tcW w:w="783" w:type="pct"/>
            <w:shd w:val="clear" w:color="auto" w:fill="auto"/>
            <w:vAlign w:val="center"/>
          </w:tcPr>
          <w:p w14:paraId="4457328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08416" behindDoc="0" locked="0" layoutInCell="1" allowOverlap="1">
                  <wp:simplePos x="0" y="0"/>
                  <wp:positionH relativeFrom="column">
                    <wp:posOffset>47625</wp:posOffset>
                  </wp:positionH>
                  <wp:positionV relativeFrom="paragraph">
                    <wp:posOffset>1594485</wp:posOffset>
                  </wp:positionV>
                  <wp:extent cx="821055" cy="810260"/>
                  <wp:effectExtent l="0" t="0" r="5715" b="3175"/>
                  <wp:wrapSquare wrapText="bothSides"/>
                  <wp:docPr id="59" name="图片 59"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702CB85E">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3500*750*850</w:t>
            </w:r>
            <w:r>
              <w:rPr>
                <w:rFonts w:hint="eastAsia" w:ascii="宋体" w:hAnsi="宋体" w:eastAsia="宋体" w:cs="宋体"/>
                <w:color w:val="auto"/>
                <w:kern w:val="0"/>
                <w:sz w:val="21"/>
                <w:szCs w:val="21"/>
                <w:highlight w:val="none"/>
                <w:lang w:val="en-US" w:eastAsia="zh-CN" w:bidi="ar"/>
              </w:rPr>
              <w:t>mm</w:t>
            </w:r>
          </w:p>
          <w:p w14:paraId="08F6801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79820379">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10C3C5C1">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3E47E43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553F1AD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7A9E6D38">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4B2DF28C">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5FAEA79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7D9D585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1C1BB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9" w:hRule="atLeast"/>
        </w:trPr>
        <w:tc>
          <w:tcPr>
            <w:tcW w:w="384" w:type="pct"/>
            <w:shd w:val="clear" w:color="auto" w:fill="auto"/>
            <w:noWrap/>
            <w:vAlign w:val="center"/>
          </w:tcPr>
          <w:p w14:paraId="1EBB3029">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49</w:t>
            </w:r>
          </w:p>
        </w:tc>
        <w:tc>
          <w:tcPr>
            <w:tcW w:w="381" w:type="pct"/>
            <w:shd w:val="clear" w:color="auto" w:fill="auto"/>
            <w:vAlign w:val="center"/>
          </w:tcPr>
          <w:p w14:paraId="6A4C258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边台9</w:t>
            </w:r>
          </w:p>
        </w:tc>
        <w:tc>
          <w:tcPr>
            <w:tcW w:w="783" w:type="pct"/>
            <w:shd w:val="clear" w:color="auto" w:fill="auto"/>
            <w:vAlign w:val="center"/>
          </w:tcPr>
          <w:p w14:paraId="57E52C4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09440" behindDoc="0" locked="0" layoutInCell="1" allowOverlap="1">
                  <wp:simplePos x="0" y="0"/>
                  <wp:positionH relativeFrom="column">
                    <wp:posOffset>66675</wp:posOffset>
                  </wp:positionH>
                  <wp:positionV relativeFrom="paragraph">
                    <wp:posOffset>3994785</wp:posOffset>
                  </wp:positionV>
                  <wp:extent cx="821055" cy="810260"/>
                  <wp:effectExtent l="0" t="0" r="5715" b="3175"/>
                  <wp:wrapSquare wrapText="bothSides"/>
                  <wp:docPr id="60" name="图片 60"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2A6982A3">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2500*750*850</w:t>
            </w:r>
            <w:r>
              <w:rPr>
                <w:rFonts w:hint="eastAsia" w:ascii="宋体" w:hAnsi="宋体" w:eastAsia="宋体" w:cs="宋体"/>
                <w:color w:val="auto"/>
                <w:kern w:val="0"/>
                <w:sz w:val="21"/>
                <w:szCs w:val="21"/>
                <w:highlight w:val="none"/>
                <w:lang w:val="en-US" w:eastAsia="zh-CN" w:bidi="ar"/>
              </w:rPr>
              <w:t>mm</w:t>
            </w:r>
          </w:p>
          <w:p w14:paraId="34376438">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3FC4BC9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0C4C552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5D00980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6BDD7765">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539F953A">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Fonts w:hint="eastAsia" w:ascii="宋体" w:hAnsi="宋体" w:eastAsia="宋体" w:cs="宋体"/>
                <w:color w:val="auto"/>
                <w:kern w:val="0"/>
                <w:szCs w:val="21"/>
                <w:highlight w:val="none"/>
                <w:lang w:eastAsia="zh-CN" w:bidi="ar"/>
              </w:rPr>
              <w:t>。</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5FE24C9D">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4136021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3D7B366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3D8D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384" w:type="pct"/>
            <w:shd w:val="clear" w:color="auto" w:fill="auto"/>
            <w:noWrap/>
            <w:vAlign w:val="center"/>
          </w:tcPr>
          <w:p w14:paraId="182A71E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50</w:t>
            </w:r>
          </w:p>
        </w:tc>
        <w:tc>
          <w:tcPr>
            <w:tcW w:w="381" w:type="pct"/>
            <w:shd w:val="clear" w:color="auto" w:fill="auto"/>
            <w:vAlign w:val="center"/>
          </w:tcPr>
          <w:p w14:paraId="45C3033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边台水槽柜1</w:t>
            </w:r>
          </w:p>
        </w:tc>
        <w:tc>
          <w:tcPr>
            <w:tcW w:w="783" w:type="pct"/>
            <w:shd w:val="clear" w:color="auto" w:fill="auto"/>
            <w:vAlign w:val="center"/>
          </w:tcPr>
          <w:p w14:paraId="6BDF30B6">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21055" cy="733425"/>
                  <wp:effectExtent l="0" t="0" r="5715" b="0"/>
                  <wp:docPr id="63" name="图片 63" descr="边台水槽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边台水槽柜"/>
                          <pic:cNvPicPr>
                            <a:picLocks noChangeAspect="1"/>
                          </pic:cNvPicPr>
                        </pic:nvPicPr>
                        <pic:blipFill>
                          <a:blip r:embed="rId10"/>
                          <a:stretch>
                            <a:fillRect/>
                          </a:stretch>
                        </pic:blipFill>
                        <pic:spPr>
                          <a:xfrm>
                            <a:off x="0" y="0"/>
                            <a:ext cx="821055" cy="733425"/>
                          </a:xfrm>
                          <a:prstGeom prst="rect">
                            <a:avLst/>
                          </a:prstGeom>
                        </pic:spPr>
                      </pic:pic>
                    </a:graphicData>
                  </a:graphic>
                </wp:inline>
              </w:drawing>
            </w:r>
          </w:p>
        </w:tc>
        <w:tc>
          <w:tcPr>
            <w:tcW w:w="2826" w:type="pct"/>
            <w:shd w:val="clear" w:color="auto" w:fill="auto"/>
            <w:vAlign w:val="center"/>
          </w:tcPr>
          <w:p w14:paraId="07150DEC">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1000*750*850</w:t>
            </w:r>
            <w:r>
              <w:rPr>
                <w:rFonts w:hint="eastAsia" w:ascii="宋体" w:hAnsi="宋体" w:eastAsia="宋体" w:cs="宋体"/>
                <w:color w:val="auto"/>
                <w:kern w:val="0"/>
                <w:sz w:val="21"/>
                <w:szCs w:val="21"/>
                <w:highlight w:val="none"/>
                <w:lang w:val="en-US" w:eastAsia="zh-CN" w:bidi="ar"/>
              </w:rPr>
              <w:t>mm</w:t>
            </w:r>
          </w:p>
          <w:p w14:paraId="6A79F1CA">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1、落地全钢结构，台面国产20mm陶瓷板台面，台面耐酸碱、耐腐蚀</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2、柜体采用1.0mm厚度</w:t>
            </w:r>
            <w:r>
              <w:rPr>
                <w:rFonts w:hint="eastAsia" w:ascii="宋体" w:hAnsi="宋体" w:eastAsia="宋体" w:cs="宋体"/>
                <w:color w:val="auto"/>
                <w:kern w:val="0"/>
                <w:sz w:val="21"/>
                <w:szCs w:val="21"/>
                <w:highlight w:val="none"/>
                <w:lang w:eastAsia="zh-CN" w:bidi="ar"/>
              </w:rPr>
              <w:t>一级冷轧钢</w:t>
            </w:r>
            <w:r>
              <w:rPr>
                <w:rFonts w:hint="eastAsia" w:ascii="宋体" w:hAnsi="宋体" w:eastAsia="宋体" w:cs="宋体"/>
                <w:color w:val="auto"/>
                <w:kern w:val="0"/>
                <w:sz w:val="21"/>
                <w:szCs w:val="21"/>
                <w:highlight w:val="none"/>
                <w:lang w:bidi="ar"/>
              </w:rPr>
              <w:t>经数控剪板数控冲压数控折弯,焊接等一系列程序成型,表面经酸洗磷化后啧涂环氧树脂粉末</w:t>
            </w:r>
            <w:r>
              <w:rPr>
                <w:rFonts w:hint="eastAsia" w:ascii="宋体" w:hAnsi="宋体" w:eastAsia="宋体" w:cs="宋体"/>
                <w:color w:val="auto"/>
                <w:kern w:val="0"/>
                <w:sz w:val="21"/>
                <w:szCs w:val="21"/>
                <w:highlight w:val="none"/>
                <w:lang w:eastAsia="zh-CN" w:bidi="ar"/>
              </w:rPr>
              <w:t>。</w:t>
            </w:r>
          </w:p>
        </w:tc>
        <w:tc>
          <w:tcPr>
            <w:tcW w:w="338" w:type="pct"/>
            <w:shd w:val="clear" w:color="auto" w:fill="auto"/>
            <w:vAlign w:val="center"/>
          </w:tcPr>
          <w:p w14:paraId="6ADB5C24">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7F8E6F4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103</w:t>
            </w:r>
          </w:p>
        </w:tc>
      </w:tr>
      <w:tr w14:paraId="6B60C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7" w:hRule="atLeast"/>
        </w:trPr>
        <w:tc>
          <w:tcPr>
            <w:tcW w:w="384" w:type="pct"/>
            <w:shd w:val="clear" w:color="auto" w:fill="auto"/>
            <w:noWrap/>
            <w:vAlign w:val="center"/>
          </w:tcPr>
          <w:p w14:paraId="259D7D51">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51</w:t>
            </w:r>
          </w:p>
        </w:tc>
        <w:tc>
          <w:tcPr>
            <w:tcW w:w="381" w:type="pct"/>
            <w:shd w:val="clear" w:color="auto" w:fill="auto"/>
            <w:vAlign w:val="center"/>
          </w:tcPr>
          <w:p w14:paraId="27A163A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边台水槽柜2</w:t>
            </w:r>
          </w:p>
        </w:tc>
        <w:tc>
          <w:tcPr>
            <w:tcW w:w="783" w:type="pct"/>
            <w:shd w:val="clear" w:color="auto" w:fill="auto"/>
            <w:vAlign w:val="center"/>
          </w:tcPr>
          <w:p w14:paraId="2CA1479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11488" behindDoc="0" locked="0" layoutInCell="1" allowOverlap="1">
                  <wp:simplePos x="0" y="0"/>
                  <wp:positionH relativeFrom="column">
                    <wp:posOffset>0</wp:posOffset>
                  </wp:positionH>
                  <wp:positionV relativeFrom="paragraph">
                    <wp:posOffset>3810</wp:posOffset>
                  </wp:positionV>
                  <wp:extent cx="821055" cy="733425"/>
                  <wp:effectExtent l="0" t="0" r="5715" b="0"/>
                  <wp:wrapSquare wrapText="bothSides"/>
                  <wp:docPr id="64" name="图片 64" descr="边台水槽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边台水槽柜"/>
                          <pic:cNvPicPr>
                            <a:picLocks noChangeAspect="1"/>
                          </pic:cNvPicPr>
                        </pic:nvPicPr>
                        <pic:blipFill>
                          <a:blip r:embed="rId10"/>
                          <a:stretch>
                            <a:fillRect/>
                          </a:stretch>
                        </pic:blipFill>
                        <pic:spPr>
                          <a:xfrm>
                            <a:off x="0" y="0"/>
                            <a:ext cx="821055" cy="733425"/>
                          </a:xfrm>
                          <a:prstGeom prst="rect">
                            <a:avLst/>
                          </a:prstGeom>
                        </pic:spPr>
                      </pic:pic>
                    </a:graphicData>
                  </a:graphic>
                </wp:anchor>
              </w:drawing>
            </w:r>
          </w:p>
        </w:tc>
        <w:tc>
          <w:tcPr>
            <w:tcW w:w="2826" w:type="pct"/>
            <w:shd w:val="clear" w:color="auto" w:fill="auto"/>
            <w:vAlign w:val="center"/>
          </w:tcPr>
          <w:p w14:paraId="1F8CBD07">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1000*900*850</w:t>
            </w:r>
            <w:r>
              <w:rPr>
                <w:rFonts w:hint="eastAsia" w:ascii="宋体" w:hAnsi="宋体" w:eastAsia="宋体" w:cs="宋体"/>
                <w:color w:val="auto"/>
                <w:kern w:val="0"/>
                <w:sz w:val="21"/>
                <w:szCs w:val="21"/>
                <w:highlight w:val="none"/>
                <w:lang w:val="en-US" w:eastAsia="zh-CN" w:bidi="ar"/>
              </w:rPr>
              <w:t>mm</w:t>
            </w:r>
          </w:p>
          <w:p w14:paraId="4AAFE6D2">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1、落地全钢结构，台面国产20mm陶瓷板台面，台面耐酸碱、耐腐蚀</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2、柜体采用1.0mm厚度</w:t>
            </w:r>
            <w:r>
              <w:rPr>
                <w:rFonts w:hint="eastAsia" w:ascii="宋体" w:hAnsi="宋体" w:eastAsia="宋体" w:cs="宋体"/>
                <w:color w:val="auto"/>
                <w:kern w:val="0"/>
                <w:sz w:val="21"/>
                <w:szCs w:val="21"/>
                <w:highlight w:val="none"/>
                <w:lang w:eastAsia="zh-CN" w:bidi="ar"/>
              </w:rPr>
              <w:t>一级冷轧钢</w:t>
            </w:r>
            <w:r>
              <w:rPr>
                <w:rFonts w:hint="eastAsia" w:ascii="宋体" w:hAnsi="宋体" w:eastAsia="宋体" w:cs="宋体"/>
                <w:color w:val="auto"/>
                <w:kern w:val="0"/>
                <w:sz w:val="21"/>
                <w:szCs w:val="21"/>
                <w:highlight w:val="none"/>
                <w:lang w:bidi="ar"/>
              </w:rPr>
              <w:t>经数控剪板数控冲压数控折弯,焊接等一系列程序成型,表面经酸洗磷化后啧涂环氧树脂粉末</w:t>
            </w:r>
            <w:r>
              <w:rPr>
                <w:rFonts w:hint="eastAsia" w:ascii="宋体" w:hAnsi="宋体" w:eastAsia="宋体" w:cs="宋体"/>
                <w:color w:val="auto"/>
                <w:kern w:val="0"/>
                <w:sz w:val="21"/>
                <w:szCs w:val="21"/>
                <w:highlight w:val="none"/>
                <w:lang w:eastAsia="zh-CN" w:bidi="ar"/>
              </w:rPr>
              <w:t>。</w:t>
            </w:r>
          </w:p>
        </w:tc>
        <w:tc>
          <w:tcPr>
            <w:tcW w:w="338" w:type="pct"/>
            <w:shd w:val="clear" w:color="auto" w:fill="auto"/>
            <w:vAlign w:val="center"/>
          </w:tcPr>
          <w:p w14:paraId="42D188C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25A50B3D">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19</w:t>
            </w:r>
          </w:p>
        </w:tc>
      </w:tr>
      <w:tr w14:paraId="0584A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3" w:hRule="atLeast"/>
        </w:trPr>
        <w:tc>
          <w:tcPr>
            <w:tcW w:w="384" w:type="pct"/>
            <w:shd w:val="clear" w:color="auto" w:fill="auto"/>
            <w:noWrap/>
            <w:vAlign w:val="center"/>
          </w:tcPr>
          <w:p w14:paraId="12610B4F">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52</w:t>
            </w:r>
          </w:p>
        </w:tc>
        <w:tc>
          <w:tcPr>
            <w:tcW w:w="381" w:type="pct"/>
            <w:shd w:val="clear" w:color="auto" w:fill="auto"/>
            <w:vAlign w:val="center"/>
          </w:tcPr>
          <w:p w14:paraId="6773250D">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不锈钢边台1</w:t>
            </w:r>
          </w:p>
        </w:tc>
        <w:tc>
          <w:tcPr>
            <w:tcW w:w="783" w:type="pct"/>
            <w:shd w:val="clear" w:color="auto" w:fill="auto"/>
            <w:vAlign w:val="center"/>
          </w:tcPr>
          <w:p w14:paraId="391AFF92">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21055" cy="810260"/>
                  <wp:effectExtent l="0" t="0" r="5715" b="3175"/>
                  <wp:docPr id="65" name="图片 65"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边台"/>
                          <pic:cNvPicPr>
                            <a:picLocks noChangeAspect="1"/>
                          </pic:cNvPicPr>
                        </pic:nvPicPr>
                        <pic:blipFill>
                          <a:blip r:embed="rId9"/>
                          <a:stretch>
                            <a:fillRect/>
                          </a:stretch>
                        </pic:blipFill>
                        <pic:spPr>
                          <a:xfrm>
                            <a:off x="0" y="0"/>
                            <a:ext cx="821055" cy="810260"/>
                          </a:xfrm>
                          <a:prstGeom prst="rect">
                            <a:avLst/>
                          </a:prstGeom>
                        </pic:spPr>
                      </pic:pic>
                    </a:graphicData>
                  </a:graphic>
                </wp:inline>
              </w:drawing>
            </w:r>
          </w:p>
        </w:tc>
        <w:tc>
          <w:tcPr>
            <w:tcW w:w="2826" w:type="pct"/>
            <w:shd w:val="clear" w:color="auto" w:fill="auto"/>
            <w:vAlign w:val="center"/>
          </w:tcPr>
          <w:p w14:paraId="2D6954E2">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3600*750*850</w:t>
            </w:r>
            <w:r>
              <w:rPr>
                <w:rFonts w:hint="eastAsia" w:ascii="宋体" w:hAnsi="宋体" w:eastAsia="宋体" w:cs="宋体"/>
                <w:color w:val="auto"/>
                <w:kern w:val="0"/>
                <w:sz w:val="21"/>
                <w:szCs w:val="21"/>
                <w:highlight w:val="none"/>
                <w:lang w:val="en-US" w:eastAsia="zh-CN" w:bidi="ar"/>
              </w:rPr>
              <w:t>mm</w:t>
            </w:r>
          </w:p>
          <w:p w14:paraId="3E2B9AA9">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▲1.材质要求：</w:t>
            </w:r>
            <w:r>
              <w:rPr>
                <w:rFonts w:hint="eastAsia" w:ascii="宋体" w:hAnsi="宋体" w:eastAsia="宋体" w:cs="宋体"/>
                <w:color w:val="auto"/>
                <w:kern w:val="0"/>
                <w:szCs w:val="21"/>
                <w:highlight w:val="none"/>
                <w:lang w:bidi="ar"/>
              </w:rPr>
              <w:t>台面、主框架及所有外露金属构件均须采用S30408（06Cr19Ni10）奥氏体不锈钢材质</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2.结构要求：</w:t>
            </w:r>
            <w:r>
              <w:rPr>
                <w:rFonts w:hint="eastAsia" w:ascii="宋体" w:hAnsi="宋体" w:eastAsia="宋体" w:cs="宋体"/>
                <w:color w:val="auto"/>
                <w:kern w:val="0"/>
                <w:szCs w:val="21"/>
                <w:highlight w:val="none"/>
                <w:lang w:bidi="ar"/>
              </w:rPr>
              <w:t>主框架采用规格不低于38mm×38mm×1.5mm的方形不锈钢管，壁厚实测负偏差不得超过0.1mm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框架须采用满焊工艺整体焊接成型，焊缝连续、均匀，无焊瘤、气孔、咬边及未熔合等缺陷所有焊缝须经酸洗钝化处理，确保焊缝区域耐腐蚀性能与母材一致</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3.台面要求：</w:t>
            </w:r>
            <w:r>
              <w:rPr>
                <w:rFonts w:hint="eastAsia" w:ascii="宋体" w:hAnsi="宋体" w:eastAsia="宋体" w:cs="宋体"/>
                <w:color w:val="auto"/>
                <w:kern w:val="0"/>
                <w:szCs w:val="21"/>
                <w:highlight w:val="none"/>
                <w:lang w:bidi="ar"/>
              </w:rPr>
              <w:t>台面不锈钢板厚度不低于1.2mm（实厚），材质同为国家标准S30408</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台面采用全包边焊接工艺，内部填充层为环保型高密度防水阻燃板，密度≥700kg/m³，并须进行防潮密封处理，总厚度不小于25mm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台面底部须设置不锈钢加强筋，确保台面在承重100kg静载条件下，挠度（最大变形量）≤2mm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台面表面采用拉丝处理，表面粗糙度Ra≤1.6μm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台面所有边角须经圆弧过渡处理（R角≥3mm），无锐边、无毛刺，接缝严密，不易藏匿细菌，易清洁消毒。</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w:t>
            </w:r>
            <w:r>
              <w:rPr>
                <w:rFonts w:hint="eastAsia" w:ascii="宋体" w:hAnsi="宋体" w:eastAsia="宋体" w:cs="宋体"/>
                <w:color w:val="auto"/>
                <w:kern w:val="0"/>
                <w:szCs w:val="21"/>
                <w:highlight w:val="none"/>
                <w:lang w:bidi="ar"/>
              </w:rPr>
              <w:t>台脚采用S30408不锈钢管材，底脚配备M12×50mm全不锈钢可调螺丝（不得使用铁质镀铬件），调节范围不小于±30mm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脚底须配防滑、防震、耐酸碱橡胶垫片</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所有金属切口、冲孔及边缘须经去毛刺和倒角处理，确保手触平滑无刮手感</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5.不带柜体。</w:t>
            </w:r>
          </w:p>
        </w:tc>
        <w:tc>
          <w:tcPr>
            <w:tcW w:w="338" w:type="pct"/>
            <w:shd w:val="clear" w:color="auto" w:fill="auto"/>
            <w:vAlign w:val="center"/>
          </w:tcPr>
          <w:p w14:paraId="6839951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22D7940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3E2A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trPr>
        <w:tc>
          <w:tcPr>
            <w:tcW w:w="384" w:type="pct"/>
            <w:shd w:val="clear" w:color="auto" w:fill="auto"/>
            <w:noWrap/>
            <w:vAlign w:val="center"/>
          </w:tcPr>
          <w:p w14:paraId="734A969D">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53</w:t>
            </w:r>
          </w:p>
        </w:tc>
        <w:tc>
          <w:tcPr>
            <w:tcW w:w="381" w:type="pct"/>
            <w:shd w:val="clear" w:color="auto" w:fill="auto"/>
            <w:vAlign w:val="center"/>
          </w:tcPr>
          <w:p w14:paraId="1766B1D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不锈钢边台2</w:t>
            </w:r>
          </w:p>
        </w:tc>
        <w:tc>
          <w:tcPr>
            <w:tcW w:w="783" w:type="pct"/>
            <w:shd w:val="clear" w:color="auto" w:fill="auto"/>
            <w:vAlign w:val="center"/>
          </w:tcPr>
          <w:p w14:paraId="0764EF0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12512" behindDoc="0" locked="0" layoutInCell="1" allowOverlap="1">
                  <wp:simplePos x="0" y="0"/>
                  <wp:positionH relativeFrom="column">
                    <wp:posOffset>-47625</wp:posOffset>
                  </wp:positionH>
                  <wp:positionV relativeFrom="paragraph">
                    <wp:posOffset>2299335</wp:posOffset>
                  </wp:positionV>
                  <wp:extent cx="821055" cy="810260"/>
                  <wp:effectExtent l="0" t="0" r="5715" b="3175"/>
                  <wp:wrapSquare wrapText="bothSides"/>
                  <wp:docPr id="66" name="图片 66"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1D35A671">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2200*750*850</w:t>
            </w:r>
            <w:r>
              <w:rPr>
                <w:rFonts w:hint="eastAsia" w:ascii="宋体" w:hAnsi="宋体" w:eastAsia="宋体" w:cs="宋体"/>
                <w:color w:val="auto"/>
                <w:kern w:val="0"/>
                <w:sz w:val="21"/>
                <w:szCs w:val="21"/>
                <w:highlight w:val="none"/>
                <w:lang w:val="en-US" w:eastAsia="zh-CN" w:bidi="ar"/>
              </w:rPr>
              <w:t>mm</w:t>
            </w:r>
          </w:p>
          <w:p w14:paraId="5F6AA05A">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▲1.材质要求：</w:t>
            </w:r>
            <w:r>
              <w:rPr>
                <w:rFonts w:hint="eastAsia" w:ascii="宋体" w:hAnsi="宋体" w:eastAsia="宋体" w:cs="宋体"/>
                <w:color w:val="auto"/>
                <w:kern w:val="0"/>
                <w:szCs w:val="21"/>
                <w:highlight w:val="none"/>
                <w:lang w:bidi="ar"/>
              </w:rPr>
              <w:t>台面、主框架及所有外露金属构件均须采用S30408（06Cr19Ni10）奥氏体不锈钢材质</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2.结构要求：</w:t>
            </w:r>
            <w:r>
              <w:rPr>
                <w:rFonts w:hint="eastAsia" w:ascii="宋体" w:hAnsi="宋体" w:eastAsia="宋体" w:cs="宋体"/>
                <w:color w:val="auto"/>
                <w:kern w:val="0"/>
                <w:szCs w:val="21"/>
                <w:highlight w:val="none"/>
                <w:lang w:bidi="ar"/>
              </w:rPr>
              <w:t>主框架采用规格不低于38mm×38mm×1.5mm的方形不锈钢管，壁厚实测负偏差不得超过0.1mm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框架须采用满焊工艺整体焊接成型，焊缝连续、均匀，无焊瘤、气孔、咬边及未熔合等缺陷所有焊缝须经酸洗钝化处理，确保焊缝区域耐腐蚀性能与母材一致</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3.台面要求：</w:t>
            </w:r>
            <w:r>
              <w:rPr>
                <w:rFonts w:hint="eastAsia" w:ascii="宋体" w:hAnsi="宋体" w:eastAsia="宋体" w:cs="宋体"/>
                <w:color w:val="auto"/>
                <w:kern w:val="0"/>
                <w:szCs w:val="21"/>
                <w:highlight w:val="none"/>
                <w:lang w:bidi="ar"/>
              </w:rPr>
              <w:t>台面不锈钢板厚度不低于1.2mm（实厚），材质同为国家标准S30408</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台面采用全包边焊接工艺，内部填充层为环保型高密度防水阻燃板，密度≥700kg/m³，并须进行防潮密封处理，总厚度不小于25mm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台面底部须设置不锈钢加强筋，确保台面在承重100kg静载条件下，挠度（最大变形量）≤2mm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台面表面采用拉丝处理，表面粗糙度Ra≤1.6μm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台面所有边角须经圆弧过渡处理（R角≥3mm），无锐边、无毛刺，接缝严密，不易藏匿细菌，易清洁消毒。</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w:t>
            </w:r>
            <w:r>
              <w:rPr>
                <w:rFonts w:hint="eastAsia" w:ascii="宋体" w:hAnsi="宋体" w:eastAsia="宋体" w:cs="宋体"/>
                <w:color w:val="auto"/>
                <w:kern w:val="0"/>
                <w:szCs w:val="21"/>
                <w:highlight w:val="none"/>
                <w:lang w:bidi="ar"/>
              </w:rPr>
              <w:t>台脚采用S30408不锈钢管材，底脚配备M12×50mm全不锈钢可调螺丝（不得使用铁质镀铬件），调节范围不小于±30mm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脚底须配防滑、防震、耐酸碱橡胶垫片</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所有金属切口、冲孔及边缘须经去毛刺和倒角处理，确保手触平滑无刮手感</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5.不带柜体。</w:t>
            </w:r>
          </w:p>
        </w:tc>
        <w:tc>
          <w:tcPr>
            <w:tcW w:w="338" w:type="pct"/>
            <w:shd w:val="clear" w:color="auto" w:fill="auto"/>
            <w:vAlign w:val="center"/>
          </w:tcPr>
          <w:p w14:paraId="2C28294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5DA3BC5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6DF6A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trPr>
        <w:tc>
          <w:tcPr>
            <w:tcW w:w="384" w:type="pct"/>
            <w:shd w:val="clear" w:color="auto" w:fill="auto"/>
            <w:noWrap/>
            <w:vAlign w:val="center"/>
          </w:tcPr>
          <w:p w14:paraId="1947F361">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54</w:t>
            </w:r>
          </w:p>
        </w:tc>
        <w:tc>
          <w:tcPr>
            <w:tcW w:w="381" w:type="pct"/>
            <w:shd w:val="clear" w:color="auto" w:fill="auto"/>
            <w:vAlign w:val="center"/>
          </w:tcPr>
          <w:p w14:paraId="6D42E62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不锈钢边台3</w:t>
            </w:r>
          </w:p>
        </w:tc>
        <w:tc>
          <w:tcPr>
            <w:tcW w:w="783" w:type="pct"/>
            <w:shd w:val="clear" w:color="auto" w:fill="auto"/>
            <w:vAlign w:val="center"/>
          </w:tcPr>
          <w:p w14:paraId="250FC8E4">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13536" behindDoc="0" locked="0" layoutInCell="1" allowOverlap="1">
                  <wp:simplePos x="0" y="0"/>
                  <wp:positionH relativeFrom="column">
                    <wp:posOffset>152400</wp:posOffset>
                  </wp:positionH>
                  <wp:positionV relativeFrom="paragraph">
                    <wp:posOffset>-1907540</wp:posOffset>
                  </wp:positionV>
                  <wp:extent cx="821055" cy="810260"/>
                  <wp:effectExtent l="0" t="0" r="5715" b="3175"/>
                  <wp:wrapSquare wrapText="bothSides"/>
                  <wp:docPr id="67" name="图片 67"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19042292">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1500*750*850</w:t>
            </w:r>
            <w:r>
              <w:rPr>
                <w:rFonts w:hint="eastAsia" w:ascii="宋体" w:hAnsi="宋体" w:eastAsia="宋体" w:cs="宋体"/>
                <w:color w:val="auto"/>
                <w:kern w:val="0"/>
                <w:sz w:val="21"/>
                <w:szCs w:val="21"/>
                <w:highlight w:val="none"/>
                <w:lang w:val="en-US" w:eastAsia="zh-CN" w:bidi="ar"/>
              </w:rPr>
              <w:t>mm</w:t>
            </w:r>
          </w:p>
          <w:p w14:paraId="4062C18D">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▲1.材质要求：</w:t>
            </w:r>
            <w:r>
              <w:rPr>
                <w:rFonts w:hint="eastAsia" w:ascii="宋体" w:hAnsi="宋体" w:eastAsia="宋体" w:cs="宋体"/>
                <w:color w:val="auto"/>
                <w:kern w:val="0"/>
                <w:szCs w:val="21"/>
                <w:highlight w:val="none"/>
                <w:lang w:bidi="ar"/>
              </w:rPr>
              <w:t>台面、主框架及所有外露金属构件均须采用S30408（06Cr19Ni10）奥氏体不锈钢材质</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2.结构要求：</w:t>
            </w:r>
            <w:r>
              <w:rPr>
                <w:rFonts w:hint="eastAsia" w:ascii="宋体" w:hAnsi="宋体" w:eastAsia="宋体" w:cs="宋体"/>
                <w:color w:val="auto"/>
                <w:kern w:val="0"/>
                <w:szCs w:val="21"/>
                <w:highlight w:val="none"/>
                <w:lang w:bidi="ar"/>
              </w:rPr>
              <w:t>主框架采用规格不低于38mm×38mm×1.5mm的方形不锈钢管，壁厚实测负偏差不得超过0.1mm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框架须采用满焊工艺整体焊接成型，焊缝连续、均匀，无焊瘤、气孔、咬边及未熔合等缺陷所有焊缝须经酸洗钝化处理，确保焊缝区域耐腐蚀性能与母材一致</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3.台面要求：</w:t>
            </w:r>
            <w:r>
              <w:rPr>
                <w:rFonts w:hint="eastAsia" w:ascii="宋体" w:hAnsi="宋体" w:eastAsia="宋体" w:cs="宋体"/>
                <w:color w:val="auto"/>
                <w:kern w:val="0"/>
                <w:szCs w:val="21"/>
                <w:highlight w:val="none"/>
                <w:lang w:bidi="ar"/>
              </w:rPr>
              <w:t>台面不锈钢板厚度不低于1.2mm（实厚），材质同为国家标准S30408</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台面采用全包边焊接工艺，内部填充层为环保型高密度防水阻燃板，密度≥700kg/m³，并须进行防潮密封处理，总厚度不小于25mm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台面底部须设置不锈钢加强筋，确保台面在承重100kg静载条件下，挠度（最大变形量）≤2mm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台面表面采用拉丝处理，表面粗糙度Ra≤1.6μm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台面所有边角须经圆弧过渡处理（R角≥3mm），无锐边、无毛刺，接缝严密，不易藏匿细菌，易清洁消毒。</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w:t>
            </w:r>
            <w:r>
              <w:rPr>
                <w:rFonts w:hint="eastAsia" w:ascii="宋体" w:hAnsi="宋体" w:eastAsia="宋体" w:cs="宋体"/>
                <w:color w:val="auto"/>
                <w:kern w:val="0"/>
                <w:szCs w:val="21"/>
                <w:highlight w:val="none"/>
                <w:lang w:bidi="ar"/>
              </w:rPr>
              <w:t>台脚采用S30408不锈钢管材，底脚配备M12×50mm全不锈钢可调螺丝（不得使用铁质镀铬件），调节范围不小于±30mm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脚底须配防滑、防震、耐酸碱橡胶垫片</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所有金属切口、冲孔及边缘须经去毛刺和倒角处理，确保手触平滑无刮手感</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5.不带柜体。</w:t>
            </w:r>
          </w:p>
        </w:tc>
        <w:tc>
          <w:tcPr>
            <w:tcW w:w="338" w:type="pct"/>
            <w:shd w:val="clear" w:color="auto" w:fill="auto"/>
            <w:vAlign w:val="center"/>
          </w:tcPr>
          <w:p w14:paraId="1A54073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6AFEE54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14:paraId="1605C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384" w:type="pct"/>
            <w:shd w:val="clear" w:color="auto" w:fill="auto"/>
            <w:noWrap/>
            <w:vAlign w:val="center"/>
          </w:tcPr>
          <w:p w14:paraId="01E19733">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55</w:t>
            </w:r>
          </w:p>
        </w:tc>
        <w:tc>
          <w:tcPr>
            <w:tcW w:w="381" w:type="pct"/>
            <w:shd w:val="clear" w:color="auto" w:fill="auto"/>
            <w:vAlign w:val="center"/>
          </w:tcPr>
          <w:p w14:paraId="3FFE1DB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不锈钢边台4</w:t>
            </w:r>
          </w:p>
        </w:tc>
        <w:tc>
          <w:tcPr>
            <w:tcW w:w="783" w:type="pct"/>
            <w:shd w:val="clear" w:color="auto" w:fill="auto"/>
            <w:vAlign w:val="center"/>
          </w:tcPr>
          <w:p w14:paraId="712C017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14560" behindDoc="0" locked="0" layoutInCell="1" allowOverlap="1">
                  <wp:simplePos x="0" y="0"/>
                  <wp:positionH relativeFrom="column">
                    <wp:posOffset>13335</wp:posOffset>
                  </wp:positionH>
                  <wp:positionV relativeFrom="paragraph">
                    <wp:posOffset>2209800</wp:posOffset>
                  </wp:positionV>
                  <wp:extent cx="821055" cy="810260"/>
                  <wp:effectExtent l="0" t="0" r="5715" b="3175"/>
                  <wp:wrapSquare wrapText="bothSides"/>
                  <wp:docPr id="68" name="图片 68"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63951383">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2300*750*850</w:t>
            </w:r>
            <w:r>
              <w:rPr>
                <w:rFonts w:hint="eastAsia" w:ascii="宋体" w:hAnsi="宋体" w:eastAsia="宋体" w:cs="宋体"/>
                <w:color w:val="auto"/>
                <w:kern w:val="0"/>
                <w:sz w:val="21"/>
                <w:szCs w:val="21"/>
                <w:highlight w:val="none"/>
                <w:lang w:val="en-US" w:eastAsia="zh-CN" w:bidi="ar"/>
              </w:rPr>
              <w:t>mm</w:t>
            </w:r>
          </w:p>
          <w:p w14:paraId="587F8706">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▲1.材质要求：</w:t>
            </w:r>
            <w:r>
              <w:rPr>
                <w:rFonts w:hint="eastAsia" w:ascii="宋体" w:hAnsi="宋体" w:eastAsia="宋体" w:cs="宋体"/>
                <w:color w:val="auto"/>
                <w:kern w:val="0"/>
                <w:szCs w:val="21"/>
                <w:highlight w:val="none"/>
                <w:lang w:bidi="ar"/>
              </w:rPr>
              <w:t>台面、主框架及所有外露金属构件均须采用S30408（06Cr19Ni10）奥氏体不锈钢材质</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2.结构要求：</w:t>
            </w:r>
            <w:r>
              <w:rPr>
                <w:rFonts w:hint="eastAsia" w:ascii="宋体" w:hAnsi="宋体" w:eastAsia="宋体" w:cs="宋体"/>
                <w:color w:val="auto"/>
                <w:kern w:val="0"/>
                <w:szCs w:val="21"/>
                <w:highlight w:val="none"/>
                <w:lang w:bidi="ar"/>
              </w:rPr>
              <w:t>主框架采用规格不低于38mm×38mm×1.5mm的方形不锈钢管，壁厚实测负偏差不得超过0.1mm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框架须采用满焊工艺整体焊接成型，焊缝连续、均匀，无焊瘤、气孔、咬边及未熔合等缺陷所有焊缝须经酸洗钝化处理，确保焊缝区域耐腐蚀性能与母材一致</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3.台面要求：</w:t>
            </w:r>
            <w:r>
              <w:rPr>
                <w:rFonts w:hint="eastAsia" w:ascii="宋体" w:hAnsi="宋体" w:eastAsia="宋体" w:cs="宋体"/>
                <w:color w:val="auto"/>
                <w:kern w:val="0"/>
                <w:szCs w:val="21"/>
                <w:highlight w:val="none"/>
                <w:lang w:bidi="ar"/>
              </w:rPr>
              <w:t>台面不锈钢板厚度不低于1.2mm（实厚），材质同为国家标准S30408</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台面采用全包边焊接工艺，内部填充层为环保型高密度防水阻燃板，密度≥700kg/m³，并须进行防潮密封处理，总厚度不小于25mm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台面底部须设置不锈钢加强筋，确保台面在承重100kg静载条件下，挠度（最大变形量）≤2mm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台面表面采用拉丝处理，表面粗糙度Ra≤1.6μm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台面所有边角须经圆弧过渡处理（R角≥3mm），无锐边、无毛刺，接缝严密，不易藏匿细菌，易清洁消毒。</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w:t>
            </w:r>
            <w:r>
              <w:rPr>
                <w:rFonts w:hint="eastAsia" w:ascii="宋体" w:hAnsi="宋体" w:eastAsia="宋体" w:cs="宋体"/>
                <w:color w:val="auto"/>
                <w:kern w:val="0"/>
                <w:szCs w:val="21"/>
                <w:highlight w:val="none"/>
                <w:lang w:bidi="ar"/>
              </w:rPr>
              <w:t>台脚采用S30408不锈钢管材，底脚配备M12×50mm全不锈钢可调螺丝（不得使用铁质镀铬件），调节范围不小于±30mm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脚底须配防滑、防震、耐酸碱橡胶垫片</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所有金属切口、冲孔及边缘须经去毛刺和倒角处理，确保手触平滑无刮手感</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5.不带柜体。</w:t>
            </w:r>
          </w:p>
        </w:tc>
        <w:tc>
          <w:tcPr>
            <w:tcW w:w="338" w:type="pct"/>
            <w:shd w:val="clear" w:color="auto" w:fill="auto"/>
            <w:vAlign w:val="center"/>
          </w:tcPr>
          <w:p w14:paraId="49E42DD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086E689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14:paraId="7481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6" w:hRule="atLeast"/>
        </w:trPr>
        <w:tc>
          <w:tcPr>
            <w:tcW w:w="384" w:type="pct"/>
            <w:shd w:val="clear" w:color="auto" w:fill="auto"/>
            <w:noWrap/>
            <w:vAlign w:val="center"/>
          </w:tcPr>
          <w:p w14:paraId="1821CA33">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56</w:t>
            </w:r>
          </w:p>
        </w:tc>
        <w:tc>
          <w:tcPr>
            <w:tcW w:w="381" w:type="pct"/>
            <w:shd w:val="clear" w:color="auto" w:fill="auto"/>
            <w:vAlign w:val="center"/>
          </w:tcPr>
          <w:p w14:paraId="41A571B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不锈钢边台5</w:t>
            </w:r>
          </w:p>
        </w:tc>
        <w:tc>
          <w:tcPr>
            <w:tcW w:w="783" w:type="pct"/>
            <w:shd w:val="clear" w:color="auto" w:fill="auto"/>
            <w:vAlign w:val="center"/>
          </w:tcPr>
          <w:p w14:paraId="042C434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15584" behindDoc="0" locked="0" layoutInCell="1" allowOverlap="1">
                  <wp:simplePos x="0" y="0"/>
                  <wp:positionH relativeFrom="column">
                    <wp:posOffset>-9525</wp:posOffset>
                  </wp:positionH>
                  <wp:positionV relativeFrom="paragraph">
                    <wp:posOffset>2260600</wp:posOffset>
                  </wp:positionV>
                  <wp:extent cx="821055" cy="810260"/>
                  <wp:effectExtent l="0" t="0" r="5715" b="3175"/>
                  <wp:wrapSquare wrapText="bothSides"/>
                  <wp:docPr id="69" name="图片 69"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3D2ED1AA">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1300*750*850</w:t>
            </w:r>
            <w:r>
              <w:rPr>
                <w:rFonts w:hint="eastAsia" w:ascii="宋体" w:hAnsi="宋体" w:eastAsia="宋体" w:cs="宋体"/>
                <w:color w:val="auto"/>
                <w:kern w:val="0"/>
                <w:sz w:val="21"/>
                <w:szCs w:val="21"/>
                <w:highlight w:val="none"/>
                <w:lang w:val="en-US" w:eastAsia="zh-CN" w:bidi="ar"/>
              </w:rPr>
              <w:t>mm</w:t>
            </w:r>
          </w:p>
          <w:p w14:paraId="72769FEF">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▲1.材质要求：</w:t>
            </w:r>
            <w:r>
              <w:rPr>
                <w:rFonts w:hint="eastAsia" w:ascii="宋体" w:hAnsi="宋体" w:eastAsia="宋体" w:cs="宋体"/>
                <w:color w:val="auto"/>
                <w:kern w:val="0"/>
                <w:szCs w:val="21"/>
                <w:highlight w:val="none"/>
                <w:lang w:bidi="ar"/>
              </w:rPr>
              <w:t>台面、主框架及所有外露金属构件均须采用S30408（06Cr19Ni10）奥氏体不锈钢材质</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2.结构要求：</w:t>
            </w:r>
            <w:r>
              <w:rPr>
                <w:rFonts w:hint="eastAsia" w:ascii="宋体" w:hAnsi="宋体" w:eastAsia="宋体" w:cs="宋体"/>
                <w:color w:val="auto"/>
                <w:kern w:val="0"/>
                <w:szCs w:val="21"/>
                <w:highlight w:val="none"/>
                <w:lang w:bidi="ar"/>
              </w:rPr>
              <w:t>主框架采用规格不低于38mm×38mm×1.5mm的方形不锈钢管，壁厚实测负偏差不得超过0.1mm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框架须采用满焊工艺整体焊接成型，焊缝连续、均匀，无焊瘤、气孔、咬边及未熔合等缺陷所有焊缝须经酸洗钝化处理，确保焊缝区域耐腐蚀性能与母材一致</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3.台面要求：</w:t>
            </w:r>
            <w:r>
              <w:rPr>
                <w:rFonts w:hint="eastAsia" w:ascii="宋体" w:hAnsi="宋体" w:eastAsia="宋体" w:cs="宋体"/>
                <w:color w:val="auto"/>
                <w:kern w:val="0"/>
                <w:szCs w:val="21"/>
                <w:highlight w:val="none"/>
                <w:lang w:bidi="ar"/>
              </w:rPr>
              <w:t>台面不锈钢板厚度不低于1.2mm（实厚），材质同为国家标准S30408</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台面采用全包边焊接工艺，内部填充层为环保型高密度防水阻燃板，密度≥700kg/m³，并须进行防潮密封处理，总厚度不小于25mm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台面底部须设置不锈钢加强筋，确保台面在承重100kg静载条件下，挠度（最大变形量）≤2mm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台面表面采用拉丝处理，表面粗糙度Ra≤1.6μm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台面所有边角须经圆弧过渡处理（R角≥3mm），无锐边、无毛刺，接缝严密，不易藏匿细菌，易清洁消毒。</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w:t>
            </w:r>
            <w:r>
              <w:rPr>
                <w:rFonts w:hint="eastAsia" w:ascii="宋体" w:hAnsi="宋体" w:eastAsia="宋体" w:cs="宋体"/>
                <w:color w:val="auto"/>
                <w:kern w:val="0"/>
                <w:szCs w:val="21"/>
                <w:highlight w:val="none"/>
                <w:lang w:bidi="ar"/>
              </w:rPr>
              <w:t>台脚采用S30408不锈钢管材，底脚配备M12×50mm全不锈钢可调螺丝（不得使用铁质镀铬件），调节范围不小于±30mm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脚底须配防滑、防震、耐酸碱橡胶垫片</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所有金属切口、冲孔及边缘须经去毛刺和倒角处理，确保手触平滑无刮手感</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5.不带柜体。</w:t>
            </w:r>
          </w:p>
        </w:tc>
        <w:tc>
          <w:tcPr>
            <w:tcW w:w="338" w:type="pct"/>
            <w:shd w:val="clear" w:color="auto" w:fill="auto"/>
            <w:vAlign w:val="center"/>
          </w:tcPr>
          <w:p w14:paraId="2D7369C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2175A03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14:paraId="3AA31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0" w:hRule="atLeast"/>
        </w:trPr>
        <w:tc>
          <w:tcPr>
            <w:tcW w:w="384" w:type="pct"/>
            <w:shd w:val="clear" w:color="auto" w:fill="auto"/>
            <w:noWrap/>
            <w:vAlign w:val="center"/>
          </w:tcPr>
          <w:p w14:paraId="5E9EFE0F">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57</w:t>
            </w:r>
          </w:p>
        </w:tc>
        <w:tc>
          <w:tcPr>
            <w:tcW w:w="381" w:type="pct"/>
            <w:shd w:val="clear" w:color="auto" w:fill="auto"/>
            <w:vAlign w:val="center"/>
          </w:tcPr>
          <w:p w14:paraId="0C62CB74">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不锈钢边台6</w:t>
            </w:r>
          </w:p>
        </w:tc>
        <w:tc>
          <w:tcPr>
            <w:tcW w:w="783" w:type="pct"/>
            <w:shd w:val="clear" w:color="auto" w:fill="auto"/>
            <w:vAlign w:val="center"/>
          </w:tcPr>
          <w:p w14:paraId="657D89A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16608" behindDoc="0" locked="0" layoutInCell="1" allowOverlap="1">
                  <wp:simplePos x="0" y="0"/>
                  <wp:positionH relativeFrom="column">
                    <wp:posOffset>-28575</wp:posOffset>
                  </wp:positionH>
                  <wp:positionV relativeFrom="paragraph">
                    <wp:posOffset>717550</wp:posOffset>
                  </wp:positionV>
                  <wp:extent cx="821055" cy="810260"/>
                  <wp:effectExtent l="0" t="0" r="5715" b="3175"/>
                  <wp:wrapSquare wrapText="bothSides"/>
                  <wp:docPr id="70" name="图片 70"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219B1E22">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1400*750*850</w:t>
            </w:r>
            <w:r>
              <w:rPr>
                <w:rFonts w:hint="eastAsia" w:ascii="宋体" w:hAnsi="宋体" w:eastAsia="宋体" w:cs="宋体"/>
                <w:color w:val="auto"/>
                <w:kern w:val="0"/>
                <w:sz w:val="21"/>
                <w:szCs w:val="21"/>
                <w:highlight w:val="none"/>
                <w:lang w:val="en-US" w:eastAsia="zh-CN" w:bidi="ar"/>
              </w:rPr>
              <w:t>mm</w:t>
            </w:r>
          </w:p>
          <w:p w14:paraId="0372EBEA">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▲1.材质要求：</w:t>
            </w:r>
            <w:r>
              <w:rPr>
                <w:rFonts w:hint="eastAsia" w:ascii="宋体" w:hAnsi="宋体" w:eastAsia="宋体" w:cs="宋体"/>
                <w:color w:val="auto"/>
                <w:kern w:val="0"/>
                <w:szCs w:val="21"/>
                <w:highlight w:val="none"/>
                <w:lang w:bidi="ar"/>
              </w:rPr>
              <w:t>台面、主框架及所有外露金属构件均须采用S30408（06Cr19Ni10）奥氏体不锈钢材质</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2.结构要求：</w:t>
            </w:r>
            <w:r>
              <w:rPr>
                <w:rFonts w:hint="eastAsia" w:ascii="宋体" w:hAnsi="宋体" w:eastAsia="宋体" w:cs="宋体"/>
                <w:color w:val="auto"/>
                <w:kern w:val="0"/>
                <w:szCs w:val="21"/>
                <w:highlight w:val="none"/>
                <w:lang w:bidi="ar"/>
              </w:rPr>
              <w:t>主框架采用规格不低于38mm×38mm×1.5mm的方形不锈钢管，壁厚实测负偏差不得超过0.1mm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框架须采用满焊工艺整体焊接成型，焊缝连续、均匀，无焊瘤、气孔、咬边及未熔合等缺陷所有焊缝须经酸洗钝化处理，确保焊缝区域耐腐蚀性能与母材一致</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3.台面要求：</w:t>
            </w:r>
            <w:r>
              <w:rPr>
                <w:rFonts w:hint="eastAsia" w:ascii="宋体" w:hAnsi="宋体" w:eastAsia="宋体" w:cs="宋体"/>
                <w:color w:val="auto"/>
                <w:kern w:val="0"/>
                <w:szCs w:val="21"/>
                <w:highlight w:val="none"/>
                <w:lang w:bidi="ar"/>
              </w:rPr>
              <w:t>台面不锈钢板厚度不低于1.2mm（实厚），材质同为国家标准S30408</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台面采用全包边焊接工艺，内部填充层为环保型高密度防水阻燃板，密度≥700kg/m³，并须进行防潮密封处理，总厚度不小于25mm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台面底部须设置不锈钢加强筋，确保台面在承重100kg静载条件下，挠度（最大变形量）≤2mm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台面表面采用拉丝处理，表面粗糙度Ra≤1.6μm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台面所有边角须经圆弧过渡处理（R角≥3mm），无锐边、无毛刺，接缝严密，不易藏匿细菌，易清洁消毒。</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w:t>
            </w:r>
            <w:r>
              <w:rPr>
                <w:rFonts w:hint="eastAsia" w:ascii="宋体" w:hAnsi="宋体" w:eastAsia="宋体" w:cs="宋体"/>
                <w:color w:val="auto"/>
                <w:kern w:val="0"/>
                <w:szCs w:val="21"/>
                <w:highlight w:val="none"/>
                <w:lang w:bidi="ar"/>
              </w:rPr>
              <w:t>台脚采用S30408不锈钢管材，底脚配备M12×50mm全不锈钢可调螺丝（不得使用铁质镀铬件），调节范围不小于±30mm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脚底须配防滑、防震、耐酸碱橡胶垫片</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所有金属切口、冲孔及边缘须经去毛刺和倒角处理，确保手触平滑无刮手感</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5.不带柜体。</w:t>
            </w:r>
          </w:p>
        </w:tc>
        <w:tc>
          <w:tcPr>
            <w:tcW w:w="338" w:type="pct"/>
            <w:shd w:val="clear" w:color="auto" w:fill="auto"/>
            <w:vAlign w:val="center"/>
          </w:tcPr>
          <w:p w14:paraId="7DC14664">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1096984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w:t>
            </w:r>
          </w:p>
        </w:tc>
      </w:tr>
      <w:tr w14:paraId="207B9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384" w:type="pct"/>
            <w:shd w:val="clear" w:color="auto" w:fill="auto"/>
            <w:noWrap/>
            <w:vAlign w:val="center"/>
          </w:tcPr>
          <w:p w14:paraId="00E4423F">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58</w:t>
            </w:r>
          </w:p>
        </w:tc>
        <w:tc>
          <w:tcPr>
            <w:tcW w:w="381" w:type="pct"/>
            <w:shd w:val="clear" w:color="auto" w:fill="auto"/>
            <w:vAlign w:val="center"/>
          </w:tcPr>
          <w:p w14:paraId="03615E2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不锈钢边台7</w:t>
            </w:r>
          </w:p>
        </w:tc>
        <w:tc>
          <w:tcPr>
            <w:tcW w:w="783" w:type="pct"/>
            <w:shd w:val="clear" w:color="auto" w:fill="auto"/>
            <w:vAlign w:val="center"/>
          </w:tcPr>
          <w:p w14:paraId="07E2215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17632" behindDoc="0" locked="0" layoutInCell="1" allowOverlap="1">
                  <wp:simplePos x="0" y="0"/>
                  <wp:positionH relativeFrom="column">
                    <wp:posOffset>53340</wp:posOffset>
                  </wp:positionH>
                  <wp:positionV relativeFrom="paragraph">
                    <wp:posOffset>2218055</wp:posOffset>
                  </wp:positionV>
                  <wp:extent cx="821055" cy="810260"/>
                  <wp:effectExtent l="0" t="0" r="5715" b="3175"/>
                  <wp:wrapSquare wrapText="bothSides"/>
                  <wp:docPr id="72" name="图片 72"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4586F547">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3000*750*850</w:t>
            </w:r>
            <w:r>
              <w:rPr>
                <w:rFonts w:hint="eastAsia" w:ascii="宋体" w:hAnsi="宋体" w:eastAsia="宋体" w:cs="宋体"/>
                <w:color w:val="auto"/>
                <w:kern w:val="0"/>
                <w:sz w:val="21"/>
                <w:szCs w:val="21"/>
                <w:highlight w:val="none"/>
                <w:lang w:val="en-US" w:eastAsia="zh-CN" w:bidi="ar"/>
              </w:rPr>
              <w:t>mm</w:t>
            </w:r>
          </w:p>
          <w:p w14:paraId="324ED261">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▲1.材质要求：</w:t>
            </w:r>
            <w:r>
              <w:rPr>
                <w:rFonts w:hint="eastAsia" w:ascii="宋体" w:hAnsi="宋体" w:eastAsia="宋体" w:cs="宋体"/>
                <w:color w:val="auto"/>
                <w:kern w:val="0"/>
                <w:szCs w:val="21"/>
                <w:highlight w:val="none"/>
                <w:lang w:bidi="ar"/>
              </w:rPr>
              <w:t>台面、主框架及所有外露金属构件均须采用S30408（06Cr19Ni10）奥氏体不锈钢材质</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2.结构要求：</w:t>
            </w:r>
            <w:r>
              <w:rPr>
                <w:rFonts w:hint="eastAsia" w:ascii="宋体" w:hAnsi="宋体" w:eastAsia="宋体" w:cs="宋体"/>
                <w:color w:val="auto"/>
                <w:kern w:val="0"/>
                <w:szCs w:val="21"/>
                <w:highlight w:val="none"/>
                <w:lang w:bidi="ar"/>
              </w:rPr>
              <w:t>主框架采用规格不低于38mm×38mm×1.5mm的方形不锈钢管，壁厚实测负偏差不得超过0.1mm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框架须采用满焊工艺整体焊接成型，焊缝连续、均匀，无焊瘤、气孔、咬边及未熔合等缺陷所有焊缝须经酸洗钝化处理，确保焊缝区域耐腐蚀性能与母材一致</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3.台面要求：</w:t>
            </w:r>
            <w:r>
              <w:rPr>
                <w:rFonts w:hint="eastAsia" w:ascii="宋体" w:hAnsi="宋体" w:eastAsia="宋体" w:cs="宋体"/>
                <w:color w:val="auto"/>
                <w:kern w:val="0"/>
                <w:szCs w:val="21"/>
                <w:highlight w:val="none"/>
                <w:lang w:bidi="ar"/>
              </w:rPr>
              <w:t>台面不锈钢板厚度不低于1.2mm（实厚），材质同为国家标准S30408</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台面采用全包边焊接工艺，内部填充层为环保型高密度防水阻燃板，密度≥700kg/m³，并须进行防潮密封处理，总厚度不小于25mm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台面底部须设置不锈钢加强筋，确保台面在承重100kg静载条件下，挠度（最大变形量）≤2mm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台面表面采用拉丝处理，表面粗糙度Ra≤1.6μm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台面所有边角须经圆弧过渡处理（R角≥3mm），无锐边、无毛刺，接缝严密，不易藏匿细菌，易清洁消毒</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w:t>
            </w:r>
            <w:r>
              <w:rPr>
                <w:rFonts w:hint="eastAsia" w:ascii="宋体" w:hAnsi="宋体" w:eastAsia="宋体" w:cs="宋体"/>
                <w:color w:val="auto"/>
                <w:kern w:val="0"/>
                <w:szCs w:val="21"/>
                <w:highlight w:val="none"/>
                <w:lang w:bidi="ar"/>
              </w:rPr>
              <w:t>台脚采用S30408不锈钢管材，底脚配备M12×50mm全不锈钢可调螺丝（不得使用铁质镀铬件），调节范围不小于±30mm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脚底须配防滑、防震、耐酸碱橡胶垫片</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所有金属切口、冲孔及边缘须经去毛刺和倒角处理，确保手触平滑无刮手感</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5.不带柜体。</w:t>
            </w:r>
          </w:p>
        </w:tc>
        <w:tc>
          <w:tcPr>
            <w:tcW w:w="338" w:type="pct"/>
            <w:shd w:val="clear" w:color="auto" w:fill="auto"/>
            <w:vAlign w:val="center"/>
          </w:tcPr>
          <w:p w14:paraId="38932D64">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32CEE82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r>
      <w:tr w14:paraId="4A87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384" w:type="pct"/>
            <w:shd w:val="clear" w:color="auto" w:fill="auto"/>
            <w:noWrap/>
            <w:vAlign w:val="center"/>
          </w:tcPr>
          <w:p w14:paraId="548482C5">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59</w:t>
            </w:r>
          </w:p>
        </w:tc>
        <w:tc>
          <w:tcPr>
            <w:tcW w:w="381" w:type="pct"/>
            <w:shd w:val="clear" w:color="auto" w:fill="auto"/>
            <w:vAlign w:val="center"/>
          </w:tcPr>
          <w:p w14:paraId="6B39D34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不锈钢边台8</w:t>
            </w:r>
          </w:p>
        </w:tc>
        <w:tc>
          <w:tcPr>
            <w:tcW w:w="783" w:type="pct"/>
            <w:shd w:val="clear" w:color="auto" w:fill="auto"/>
            <w:vAlign w:val="center"/>
          </w:tcPr>
          <w:p w14:paraId="1C4720D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18656" behindDoc="0" locked="0" layoutInCell="1" allowOverlap="1">
                  <wp:simplePos x="0" y="0"/>
                  <wp:positionH relativeFrom="column">
                    <wp:posOffset>-24765</wp:posOffset>
                  </wp:positionH>
                  <wp:positionV relativeFrom="paragraph">
                    <wp:posOffset>130175</wp:posOffset>
                  </wp:positionV>
                  <wp:extent cx="821055" cy="810260"/>
                  <wp:effectExtent l="0" t="0" r="5715" b="3175"/>
                  <wp:wrapSquare wrapText="bothSides"/>
                  <wp:docPr id="73" name="图片 73" descr="边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边台"/>
                          <pic:cNvPicPr>
                            <a:picLocks noChangeAspect="1"/>
                          </pic:cNvPicPr>
                        </pic:nvPicPr>
                        <pic:blipFill>
                          <a:blip r:embed="rId9"/>
                          <a:stretch>
                            <a:fillRect/>
                          </a:stretch>
                        </pic:blipFill>
                        <pic:spPr>
                          <a:xfrm>
                            <a:off x="0" y="0"/>
                            <a:ext cx="821055" cy="810260"/>
                          </a:xfrm>
                          <a:prstGeom prst="rect">
                            <a:avLst/>
                          </a:prstGeom>
                        </pic:spPr>
                      </pic:pic>
                    </a:graphicData>
                  </a:graphic>
                </wp:anchor>
              </w:drawing>
            </w:r>
          </w:p>
        </w:tc>
        <w:tc>
          <w:tcPr>
            <w:tcW w:w="2826" w:type="pct"/>
            <w:shd w:val="clear" w:color="auto" w:fill="auto"/>
            <w:vAlign w:val="center"/>
          </w:tcPr>
          <w:p w14:paraId="4A127888">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2800*750*850</w:t>
            </w:r>
            <w:r>
              <w:rPr>
                <w:rFonts w:hint="eastAsia" w:ascii="宋体" w:hAnsi="宋体" w:eastAsia="宋体" w:cs="宋体"/>
                <w:color w:val="auto"/>
                <w:kern w:val="0"/>
                <w:sz w:val="21"/>
                <w:szCs w:val="21"/>
                <w:highlight w:val="none"/>
                <w:lang w:val="en-US" w:eastAsia="zh-CN" w:bidi="ar"/>
              </w:rPr>
              <w:t>mm</w:t>
            </w:r>
          </w:p>
          <w:p w14:paraId="1C22F4F0">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▲1.材质要求：</w:t>
            </w:r>
            <w:r>
              <w:rPr>
                <w:rFonts w:hint="eastAsia" w:ascii="宋体" w:hAnsi="宋体" w:eastAsia="宋体" w:cs="宋体"/>
                <w:color w:val="auto"/>
                <w:kern w:val="0"/>
                <w:szCs w:val="21"/>
                <w:highlight w:val="none"/>
                <w:lang w:bidi="ar"/>
              </w:rPr>
              <w:t>台面、主框架及所有外露金属构件均须采用S30408（06Cr19Ni10）奥氏体不锈钢材质</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2.结构要求：</w:t>
            </w:r>
            <w:r>
              <w:rPr>
                <w:rFonts w:hint="eastAsia" w:ascii="宋体" w:hAnsi="宋体" w:eastAsia="宋体" w:cs="宋体"/>
                <w:color w:val="auto"/>
                <w:kern w:val="0"/>
                <w:szCs w:val="21"/>
                <w:highlight w:val="none"/>
                <w:lang w:bidi="ar"/>
              </w:rPr>
              <w:t>主框架采用规格不低于38mm×38mm×1.5mm的方形不锈钢管，壁厚实测负偏差不得超过0.1mm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框架须采用满焊工艺整体焊接成型，焊缝连续、均匀，无焊瘤、气孔、咬边及未熔合等缺陷所有焊缝须经酸洗钝化处理，确保焊缝区域耐腐蚀性能与母材一致</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3.台面要求：</w:t>
            </w:r>
            <w:r>
              <w:rPr>
                <w:rFonts w:hint="eastAsia" w:ascii="宋体" w:hAnsi="宋体" w:eastAsia="宋体" w:cs="宋体"/>
                <w:color w:val="auto"/>
                <w:kern w:val="0"/>
                <w:szCs w:val="21"/>
                <w:highlight w:val="none"/>
                <w:lang w:bidi="ar"/>
              </w:rPr>
              <w:t>台面不锈钢板厚度不低于1.2mm（实厚），材质同为国家标准S30408</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台面采用全包边焊接工艺，内部填充层为环保型高密度防水阻燃板，密度≥700kg/m³，并须进行防潮密封处理，总厚度不小于25mm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台面底部须设置不锈钢加强筋，确保台面在承重100kg静载条件下，挠度（最大变形量）≤2mm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台面表面采用拉丝处理，表面粗糙度Ra≤1.6μm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台面所有边角须经圆弧过渡处理（R角≥3mm），无锐边、无毛刺，接缝严密，不易藏匿细菌，易清洁消毒</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w:t>
            </w:r>
            <w:r>
              <w:rPr>
                <w:rFonts w:hint="eastAsia" w:ascii="宋体" w:hAnsi="宋体" w:eastAsia="宋体" w:cs="宋体"/>
                <w:color w:val="auto"/>
                <w:kern w:val="0"/>
                <w:szCs w:val="21"/>
                <w:highlight w:val="none"/>
                <w:lang w:bidi="ar"/>
              </w:rPr>
              <w:t>台脚采用S30408不锈钢管材，底脚配备M12×50mm全不锈钢可调螺丝（不得使用铁质镀铬件），调节范围不小于±30mm</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脚底须配防滑、防震、耐酸碱橡胶垫片</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所有金属切口、冲孔及边缘须经去毛刺和倒角处理，确保手触平滑无刮手感</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5.不带柜体。</w:t>
            </w:r>
          </w:p>
        </w:tc>
        <w:tc>
          <w:tcPr>
            <w:tcW w:w="338" w:type="pct"/>
            <w:shd w:val="clear" w:color="auto" w:fill="auto"/>
            <w:vAlign w:val="center"/>
          </w:tcPr>
          <w:p w14:paraId="77FE600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710DF6B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r>
      <w:tr w14:paraId="37DC5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384" w:type="pct"/>
            <w:shd w:val="clear" w:color="auto" w:fill="auto"/>
            <w:noWrap/>
            <w:vAlign w:val="center"/>
          </w:tcPr>
          <w:p w14:paraId="1189FA3F">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381" w:type="pct"/>
            <w:shd w:val="clear" w:color="auto" w:fill="auto"/>
            <w:vAlign w:val="center"/>
          </w:tcPr>
          <w:p w14:paraId="660BA86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不锈钢插座盒</w:t>
            </w:r>
          </w:p>
        </w:tc>
        <w:tc>
          <w:tcPr>
            <w:tcW w:w="783" w:type="pct"/>
            <w:shd w:val="clear" w:color="auto" w:fill="auto"/>
            <w:vAlign w:val="center"/>
          </w:tcPr>
          <w:p w14:paraId="26F35A29">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818515" cy="641985"/>
                  <wp:effectExtent l="0" t="0" r="8255" b="11430"/>
                  <wp:docPr id="74" name="图片 74" descr="不锈钢插座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不锈钢插座盒"/>
                          <pic:cNvPicPr>
                            <a:picLocks noChangeAspect="1"/>
                          </pic:cNvPicPr>
                        </pic:nvPicPr>
                        <pic:blipFill>
                          <a:blip r:embed="rId11"/>
                          <a:stretch>
                            <a:fillRect/>
                          </a:stretch>
                        </pic:blipFill>
                        <pic:spPr>
                          <a:xfrm>
                            <a:off x="0" y="0"/>
                            <a:ext cx="818515" cy="641985"/>
                          </a:xfrm>
                          <a:prstGeom prst="rect">
                            <a:avLst/>
                          </a:prstGeom>
                        </pic:spPr>
                      </pic:pic>
                    </a:graphicData>
                  </a:graphic>
                </wp:inline>
              </w:drawing>
            </w:r>
          </w:p>
        </w:tc>
        <w:tc>
          <w:tcPr>
            <w:tcW w:w="2826" w:type="pct"/>
            <w:shd w:val="clear" w:color="auto" w:fill="auto"/>
            <w:noWrap/>
            <w:vAlign w:val="center"/>
          </w:tcPr>
          <w:p w14:paraId="490A5256">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1.整体酸洗钝化，无毛刺、无尖锐棱角</w:t>
            </w:r>
            <w:r>
              <w:rPr>
                <w:rFonts w:hint="eastAsia" w:ascii="宋体" w:hAnsi="宋体" w:eastAsia="宋体" w:cs="宋体"/>
                <w:color w:val="auto"/>
                <w:kern w:val="0"/>
                <w:sz w:val="21"/>
                <w:szCs w:val="21"/>
                <w:highlight w:val="none"/>
                <w:lang w:eastAsia="zh-CN" w:bidi="ar"/>
              </w:rPr>
              <w:t>。</w:t>
            </w:r>
          </w:p>
          <w:p w14:paraId="376FA0BC">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2.盒身底板、侧板：厚 1.0mm</w:t>
            </w:r>
            <w:r>
              <w:rPr>
                <w:rFonts w:hint="eastAsia" w:ascii="宋体" w:hAnsi="宋体" w:eastAsia="宋体" w:cs="宋体"/>
                <w:color w:val="auto"/>
                <w:kern w:val="0"/>
                <w:sz w:val="21"/>
                <w:szCs w:val="21"/>
                <w:highlight w:val="none"/>
                <w:lang w:eastAsia="zh-CN" w:bidi="ar"/>
              </w:rPr>
              <w:t>。</w:t>
            </w:r>
          </w:p>
          <w:p w14:paraId="2794118D">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3.双插座独立绝缘隔离支架，相线、零线、地线分区布线，防短路</w:t>
            </w:r>
            <w:r>
              <w:rPr>
                <w:rFonts w:hint="eastAsia" w:ascii="宋体" w:hAnsi="宋体" w:eastAsia="宋体" w:cs="宋体"/>
                <w:color w:val="auto"/>
                <w:kern w:val="0"/>
                <w:sz w:val="21"/>
                <w:szCs w:val="21"/>
                <w:highlight w:val="none"/>
                <w:lang w:eastAsia="zh-CN" w:bidi="ar"/>
              </w:rPr>
              <w:t>。</w:t>
            </w:r>
          </w:p>
          <w:p w14:paraId="5C0F1D23">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4.含两个5孔10A插座</w:t>
            </w:r>
            <w:r>
              <w:rPr>
                <w:rFonts w:hint="eastAsia" w:ascii="宋体" w:hAnsi="宋体" w:eastAsia="宋体" w:cs="宋体"/>
                <w:color w:val="auto"/>
                <w:kern w:val="0"/>
                <w:sz w:val="21"/>
                <w:szCs w:val="21"/>
                <w:highlight w:val="none"/>
                <w:lang w:eastAsia="zh-CN" w:bidi="ar"/>
              </w:rPr>
              <w:t>。</w:t>
            </w:r>
          </w:p>
        </w:tc>
        <w:tc>
          <w:tcPr>
            <w:tcW w:w="338" w:type="pct"/>
            <w:shd w:val="clear" w:color="auto" w:fill="auto"/>
            <w:vAlign w:val="center"/>
          </w:tcPr>
          <w:p w14:paraId="7BAFE1B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3B522F4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57</w:t>
            </w:r>
          </w:p>
        </w:tc>
      </w:tr>
      <w:tr w14:paraId="21E61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84" w:type="pct"/>
            <w:shd w:val="clear" w:color="auto" w:fill="auto"/>
            <w:noWrap/>
            <w:vAlign w:val="center"/>
          </w:tcPr>
          <w:p w14:paraId="3CCC6C15">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61</w:t>
            </w:r>
          </w:p>
        </w:tc>
        <w:tc>
          <w:tcPr>
            <w:tcW w:w="381" w:type="pct"/>
            <w:shd w:val="clear" w:color="auto" w:fill="auto"/>
            <w:vAlign w:val="center"/>
          </w:tcPr>
          <w:p w14:paraId="0EBA3D6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插座</w:t>
            </w:r>
          </w:p>
        </w:tc>
        <w:tc>
          <w:tcPr>
            <w:tcW w:w="783" w:type="pct"/>
            <w:shd w:val="clear" w:color="auto" w:fill="auto"/>
            <w:noWrap/>
            <w:vAlign w:val="center"/>
          </w:tcPr>
          <w:p w14:paraId="7A3198D2">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822325" cy="822325"/>
                  <wp:effectExtent l="0" t="0" r="4445" b="4445"/>
                  <wp:docPr id="75" name="图片 75" descr="插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插座"/>
                          <pic:cNvPicPr>
                            <a:picLocks noChangeAspect="1"/>
                          </pic:cNvPicPr>
                        </pic:nvPicPr>
                        <pic:blipFill>
                          <a:blip r:embed="rId12"/>
                          <a:stretch>
                            <a:fillRect/>
                          </a:stretch>
                        </pic:blipFill>
                        <pic:spPr>
                          <a:xfrm>
                            <a:off x="0" y="0"/>
                            <a:ext cx="822325" cy="822325"/>
                          </a:xfrm>
                          <a:prstGeom prst="rect">
                            <a:avLst/>
                          </a:prstGeom>
                        </pic:spPr>
                      </pic:pic>
                    </a:graphicData>
                  </a:graphic>
                </wp:inline>
              </w:drawing>
            </w:r>
          </w:p>
        </w:tc>
        <w:tc>
          <w:tcPr>
            <w:tcW w:w="2826" w:type="pct"/>
            <w:shd w:val="clear" w:color="auto" w:fill="auto"/>
            <w:vAlign w:val="center"/>
          </w:tcPr>
          <w:p w14:paraId="74D1665F">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1.面板外形：86mm × 86mm 正方形</w:t>
            </w:r>
            <w:r>
              <w:rPr>
                <w:rFonts w:hint="eastAsia" w:ascii="宋体" w:hAnsi="宋体" w:eastAsia="宋体" w:cs="宋体"/>
                <w:color w:val="auto"/>
                <w:kern w:val="0"/>
                <w:sz w:val="21"/>
                <w:szCs w:val="21"/>
                <w:highlight w:val="none"/>
                <w:lang w:eastAsia="zh-CN" w:bidi="ar"/>
              </w:rPr>
              <w:t>。</w:t>
            </w:r>
          </w:p>
          <w:p w14:paraId="6EC3EE5F">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2.安装孔中心距：60.3mm</w:t>
            </w:r>
            <w:r>
              <w:rPr>
                <w:rFonts w:hint="eastAsia" w:ascii="宋体" w:hAnsi="宋体" w:eastAsia="宋体" w:cs="宋体"/>
                <w:color w:val="auto"/>
                <w:kern w:val="0"/>
                <w:sz w:val="21"/>
                <w:szCs w:val="21"/>
                <w:highlight w:val="none"/>
                <w:lang w:eastAsia="zh-CN" w:bidi="ar"/>
              </w:rPr>
              <w:t>。</w:t>
            </w:r>
          </w:p>
          <w:p w14:paraId="7E54D93B">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3.底盒适配：通用 86型暗盒</w:t>
            </w:r>
            <w:r>
              <w:rPr>
                <w:rFonts w:hint="eastAsia" w:ascii="宋体" w:hAnsi="宋体" w:eastAsia="宋体" w:cs="宋体"/>
                <w:color w:val="auto"/>
                <w:kern w:val="0"/>
                <w:sz w:val="21"/>
                <w:szCs w:val="21"/>
                <w:highlight w:val="none"/>
                <w:lang w:eastAsia="zh-CN" w:bidi="ar"/>
              </w:rPr>
              <w:t>。</w:t>
            </w:r>
          </w:p>
          <w:p w14:paraId="7AB75885">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4.面板厚度：4.5~8mm</w:t>
            </w:r>
            <w:r>
              <w:rPr>
                <w:rFonts w:hint="eastAsia" w:ascii="宋体" w:hAnsi="宋体" w:eastAsia="宋体" w:cs="宋体"/>
                <w:color w:val="auto"/>
                <w:kern w:val="0"/>
                <w:sz w:val="21"/>
                <w:szCs w:val="21"/>
                <w:highlight w:val="none"/>
                <w:lang w:eastAsia="zh-CN" w:bidi="ar"/>
              </w:rPr>
              <w:t>。</w:t>
            </w:r>
          </w:p>
          <w:p w14:paraId="388BE8F0">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5.接线端子：螺丝接线，适配导线 1.0~2.5mm² 铜芯线</w:t>
            </w:r>
            <w:r>
              <w:rPr>
                <w:rFonts w:hint="eastAsia" w:ascii="宋体" w:hAnsi="宋体" w:eastAsia="宋体" w:cs="宋体"/>
                <w:color w:val="auto"/>
                <w:kern w:val="0"/>
                <w:sz w:val="21"/>
                <w:szCs w:val="21"/>
                <w:highlight w:val="none"/>
                <w:lang w:eastAsia="zh-CN" w:bidi="ar"/>
              </w:rPr>
              <w:t>。</w:t>
            </w:r>
          </w:p>
          <w:p w14:paraId="0401D250">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6.面板材质：阻燃 PC 工程塑料</w:t>
            </w:r>
            <w:r>
              <w:rPr>
                <w:rFonts w:hint="eastAsia" w:ascii="宋体" w:hAnsi="宋体" w:eastAsia="宋体" w:cs="宋体"/>
                <w:color w:val="auto"/>
                <w:kern w:val="0"/>
                <w:sz w:val="21"/>
                <w:szCs w:val="21"/>
                <w:highlight w:val="none"/>
                <w:lang w:eastAsia="zh-CN" w:bidi="ar"/>
              </w:rPr>
              <w:t>。</w:t>
            </w:r>
          </w:p>
          <w:p w14:paraId="6878E64B">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7.儿童保护门：单孔单独施加 75N 力无法插入，必须双孔同步受力才能打开</w:t>
            </w:r>
            <w:r>
              <w:rPr>
                <w:rFonts w:hint="eastAsia" w:ascii="宋体" w:hAnsi="宋体" w:eastAsia="宋体" w:cs="宋体"/>
                <w:color w:val="auto"/>
                <w:kern w:val="0"/>
                <w:sz w:val="21"/>
                <w:szCs w:val="21"/>
                <w:highlight w:val="none"/>
                <w:lang w:eastAsia="zh-CN" w:bidi="ar"/>
              </w:rPr>
              <w:t>。</w:t>
            </w:r>
          </w:p>
        </w:tc>
        <w:tc>
          <w:tcPr>
            <w:tcW w:w="338" w:type="pct"/>
            <w:shd w:val="clear" w:color="auto" w:fill="auto"/>
            <w:vAlign w:val="center"/>
          </w:tcPr>
          <w:p w14:paraId="79B3294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3B80224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413</w:t>
            </w:r>
          </w:p>
        </w:tc>
      </w:tr>
      <w:tr w14:paraId="72726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5" w:hRule="atLeast"/>
        </w:trPr>
        <w:tc>
          <w:tcPr>
            <w:tcW w:w="384" w:type="pct"/>
            <w:shd w:val="clear" w:color="auto" w:fill="auto"/>
            <w:noWrap/>
            <w:vAlign w:val="center"/>
          </w:tcPr>
          <w:p w14:paraId="73453FDF">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62</w:t>
            </w:r>
          </w:p>
        </w:tc>
        <w:tc>
          <w:tcPr>
            <w:tcW w:w="381" w:type="pct"/>
            <w:shd w:val="clear" w:color="auto" w:fill="auto"/>
            <w:vAlign w:val="center"/>
          </w:tcPr>
          <w:p w14:paraId="106CF07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储物柜</w:t>
            </w:r>
          </w:p>
        </w:tc>
        <w:tc>
          <w:tcPr>
            <w:tcW w:w="783" w:type="pct"/>
            <w:shd w:val="clear" w:color="auto" w:fill="auto"/>
            <w:vAlign w:val="center"/>
          </w:tcPr>
          <w:p w14:paraId="206DC981">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21690" cy="1336675"/>
                  <wp:effectExtent l="0" t="0" r="5080" b="10160"/>
                  <wp:docPr id="76" name="图片 76" descr="储物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储物柜"/>
                          <pic:cNvPicPr>
                            <a:picLocks noChangeAspect="1"/>
                          </pic:cNvPicPr>
                        </pic:nvPicPr>
                        <pic:blipFill>
                          <a:blip r:embed="rId13"/>
                          <a:stretch>
                            <a:fillRect/>
                          </a:stretch>
                        </pic:blipFill>
                        <pic:spPr>
                          <a:xfrm>
                            <a:off x="0" y="0"/>
                            <a:ext cx="821690" cy="1336675"/>
                          </a:xfrm>
                          <a:prstGeom prst="rect">
                            <a:avLst/>
                          </a:prstGeom>
                        </pic:spPr>
                      </pic:pic>
                    </a:graphicData>
                  </a:graphic>
                </wp:inline>
              </w:drawing>
            </w:r>
          </w:p>
        </w:tc>
        <w:tc>
          <w:tcPr>
            <w:tcW w:w="2826" w:type="pct"/>
            <w:shd w:val="clear" w:color="auto" w:fill="auto"/>
            <w:vAlign w:val="center"/>
          </w:tcPr>
          <w:p w14:paraId="59F72487">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900*450*2000</w:t>
            </w:r>
            <w:r>
              <w:rPr>
                <w:rFonts w:hint="eastAsia" w:ascii="宋体" w:hAnsi="宋体" w:eastAsia="宋体" w:cs="宋体"/>
                <w:color w:val="auto"/>
                <w:kern w:val="0"/>
                <w:sz w:val="21"/>
                <w:szCs w:val="21"/>
                <w:highlight w:val="none"/>
                <w:lang w:val="en-US" w:eastAsia="zh-CN" w:bidi="ar"/>
              </w:rPr>
              <w:t>mm</w:t>
            </w:r>
          </w:p>
          <w:p w14:paraId="3D97088D">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1、全钢结构，整体可拆卸</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2、实验室专用，采用1.0mm厚度</w:t>
            </w:r>
            <w:r>
              <w:rPr>
                <w:rFonts w:hint="eastAsia" w:ascii="宋体" w:hAnsi="宋体" w:eastAsia="宋体" w:cs="宋体"/>
                <w:color w:val="auto"/>
                <w:kern w:val="0"/>
                <w:sz w:val="21"/>
                <w:szCs w:val="21"/>
                <w:highlight w:val="none"/>
                <w:lang w:eastAsia="zh-CN" w:bidi="ar"/>
              </w:rPr>
              <w:t>一级冷轧钢</w:t>
            </w:r>
            <w:r>
              <w:rPr>
                <w:rFonts w:hint="eastAsia" w:ascii="宋体" w:hAnsi="宋体" w:eastAsia="宋体" w:cs="宋体"/>
                <w:color w:val="auto"/>
                <w:kern w:val="0"/>
                <w:sz w:val="21"/>
                <w:szCs w:val="21"/>
                <w:highlight w:val="none"/>
                <w:lang w:bidi="ar"/>
              </w:rPr>
              <w:t>经数控剪板，数控冲压，数控折弯，焊接等一系列程序成型，表面经酸洗磷化后喷涂环氧树脂粉末</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3、柜门带铝合金闪电锁</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4、上下双开门，上部内嵌5mm透明玻璃</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 xml:space="preserve">5、带三层活动层板 </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6、门铰采用2.0mm厚度的304不锈钢合页</w:t>
            </w:r>
            <w:r>
              <w:rPr>
                <w:rFonts w:hint="eastAsia" w:ascii="宋体" w:hAnsi="宋体" w:eastAsia="宋体" w:cs="宋体"/>
                <w:color w:val="auto"/>
                <w:kern w:val="0"/>
                <w:sz w:val="21"/>
                <w:szCs w:val="21"/>
                <w:highlight w:val="none"/>
                <w:lang w:eastAsia="zh-CN" w:bidi="ar"/>
              </w:rPr>
              <w:t>。</w:t>
            </w:r>
          </w:p>
        </w:tc>
        <w:tc>
          <w:tcPr>
            <w:tcW w:w="338" w:type="pct"/>
            <w:shd w:val="clear" w:color="auto" w:fill="auto"/>
            <w:vAlign w:val="center"/>
          </w:tcPr>
          <w:p w14:paraId="28C631C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6E485A0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r>
      <w:tr w14:paraId="0AA2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trPr>
        <w:tc>
          <w:tcPr>
            <w:tcW w:w="384" w:type="pct"/>
            <w:shd w:val="clear" w:color="auto" w:fill="auto"/>
            <w:noWrap/>
            <w:vAlign w:val="center"/>
          </w:tcPr>
          <w:p w14:paraId="7793843F">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63</w:t>
            </w:r>
          </w:p>
        </w:tc>
        <w:tc>
          <w:tcPr>
            <w:tcW w:w="381" w:type="pct"/>
            <w:shd w:val="clear" w:color="auto" w:fill="auto"/>
            <w:vAlign w:val="center"/>
          </w:tcPr>
          <w:p w14:paraId="08AC9CB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单门单抽活动柜</w:t>
            </w:r>
          </w:p>
        </w:tc>
        <w:tc>
          <w:tcPr>
            <w:tcW w:w="783" w:type="pct"/>
            <w:shd w:val="clear" w:color="auto" w:fill="auto"/>
            <w:vAlign w:val="center"/>
          </w:tcPr>
          <w:p w14:paraId="60196421">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21690" cy="867410"/>
                  <wp:effectExtent l="0" t="0" r="5080" b="12700"/>
                  <wp:docPr id="77" name="图片 77" descr="单门单抽活动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单门单抽活动柜"/>
                          <pic:cNvPicPr>
                            <a:picLocks noChangeAspect="1"/>
                          </pic:cNvPicPr>
                        </pic:nvPicPr>
                        <pic:blipFill>
                          <a:blip r:embed="rId14"/>
                          <a:stretch>
                            <a:fillRect/>
                          </a:stretch>
                        </pic:blipFill>
                        <pic:spPr>
                          <a:xfrm>
                            <a:off x="0" y="0"/>
                            <a:ext cx="821690" cy="867410"/>
                          </a:xfrm>
                          <a:prstGeom prst="rect">
                            <a:avLst/>
                          </a:prstGeom>
                        </pic:spPr>
                      </pic:pic>
                    </a:graphicData>
                  </a:graphic>
                </wp:inline>
              </w:drawing>
            </w:r>
          </w:p>
        </w:tc>
        <w:tc>
          <w:tcPr>
            <w:tcW w:w="2826" w:type="pct"/>
            <w:shd w:val="clear" w:color="auto" w:fill="auto"/>
            <w:vAlign w:val="center"/>
          </w:tcPr>
          <w:p w14:paraId="47D30D13">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450*500*730</w:t>
            </w:r>
            <w:r>
              <w:rPr>
                <w:rFonts w:hint="eastAsia" w:ascii="宋体" w:hAnsi="宋体" w:eastAsia="宋体" w:cs="宋体"/>
                <w:color w:val="auto"/>
                <w:kern w:val="0"/>
                <w:sz w:val="21"/>
                <w:szCs w:val="21"/>
                <w:highlight w:val="none"/>
                <w:lang w:val="en-US" w:eastAsia="zh-CN" w:bidi="ar"/>
              </w:rPr>
              <w:t>mm</w:t>
            </w:r>
          </w:p>
          <w:p w14:paraId="587711ED">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bidi="ar"/>
              </w:rPr>
              <w:t>柜体</w:t>
            </w:r>
            <w:r>
              <w:rPr>
                <w:rFonts w:hint="eastAsia" w:ascii="宋体" w:hAnsi="宋体" w:eastAsia="宋体" w:cs="宋体"/>
                <w:color w:val="auto"/>
                <w:kern w:val="0"/>
                <w:szCs w:val="21"/>
                <w:highlight w:val="none"/>
                <w:lang w:bidi="ar"/>
              </w:rPr>
              <w:t>采用≥1.0mm</w:t>
            </w:r>
            <w:r>
              <w:rPr>
                <w:rFonts w:hint="eastAsia" w:ascii="宋体" w:hAnsi="宋体" w:eastAsia="宋体" w:cs="宋体"/>
                <w:color w:val="auto"/>
                <w:kern w:val="0"/>
                <w:szCs w:val="21"/>
                <w:highlight w:val="none"/>
                <w:lang w:eastAsia="zh-CN" w:bidi="ar"/>
              </w:rPr>
              <w:t>一级冷轧钢</w:t>
            </w:r>
            <w:r>
              <w:rPr>
                <w:rFonts w:hint="eastAsia" w:ascii="宋体" w:hAnsi="宋体" w:eastAsia="宋体" w:cs="宋体"/>
                <w:color w:val="auto"/>
                <w:kern w:val="0"/>
                <w:szCs w:val="21"/>
                <w:highlight w:val="none"/>
                <w:lang w:bidi="ar"/>
              </w:rPr>
              <w:t>，表面经酸洗、磷化及静电喷涂≥75μm环氧树脂粉末处理。柜体为拼装组合结构，可提高喷涂覆盖率，避免因整体焊接造成的死角漏喷，从而杜绝锈蚀风险。</w:t>
            </w:r>
          </w:p>
          <w:p w14:paraId="0A1FA58B">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2、门板和抽屉</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Cs w:val="21"/>
                <w:highlight w:val="none"/>
                <w:lang w:bidi="ar"/>
              </w:rPr>
              <w:t>采用≥1.0mm</w:t>
            </w:r>
            <w:r>
              <w:rPr>
                <w:rFonts w:hint="eastAsia" w:ascii="宋体" w:hAnsi="宋体" w:eastAsia="宋体" w:cs="宋体"/>
                <w:color w:val="auto"/>
                <w:kern w:val="0"/>
                <w:szCs w:val="21"/>
                <w:highlight w:val="none"/>
                <w:lang w:eastAsia="zh-CN" w:bidi="ar"/>
              </w:rPr>
              <w:t>一级冷轧钢</w:t>
            </w:r>
            <w:r>
              <w:rPr>
                <w:rFonts w:hint="eastAsia" w:ascii="宋体" w:hAnsi="宋体" w:eastAsia="宋体" w:cs="宋体"/>
                <w:color w:val="auto"/>
                <w:kern w:val="0"/>
                <w:szCs w:val="21"/>
                <w:highlight w:val="none"/>
                <w:lang w:bidi="ar"/>
              </w:rPr>
              <w:t>制作，双层结构，内部填充隔音材料以消除开关噪音。门板及抽面四周均为斜面造型，边缘呈圆弧过渡。双层结构经整体焊接后，内外表面均经酸洗、磷化及静电喷涂≥75μm环氧树脂粉末处理。</w:t>
            </w:r>
          </w:p>
          <w:p w14:paraId="5C67204C">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采用隐藏轴销的安装方式，取替门铰和合页。避免安装件暴露在外。起到很好的保护作用，易于安装免于维护。</w:t>
            </w:r>
          </w:p>
          <w:p w14:paraId="2BF32F61">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bidi="ar"/>
              </w:rPr>
              <w:t>活动柜前脚采用不锈钢喷涂材质固定调节脚</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后轮采用活动轮</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可以达到防倾倒和柜体摆放整齐。</w:t>
            </w:r>
          </w:p>
          <w:p w14:paraId="7AEB30D9">
            <w:pPr>
              <w:keepNext w:val="0"/>
              <w:keepLines w:val="0"/>
              <w:widowControl/>
              <w:wordWrap w:val="0"/>
              <w:spacing w:line="360" w:lineRule="exac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5、抽屉滑轨：</w:t>
            </w:r>
            <w:r>
              <w:rPr>
                <w:rFonts w:hint="eastAsia" w:ascii="宋体" w:hAnsi="宋体" w:eastAsia="宋体" w:cs="宋体"/>
                <w:color w:val="auto"/>
                <w:kern w:val="0"/>
                <w:szCs w:val="21"/>
                <w:highlight w:val="none"/>
                <w:lang w:bidi="ar"/>
              </w:rPr>
              <w:t>滑轨须采用优质三节承重滚珠滑轨，表面经电镀或喷涂防腐处理</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滑轨额定动态承重≥45kg，拉伸长度不小于抽屉深度的90%，推拉寿命≥50000次</w:t>
            </w:r>
            <w:r>
              <w:rPr>
                <w:rFonts w:hint="eastAsia" w:ascii="宋体" w:hAnsi="宋体" w:eastAsia="宋体" w:cs="宋体"/>
                <w:color w:val="auto"/>
                <w:kern w:val="0"/>
                <w:szCs w:val="21"/>
                <w:highlight w:val="none"/>
                <w:lang w:eastAsia="zh-CN" w:bidi="ar"/>
              </w:rPr>
              <w:t>；</w:t>
            </w:r>
            <w:r>
              <w:rPr>
                <w:rFonts w:hint="eastAsia" w:ascii="宋体" w:hAnsi="宋体" w:eastAsia="宋体" w:cs="宋体"/>
                <w:i w:val="0"/>
                <w:iCs w:val="0"/>
                <w:caps w:val="0"/>
                <w:color w:val="auto"/>
                <w:spacing w:val="0"/>
                <w:kern w:val="0"/>
                <w:sz w:val="21"/>
                <w:szCs w:val="21"/>
                <w:highlight w:val="none"/>
                <w:shd w:val="clear" w:fill="auto"/>
                <w:lang w:bidi="ar"/>
              </w:rPr>
              <w:t>滑轨须带</w:t>
            </w:r>
            <w:r>
              <w:rPr>
                <w:rFonts w:hint="eastAsia" w:ascii="宋体" w:hAnsi="宋体" w:eastAsia="宋体" w:cs="宋体"/>
                <w:b w:val="0"/>
                <w:bCs w:val="0"/>
                <w:i w:val="0"/>
                <w:iCs w:val="0"/>
                <w:caps w:val="0"/>
                <w:color w:val="auto"/>
                <w:spacing w:val="0"/>
                <w:kern w:val="0"/>
                <w:sz w:val="21"/>
                <w:szCs w:val="21"/>
                <w:highlight w:val="none"/>
                <w:shd w:val="clear" w:fill="auto"/>
                <w:lang w:bidi="ar"/>
              </w:rPr>
              <w:t>阻尼缓冲</w:t>
            </w:r>
            <w:r>
              <w:rPr>
                <w:rFonts w:hint="eastAsia" w:ascii="宋体" w:hAnsi="宋体" w:eastAsia="宋体" w:cs="宋体"/>
                <w:i w:val="0"/>
                <w:iCs w:val="0"/>
                <w:caps w:val="0"/>
                <w:color w:val="auto"/>
                <w:spacing w:val="0"/>
                <w:kern w:val="0"/>
                <w:sz w:val="21"/>
                <w:szCs w:val="21"/>
                <w:highlight w:val="none"/>
                <w:shd w:val="clear" w:fill="auto"/>
                <w:lang w:bidi="ar"/>
              </w:rPr>
              <w:t>功能或配置防滑出装置，关闭时无撞击噪声。</w:t>
            </w:r>
          </w:p>
          <w:p w14:paraId="00FA17A5">
            <w:pPr>
              <w:keepNext w:val="0"/>
              <w:keepLines w:val="0"/>
              <w:widowControl/>
              <w:wordWrap w:val="0"/>
              <w:spacing w:line="360" w:lineRule="exact"/>
              <w:textAlignment w:val="center"/>
              <w:rPr>
                <w:rFonts w:hint="eastAsia" w:eastAsia="宋体" w:asciiTheme="minorHAnsi" w:hAnsiTheme="minorHAnsi" w:cstheme="minorBidi"/>
                <w:color w:val="auto"/>
                <w:sz w:val="32"/>
                <w:szCs w:val="32"/>
                <w:highlight w:val="none"/>
              </w:rPr>
            </w:pPr>
            <w:r>
              <w:rPr>
                <w:rFonts w:hint="eastAsia" w:ascii="宋体" w:hAnsi="宋体" w:eastAsia="宋体" w:cs="宋体"/>
                <w:color w:val="auto"/>
                <w:kern w:val="0"/>
                <w:sz w:val="21"/>
                <w:szCs w:val="21"/>
                <w:highlight w:val="none"/>
                <w:lang w:val="en-US" w:eastAsia="zh-CN" w:bidi="ar"/>
              </w:rPr>
              <w:t>6、拉手：</w:t>
            </w:r>
            <w:r>
              <w:rPr>
                <w:rFonts w:hint="eastAsia" w:ascii="宋体" w:hAnsi="宋体" w:eastAsia="宋体" w:cs="宋体"/>
                <w:color w:val="auto"/>
                <w:kern w:val="0"/>
                <w:szCs w:val="21"/>
                <w:highlight w:val="none"/>
                <w:lang w:bidi="ar"/>
              </w:rPr>
              <w:t>采用不锈钢材质，孔距160mm的一字型拉手</w:t>
            </w:r>
            <w:r>
              <w:rPr>
                <w:rFonts w:hint="eastAsia" w:ascii="宋体" w:hAnsi="宋体" w:eastAsia="宋体" w:cs="宋体"/>
                <w:color w:val="auto"/>
                <w:kern w:val="0"/>
                <w:sz w:val="21"/>
                <w:szCs w:val="21"/>
                <w:highlight w:val="none"/>
                <w:lang w:val="en-US" w:eastAsia="zh-CN" w:bidi="ar"/>
              </w:rPr>
              <w:t>。</w:t>
            </w:r>
          </w:p>
        </w:tc>
        <w:tc>
          <w:tcPr>
            <w:tcW w:w="338" w:type="pct"/>
            <w:shd w:val="clear" w:color="auto" w:fill="auto"/>
            <w:vAlign w:val="center"/>
          </w:tcPr>
          <w:p w14:paraId="58F76B4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485DB25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927</w:t>
            </w:r>
          </w:p>
        </w:tc>
      </w:tr>
      <w:tr w14:paraId="3049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trPr>
        <w:tc>
          <w:tcPr>
            <w:tcW w:w="384" w:type="pct"/>
            <w:shd w:val="clear" w:color="auto" w:fill="auto"/>
            <w:noWrap/>
            <w:vAlign w:val="center"/>
          </w:tcPr>
          <w:p w14:paraId="0D28C5C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64</w:t>
            </w:r>
          </w:p>
        </w:tc>
        <w:tc>
          <w:tcPr>
            <w:tcW w:w="381" w:type="pct"/>
            <w:shd w:val="clear" w:color="auto" w:fill="auto"/>
            <w:vAlign w:val="center"/>
          </w:tcPr>
          <w:p w14:paraId="231B74B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防火安全柜</w:t>
            </w:r>
            <w:r>
              <w:rPr>
                <w:rFonts w:hint="eastAsia" w:ascii="宋体" w:hAnsi="宋体" w:eastAsia="宋体" w:cs="宋体"/>
                <w:color w:val="auto"/>
                <w:kern w:val="0"/>
                <w:sz w:val="21"/>
                <w:szCs w:val="21"/>
                <w:highlight w:val="none"/>
                <w:lang w:bidi="ar"/>
              </w:rPr>
              <w:br w:type="textWrapping"/>
            </w:r>
          </w:p>
        </w:tc>
        <w:tc>
          <w:tcPr>
            <w:tcW w:w="783" w:type="pct"/>
            <w:shd w:val="clear" w:color="auto" w:fill="auto"/>
            <w:vAlign w:val="center"/>
          </w:tcPr>
          <w:p w14:paraId="770D09E1">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21055" cy="1651000"/>
                  <wp:effectExtent l="0" t="0" r="5715" b="2540"/>
                  <wp:docPr id="78" name="图片 78" descr="WPS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WPS图片(1)"/>
                          <pic:cNvPicPr>
                            <a:picLocks noChangeAspect="1"/>
                          </pic:cNvPicPr>
                        </pic:nvPicPr>
                        <pic:blipFill>
                          <a:blip r:embed="rId15"/>
                          <a:stretch>
                            <a:fillRect/>
                          </a:stretch>
                        </pic:blipFill>
                        <pic:spPr>
                          <a:xfrm>
                            <a:off x="0" y="0"/>
                            <a:ext cx="821055" cy="1651000"/>
                          </a:xfrm>
                          <a:prstGeom prst="rect">
                            <a:avLst/>
                          </a:prstGeom>
                        </pic:spPr>
                      </pic:pic>
                    </a:graphicData>
                  </a:graphic>
                </wp:inline>
              </w:drawing>
            </w:r>
          </w:p>
        </w:tc>
        <w:tc>
          <w:tcPr>
            <w:tcW w:w="2826" w:type="pct"/>
            <w:shd w:val="clear" w:color="auto" w:fill="auto"/>
            <w:vAlign w:val="center"/>
          </w:tcPr>
          <w:p w14:paraId="62CB87C6">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900*600*1950</w:t>
            </w:r>
            <w:r>
              <w:rPr>
                <w:rFonts w:hint="eastAsia" w:ascii="宋体" w:hAnsi="宋体" w:eastAsia="宋体" w:cs="宋体"/>
                <w:color w:val="auto"/>
                <w:kern w:val="0"/>
                <w:sz w:val="21"/>
                <w:szCs w:val="21"/>
                <w:highlight w:val="none"/>
                <w:lang w:val="en-US" w:eastAsia="zh-CN" w:bidi="ar"/>
              </w:rPr>
              <w:t>mm</w:t>
            </w:r>
          </w:p>
          <w:p w14:paraId="0D9DB40E">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1.防火安全柜尺寸要求：大容积型的柜体设计，外部尺寸：W900mm*D600mm*H1950mm，能很好的在有限空间内解决实验室分散的易燃试剂安全储存需求，生产厂家通过GB/T19001-2016/1S09001:2015 标准质量管理体系认证。 </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 xml:space="preserve">2.防火安全柜外层主体钢板材质要求：≥1.5mm厚冷轧钢板，且底座采用≥3.0mm 厚钢板结构，整体焊接而成，确保柜体结构稳定不变形。 </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防火安全柜主体结构要求：整柜须采用多层防火、隔热结构设计，配置多层防火、阻燃、隔热复合材质的，整柜具备优良的防火、隔热性能，防火层总厚度≥45mm，从而提升实验室整体安全级别，降低实验室易燃试剂化学品的储存风险。</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★4.防火安全柜防火要求：整柜通过要求，并能在规定的≥30 min防火时间内保证柜内温度上升≤100℃。</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▲5.防火安全柜层板要求：三层活动储漏层板设计，</w:t>
            </w:r>
            <w:r>
              <w:rPr>
                <w:rFonts w:hint="eastAsia" w:ascii="宋体" w:hAnsi="宋体" w:eastAsia="宋体" w:cs="宋体"/>
                <w:color w:val="auto"/>
                <w:kern w:val="0"/>
                <w:sz w:val="21"/>
                <w:szCs w:val="21"/>
                <w:highlight w:val="none"/>
                <w:lang w:bidi="ar"/>
              </w:rPr>
              <w:t>冷轧钢板材质</w:t>
            </w:r>
            <w:r>
              <w:rPr>
                <w:rFonts w:hint="eastAsia" w:ascii="宋体" w:hAnsi="宋体" w:eastAsia="宋体" w:cs="宋体"/>
                <w:color w:val="auto"/>
                <w:kern w:val="0"/>
                <w:sz w:val="21"/>
                <w:szCs w:val="21"/>
                <w:highlight w:val="none"/>
                <w:lang w:bidi="ar"/>
              </w:rPr>
              <w:t xml:space="preserve">≥1.5mm </w:t>
            </w:r>
            <w:r>
              <w:rPr>
                <w:rFonts w:hint="eastAsia" w:ascii="宋体" w:hAnsi="宋体" w:eastAsia="宋体" w:cs="宋体"/>
                <w:color w:val="auto"/>
                <w:kern w:val="0"/>
                <w:sz w:val="21"/>
                <w:szCs w:val="21"/>
                <w:highlight w:val="none"/>
                <w:lang w:bidi="ar"/>
              </w:rPr>
              <w:t>，设有快插固定装置，可灵活调整层高，每层均可独立储漏，围边高不少于30mm，层板最高可承重 75KG/㎡，层板需并设有可调节防倾倒调节杆，可有效防止试剂瓶意外倾倒或掉落。</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 xml:space="preserve">6.防火安全柜表面涂层和颜色要求：整柜表面采用防尘、防锈、防潮性能的多层环氧树脂粉末防静电喷涂工艺，能最大限度降低腐蚀和湿气影响，颜色：柜门为警告黄,柜体为炭灰色。 </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 xml:space="preserve">7.防火安全柜配置有复合热感闭合防御系统，当环境温度超过50℃时，柜门能20秒内自动关闭，当环境温度超过70℃时，通风阀门20秒内自动关闭，当环境温度超过110℃时柜内为一个整体密闭空间，从而提高在发生火灾等意外情况下柜内易燃试剂的安全性。 </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 xml:space="preserve">8.防火安全柜柜门要求：采用更加符合人体工程学的防挂宽式拉手，双锁控制，能满足双人双锁的管控需求。 </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 xml:space="preserve">9.防火安全柜通排风要求：柜体顶部设有∅75mm标准通排风口，采用上送下排后置型通排风方式，配置有∅75mm，长度1000mm软连接管道，可无缝对接只主排风管路或无管道式自滤风机。 </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10.防火安全柜应设置防静电装置，消除静电风险。</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11、整柜质保 5年。</w:t>
            </w:r>
          </w:p>
        </w:tc>
        <w:tc>
          <w:tcPr>
            <w:tcW w:w="338" w:type="pct"/>
            <w:shd w:val="clear" w:color="auto" w:fill="auto"/>
            <w:vAlign w:val="center"/>
          </w:tcPr>
          <w:p w14:paraId="69185E6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764DFEE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18</w:t>
            </w:r>
          </w:p>
        </w:tc>
      </w:tr>
      <w:tr w14:paraId="774A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1" w:hRule="atLeast"/>
        </w:trPr>
        <w:tc>
          <w:tcPr>
            <w:tcW w:w="384" w:type="pct"/>
            <w:shd w:val="clear" w:color="auto" w:fill="auto"/>
            <w:noWrap/>
            <w:vAlign w:val="center"/>
          </w:tcPr>
          <w:p w14:paraId="47F569C5">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381" w:type="pct"/>
            <w:shd w:val="clear" w:color="auto" w:fill="auto"/>
            <w:vAlign w:val="center"/>
          </w:tcPr>
          <w:p w14:paraId="74286D7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废液收集系统</w:t>
            </w:r>
          </w:p>
        </w:tc>
        <w:tc>
          <w:tcPr>
            <w:tcW w:w="783" w:type="pct"/>
            <w:shd w:val="clear" w:color="auto" w:fill="auto"/>
            <w:vAlign w:val="center"/>
          </w:tcPr>
          <w:p w14:paraId="0F09E3FC">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820420" cy="498475"/>
                  <wp:effectExtent l="0" t="0" r="6350" b="8255"/>
                  <wp:docPr id="79" name="图片 79" descr="废液收集系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废液收集系统"/>
                          <pic:cNvPicPr>
                            <a:picLocks noChangeAspect="1"/>
                          </pic:cNvPicPr>
                        </pic:nvPicPr>
                        <pic:blipFill>
                          <a:blip r:embed="rId16"/>
                          <a:stretch>
                            <a:fillRect/>
                          </a:stretch>
                        </pic:blipFill>
                        <pic:spPr>
                          <a:xfrm>
                            <a:off x="0" y="0"/>
                            <a:ext cx="820420" cy="498475"/>
                          </a:xfrm>
                          <a:prstGeom prst="rect">
                            <a:avLst/>
                          </a:prstGeom>
                        </pic:spPr>
                      </pic:pic>
                    </a:graphicData>
                  </a:graphic>
                </wp:inline>
              </w:drawing>
            </w:r>
          </w:p>
        </w:tc>
        <w:tc>
          <w:tcPr>
            <w:tcW w:w="2826" w:type="pct"/>
            <w:shd w:val="clear" w:color="auto" w:fill="auto"/>
            <w:vAlign w:val="center"/>
          </w:tcPr>
          <w:p w14:paraId="3442CE9A">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一、系统配置要求</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1．采用管网式分析仪器溶剂密封及废液回收系统，管网式汇总式收集，隐藏式安装工艺，20L废液收集桶1用1备，可有效从源头上解决实验室废液废气产生扩散污染问题。</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2．每排废分析仪器废液回收系统，每1台分析仪器的流动相须配置4套溶剂进样密封安全盖（带空气单向阀）。</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3．每排废分析仪器废液回收系统须配置双桶自动液位报警系统。</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4．每排分析仪器废液收集点须配置1个三层吸附挥发性有害气体吸附过滤器。</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5．每排废分析仪器废液回收系统须配置1个S60废液安全盖。</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二、系统技术要求</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废液回收系统主管道：须采用φ≥32mm，化学废液收集专用耐腐蚀，耐压的成套标准管道，并具有防静电、阻燃、耐腐蚀、抗压等特性，从而避免塑料应力变形产积液、漏液等造成实验室化学废液泄漏、燃爆安全事件。</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★2．自动液位监测安全盖：带自动液位信号监测装置,液位信号与桶内气体完全隔离，可有效避免交叉接触风险，液位信号可无缝对接到自动液位报警系统，从而避免溢满风险。</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★3．挥发性有害气体吸附过滤器：活性炭的活性内表面</w:t>
            </w:r>
            <w:r>
              <w:rPr>
                <w:rFonts w:hint="eastAsia" w:ascii="宋体" w:hAnsi="宋体" w:eastAsia="宋体" w:cs="宋体"/>
                <w:color w:val="auto"/>
                <w:kern w:val="0"/>
                <w:sz w:val="21"/>
                <w:szCs w:val="21"/>
                <w:highlight w:val="none"/>
                <w:lang w:bidi="ar"/>
              </w:rPr>
              <w:t>≥1000m</w:t>
            </w:r>
            <w:r>
              <w:rPr>
                <w:rFonts w:hint="eastAsia" w:ascii="宋体" w:hAnsi="宋体" w:eastAsia="宋体" w:cs="宋体"/>
                <w:color w:val="auto"/>
                <w:kern w:val="0"/>
                <w:sz w:val="21"/>
                <w:szCs w:val="21"/>
                <w:highlight w:val="none"/>
                <w:vertAlign w:val="superscript"/>
                <w:lang w:bidi="ar"/>
              </w:rPr>
              <w:t>2</w:t>
            </w:r>
            <w:r>
              <w:rPr>
                <w:rFonts w:hint="eastAsia" w:ascii="宋体" w:hAnsi="宋体" w:eastAsia="宋体" w:cs="宋体"/>
                <w:color w:val="auto"/>
                <w:kern w:val="0"/>
                <w:sz w:val="21"/>
                <w:szCs w:val="21"/>
                <w:highlight w:val="none"/>
                <w:lang w:bidi="ar"/>
              </w:rPr>
              <w:t>/g，</w:t>
            </w:r>
            <w:r>
              <w:rPr>
                <w:rFonts w:hint="eastAsia" w:ascii="宋体" w:hAnsi="宋体" w:eastAsia="宋体" w:cs="宋体"/>
                <w:color w:val="auto"/>
                <w:kern w:val="0"/>
                <w:sz w:val="21"/>
                <w:szCs w:val="21"/>
                <w:highlight w:val="none"/>
                <w:lang w:bidi="ar"/>
              </w:rPr>
              <w:t>具备良好的挥发性有害气体吸附功能，吸附率≥90%，设有按压式计时器，清晰展示何时需要更换产品，并提供样品校验，能最少满足3个月使用时间</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4．自动液位声光报警系统：可实现自动切换控制模式，具备设备故障自检报警、重复报警提醒、可调节能休眠功能。</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废液安全收集桶：容量20L，尺寸≤W290*D250*H390(mm),壁厚:1.5mm，净重≥1.6kg，螺纹口径S60，全新HD-PE材质，颜色：白色半透明。可满足盛放不同化学溶剂溶液，符合危险化学废液道路运输许可要求标准规范，桶身标贴有可书写分类辨识标签，不得采用异形或非标螺纹口收集桶，从而提高后续备品更换和采购的便利性、经济性。</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6．安装工艺：废液收集管网系统采用防静电工艺安装布置，末端须采用GL25/全新PTFE材质导流软管连接，确保液体缓慢流向废液收集桶中，避免收集过程产生大量静电，降低废液收集过程风险。</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7．二次防滴泄漏托盘：可防静电，耐化学腐蚀材质，尺寸≥W360*D360*H80（mm），表面易清洁，四面须配置废液安全管理标识。</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8．溶剂进样密封安全盖：GL45标准螺纹口，3孔设计，可适配1.6mm/2.3mm/3.2mm进样毛细管，优质耐腐蚀PPS/PTFE材质，配PTFE密封圈，防止挥发性气体泄漏</w:t>
            </w:r>
            <w:r>
              <w:rPr>
                <w:rFonts w:hint="eastAsia" w:ascii="宋体" w:hAnsi="宋体" w:eastAsia="宋体" w:cs="宋体"/>
                <w:color w:val="auto"/>
                <w:kern w:val="0"/>
                <w:sz w:val="21"/>
                <w:szCs w:val="21"/>
                <w:highlight w:val="none"/>
                <w:lang w:eastAsia="zh-CN" w:bidi="ar"/>
              </w:rPr>
              <w:t>。</w:t>
            </w:r>
          </w:p>
        </w:tc>
        <w:tc>
          <w:tcPr>
            <w:tcW w:w="338" w:type="pct"/>
            <w:shd w:val="clear" w:color="auto" w:fill="auto"/>
            <w:vAlign w:val="center"/>
          </w:tcPr>
          <w:p w14:paraId="79B84E3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套</w:t>
            </w:r>
          </w:p>
        </w:tc>
        <w:tc>
          <w:tcPr>
            <w:tcW w:w="285" w:type="pct"/>
            <w:shd w:val="clear" w:color="auto" w:fill="auto"/>
            <w:vAlign w:val="center"/>
          </w:tcPr>
          <w:p w14:paraId="16F68AC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12</w:t>
            </w:r>
          </w:p>
        </w:tc>
      </w:tr>
      <w:tr w14:paraId="29CCE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384" w:type="pct"/>
            <w:shd w:val="clear" w:color="auto" w:fill="auto"/>
            <w:noWrap/>
            <w:vAlign w:val="center"/>
          </w:tcPr>
          <w:p w14:paraId="6263ACA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66</w:t>
            </w:r>
          </w:p>
        </w:tc>
        <w:tc>
          <w:tcPr>
            <w:tcW w:w="381" w:type="pct"/>
            <w:shd w:val="clear" w:color="auto" w:fill="auto"/>
            <w:vAlign w:val="center"/>
          </w:tcPr>
          <w:p w14:paraId="6361135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钢制插座盒</w:t>
            </w:r>
          </w:p>
        </w:tc>
        <w:tc>
          <w:tcPr>
            <w:tcW w:w="783" w:type="pct"/>
            <w:shd w:val="clear" w:color="auto" w:fill="auto"/>
            <w:vAlign w:val="center"/>
          </w:tcPr>
          <w:p w14:paraId="69B3793E">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818515" cy="641985"/>
                  <wp:effectExtent l="0" t="0" r="8255" b="11430"/>
                  <wp:docPr id="80" name="图片 80" descr="钢制插座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钢制插座盒"/>
                          <pic:cNvPicPr>
                            <a:picLocks noChangeAspect="1"/>
                          </pic:cNvPicPr>
                        </pic:nvPicPr>
                        <pic:blipFill>
                          <a:blip r:embed="rId11"/>
                          <a:stretch>
                            <a:fillRect/>
                          </a:stretch>
                        </pic:blipFill>
                        <pic:spPr>
                          <a:xfrm>
                            <a:off x="0" y="0"/>
                            <a:ext cx="818515" cy="641985"/>
                          </a:xfrm>
                          <a:prstGeom prst="rect">
                            <a:avLst/>
                          </a:prstGeom>
                        </pic:spPr>
                      </pic:pic>
                    </a:graphicData>
                  </a:graphic>
                </wp:inline>
              </w:drawing>
            </w:r>
          </w:p>
        </w:tc>
        <w:tc>
          <w:tcPr>
            <w:tcW w:w="2826" w:type="pct"/>
            <w:shd w:val="clear" w:color="auto" w:fill="auto"/>
            <w:vAlign w:val="center"/>
          </w:tcPr>
          <w:p w14:paraId="463C9612">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1.材质1.0mm 冷轧镀锌钢板，一体折弯成型。</w:t>
            </w:r>
          </w:p>
          <w:p w14:paraId="7F51307A">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2.含两个5孔10A插座。</w:t>
            </w:r>
          </w:p>
          <w:p w14:paraId="70B99F1B">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3.尺寸约为100*100*250mm。</w:t>
            </w:r>
          </w:p>
          <w:p w14:paraId="1ACBDA50">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4.双插座独立绝缘分隔，防止相线短路。</w:t>
            </w:r>
          </w:p>
          <w:p w14:paraId="08E60DEB">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5.箱体满载长期使用无变形、焊缝开裂。</w:t>
            </w:r>
          </w:p>
        </w:tc>
        <w:tc>
          <w:tcPr>
            <w:tcW w:w="338" w:type="pct"/>
            <w:shd w:val="clear" w:color="auto" w:fill="auto"/>
            <w:vAlign w:val="center"/>
          </w:tcPr>
          <w:p w14:paraId="62E2D07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34D125CD">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449</w:t>
            </w:r>
          </w:p>
        </w:tc>
      </w:tr>
      <w:tr w14:paraId="54D79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3" w:hRule="atLeast"/>
        </w:trPr>
        <w:tc>
          <w:tcPr>
            <w:tcW w:w="384" w:type="pct"/>
            <w:shd w:val="clear" w:color="auto" w:fill="auto"/>
            <w:noWrap/>
            <w:vAlign w:val="center"/>
          </w:tcPr>
          <w:p w14:paraId="314CBE4B">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67</w:t>
            </w:r>
          </w:p>
        </w:tc>
        <w:tc>
          <w:tcPr>
            <w:tcW w:w="381" w:type="pct"/>
            <w:shd w:val="clear" w:color="auto" w:fill="auto"/>
            <w:vAlign w:val="center"/>
          </w:tcPr>
          <w:p w14:paraId="73671EA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更衣柜</w:t>
            </w:r>
          </w:p>
        </w:tc>
        <w:tc>
          <w:tcPr>
            <w:tcW w:w="783" w:type="pct"/>
            <w:shd w:val="clear" w:color="auto" w:fill="auto"/>
            <w:vAlign w:val="center"/>
          </w:tcPr>
          <w:p w14:paraId="335EC803">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20420" cy="977265"/>
                  <wp:effectExtent l="0" t="0" r="6350" b="9525"/>
                  <wp:docPr id="81" name="图片 81" descr="更衣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更衣柜"/>
                          <pic:cNvPicPr>
                            <a:picLocks noChangeAspect="1"/>
                          </pic:cNvPicPr>
                        </pic:nvPicPr>
                        <pic:blipFill>
                          <a:blip r:embed="rId17"/>
                          <a:stretch>
                            <a:fillRect/>
                          </a:stretch>
                        </pic:blipFill>
                        <pic:spPr>
                          <a:xfrm>
                            <a:off x="0" y="0"/>
                            <a:ext cx="820420" cy="977265"/>
                          </a:xfrm>
                          <a:prstGeom prst="rect">
                            <a:avLst/>
                          </a:prstGeom>
                        </pic:spPr>
                      </pic:pic>
                    </a:graphicData>
                  </a:graphic>
                </wp:inline>
              </w:drawing>
            </w:r>
          </w:p>
        </w:tc>
        <w:tc>
          <w:tcPr>
            <w:tcW w:w="2826" w:type="pct"/>
            <w:shd w:val="clear" w:color="auto" w:fill="auto"/>
            <w:vAlign w:val="center"/>
          </w:tcPr>
          <w:p w14:paraId="6D0B6BDC">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450*500*1900</w:t>
            </w:r>
            <w:r>
              <w:rPr>
                <w:rFonts w:hint="eastAsia" w:ascii="宋体" w:hAnsi="宋体" w:eastAsia="宋体" w:cs="宋体"/>
                <w:color w:val="auto"/>
                <w:kern w:val="0"/>
                <w:sz w:val="21"/>
                <w:szCs w:val="21"/>
                <w:highlight w:val="none"/>
                <w:lang w:val="en-US" w:eastAsia="zh-CN" w:bidi="ar"/>
              </w:rPr>
              <w:t>mm</w:t>
            </w:r>
          </w:p>
          <w:p w14:paraId="57455FD5">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1、全钢框架，整体可拆卸</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2、实验室专用，采用1.0mm厚度</w:t>
            </w:r>
            <w:r>
              <w:rPr>
                <w:rFonts w:hint="eastAsia" w:ascii="宋体" w:hAnsi="宋体" w:eastAsia="宋体" w:cs="宋体"/>
                <w:color w:val="auto"/>
                <w:kern w:val="0"/>
                <w:sz w:val="21"/>
                <w:szCs w:val="21"/>
                <w:highlight w:val="none"/>
                <w:lang w:eastAsia="zh-CN" w:bidi="ar"/>
              </w:rPr>
              <w:t>一级冷轧钢</w:t>
            </w:r>
            <w:r>
              <w:rPr>
                <w:rFonts w:hint="eastAsia" w:ascii="宋体" w:hAnsi="宋体" w:eastAsia="宋体" w:cs="宋体"/>
                <w:color w:val="auto"/>
                <w:kern w:val="0"/>
                <w:sz w:val="21"/>
                <w:szCs w:val="21"/>
                <w:highlight w:val="none"/>
                <w:lang w:bidi="ar"/>
              </w:rPr>
              <w:t>经数控剪板，数控冲压，数控折弯，焊接等一系列程序成型，表面经酸洗磷化后喷涂环氧树脂粉末</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3、双开门，采用1.0MM厚冷扎钢板，中间填充有隔音材料</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4、上层设不锈钢挂衣管，下层设一层鞋柜</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5、门铰采用2.0mm厚度的304不锈钢合页。</w:t>
            </w:r>
          </w:p>
        </w:tc>
        <w:tc>
          <w:tcPr>
            <w:tcW w:w="338" w:type="pct"/>
            <w:shd w:val="clear" w:color="auto" w:fill="auto"/>
            <w:vAlign w:val="center"/>
          </w:tcPr>
          <w:p w14:paraId="5B01B3F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3C2BB3F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98</w:t>
            </w:r>
          </w:p>
        </w:tc>
      </w:tr>
      <w:tr w14:paraId="6656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4" w:type="pct"/>
            <w:shd w:val="clear" w:color="auto" w:fill="auto"/>
            <w:noWrap/>
            <w:vAlign w:val="center"/>
          </w:tcPr>
          <w:p w14:paraId="0858304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68</w:t>
            </w:r>
          </w:p>
        </w:tc>
        <w:tc>
          <w:tcPr>
            <w:tcW w:w="381" w:type="pct"/>
            <w:shd w:val="clear" w:color="auto" w:fill="auto"/>
            <w:vAlign w:val="center"/>
          </w:tcPr>
          <w:p w14:paraId="70F175F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角柜</w:t>
            </w:r>
          </w:p>
        </w:tc>
        <w:tc>
          <w:tcPr>
            <w:tcW w:w="783" w:type="pct"/>
            <w:shd w:val="clear" w:color="auto" w:fill="auto"/>
            <w:vAlign w:val="center"/>
          </w:tcPr>
          <w:p w14:paraId="66DD7AB0">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20420" cy="657225"/>
                  <wp:effectExtent l="0" t="0" r="6350" b="9525"/>
                  <wp:docPr id="82" name="图片 82" descr="角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角柜"/>
                          <pic:cNvPicPr>
                            <a:picLocks noChangeAspect="1"/>
                          </pic:cNvPicPr>
                        </pic:nvPicPr>
                        <pic:blipFill>
                          <a:blip r:embed="rId18"/>
                          <a:stretch>
                            <a:fillRect/>
                          </a:stretch>
                        </pic:blipFill>
                        <pic:spPr>
                          <a:xfrm>
                            <a:off x="0" y="0"/>
                            <a:ext cx="820420" cy="657225"/>
                          </a:xfrm>
                          <a:prstGeom prst="rect">
                            <a:avLst/>
                          </a:prstGeom>
                        </pic:spPr>
                      </pic:pic>
                    </a:graphicData>
                  </a:graphic>
                </wp:inline>
              </w:drawing>
            </w:r>
          </w:p>
        </w:tc>
        <w:tc>
          <w:tcPr>
            <w:tcW w:w="2826" w:type="pct"/>
            <w:shd w:val="clear" w:color="auto" w:fill="auto"/>
            <w:vAlign w:val="center"/>
          </w:tcPr>
          <w:p w14:paraId="65F6E29D">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1000*1000*850</w:t>
            </w:r>
            <w:r>
              <w:rPr>
                <w:rFonts w:hint="eastAsia" w:ascii="宋体" w:hAnsi="宋体" w:eastAsia="宋体" w:cs="宋体"/>
                <w:color w:val="auto"/>
                <w:kern w:val="0"/>
                <w:sz w:val="21"/>
                <w:szCs w:val="21"/>
                <w:highlight w:val="none"/>
                <w:lang w:val="en-US" w:eastAsia="zh-CN" w:bidi="ar"/>
              </w:rPr>
              <w:t>mm</w:t>
            </w:r>
          </w:p>
          <w:p w14:paraId="549979E4">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1、落地全钢结构，台面国产20mm陶瓷板台面，台面耐酸碱、耐腐蚀。</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2、柜体采用1.0mm厚度</w:t>
            </w:r>
            <w:r>
              <w:rPr>
                <w:rFonts w:hint="eastAsia" w:ascii="宋体" w:hAnsi="宋体" w:eastAsia="宋体" w:cs="宋体"/>
                <w:color w:val="auto"/>
                <w:kern w:val="0"/>
                <w:sz w:val="21"/>
                <w:szCs w:val="21"/>
                <w:highlight w:val="none"/>
                <w:lang w:eastAsia="zh-CN" w:bidi="ar"/>
              </w:rPr>
              <w:t>一级冷轧钢</w:t>
            </w:r>
            <w:r>
              <w:rPr>
                <w:rFonts w:hint="eastAsia" w:ascii="宋体" w:hAnsi="宋体" w:eastAsia="宋体" w:cs="宋体"/>
                <w:color w:val="auto"/>
                <w:kern w:val="0"/>
                <w:sz w:val="21"/>
                <w:szCs w:val="21"/>
                <w:highlight w:val="none"/>
                <w:lang w:bidi="ar"/>
              </w:rPr>
              <w:t>经数控剪板数控冲压数控折弯,焊接等一系列程序成型,表面经酸洗磷化后啧涂环氧树脂粉末。</w:t>
            </w:r>
          </w:p>
        </w:tc>
        <w:tc>
          <w:tcPr>
            <w:tcW w:w="338" w:type="pct"/>
            <w:shd w:val="clear" w:color="auto" w:fill="auto"/>
            <w:vAlign w:val="center"/>
          </w:tcPr>
          <w:p w14:paraId="3F8F247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18F9FDD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27</w:t>
            </w:r>
          </w:p>
        </w:tc>
      </w:tr>
      <w:tr w14:paraId="1324B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384" w:type="pct"/>
            <w:shd w:val="clear" w:color="auto" w:fill="auto"/>
            <w:noWrap/>
            <w:vAlign w:val="center"/>
          </w:tcPr>
          <w:p w14:paraId="2BEFD2D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69</w:t>
            </w:r>
          </w:p>
        </w:tc>
        <w:tc>
          <w:tcPr>
            <w:tcW w:w="381" w:type="pct"/>
            <w:shd w:val="clear" w:color="auto" w:fill="auto"/>
            <w:vAlign w:val="center"/>
          </w:tcPr>
          <w:p w14:paraId="4C38477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紧急冲淋洗眼器</w:t>
            </w:r>
          </w:p>
        </w:tc>
        <w:tc>
          <w:tcPr>
            <w:tcW w:w="783" w:type="pct"/>
            <w:shd w:val="clear" w:color="auto" w:fill="auto"/>
            <w:vAlign w:val="center"/>
          </w:tcPr>
          <w:p w14:paraId="178C3E9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kern w:val="0"/>
                <w:sz w:val="21"/>
                <w:szCs w:val="21"/>
                <w:highlight w:val="none"/>
                <w:lang w:bidi="ar"/>
              </w:rPr>
            </w:pPr>
          </w:p>
          <w:p w14:paraId="424E1F04">
            <w:pPr>
              <w:pStyle w:val="4"/>
              <w:rPr>
                <w:rFonts w:hint="eastAsia" w:asciiTheme="minorHAnsi" w:hAnsiTheme="minorHAnsi" w:eastAsiaTheme="minorEastAsia" w:cstheme="minorBidi"/>
                <w:color w:val="auto"/>
                <w:sz w:val="32"/>
                <w:szCs w:val="32"/>
                <w:highlight w:val="none"/>
              </w:rPr>
            </w:pPr>
            <w:r>
              <w:rPr>
                <w:rFonts w:hint="eastAsia" w:asciiTheme="minorHAnsi" w:hAnsiTheme="minorHAnsi" w:eastAsiaTheme="minorEastAsia" w:cstheme="minorBidi"/>
                <w:color w:val="auto"/>
                <w:sz w:val="32"/>
                <w:szCs w:val="32"/>
                <w:highlight w:val="none"/>
              </w:rPr>
              <w:drawing>
                <wp:inline distT="0" distB="0" distL="114300" distR="114300">
                  <wp:extent cx="820420" cy="2208530"/>
                  <wp:effectExtent l="0" t="0" r="6350" b="5080"/>
                  <wp:docPr id="83" name="图片 83" descr="紧急冲淋洗眼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紧急冲淋洗眼器"/>
                          <pic:cNvPicPr>
                            <a:picLocks noChangeAspect="1"/>
                          </pic:cNvPicPr>
                        </pic:nvPicPr>
                        <pic:blipFill>
                          <a:blip r:embed="rId19"/>
                          <a:stretch>
                            <a:fillRect/>
                          </a:stretch>
                        </pic:blipFill>
                        <pic:spPr>
                          <a:xfrm>
                            <a:off x="0" y="0"/>
                            <a:ext cx="820420" cy="2208530"/>
                          </a:xfrm>
                          <a:prstGeom prst="rect">
                            <a:avLst/>
                          </a:prstGeom>
                        </pic:spPr>
                      </pic:pic>
                    </a:graphicData>
                  </a:graphic>
                </wp:inline>
              </w:drawing>
            </w:r>
          </w:p>
        </w:tc>
        <w:tc>
          <w:tcPr>
            <w:tcW w:w="2826" w:type="pct"/>
            <w:shd w:val="clear" w:color="auto" w:fill="auto"/>
            <w:vAlign w:val="center"/>
          </w:tcPr>
          <w:p w14:paraId="066648D2">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900*450*2000</w:t>
            </w:r>
            <w:r>
              <w:rPr>
                <w:rFonts w:hint="eastAsia" w:ascii="宋体" w:hAnsi="宋体" w:eastAsia="宋体" w:cs="宋体"/>
                <w:color w:val="auto"/>
                <w:kern w:val="0"/>
                <w:sz w:val="21"/>
                <w:szCs w:val="21"/>
                <w:highlight w:val="none"/>
                <w:lang w:val="en-US" w:eastAsia="zh-CN" w:bidi="ar"/>
              </w:rPr>
              <w:t>mm</w:t>
            </w:r>
          </w:p>
          <w:p w14:paraId="64106AAF">
            <w:pPr>
              <w:keepNext w:val="0"/>
              <w:keepLines w:val="0"/>
              <w:pageBreakBefore w:val="0"/>
              <w:widowControl/>
              <w:numPr>
                <w:ilvl w:val="0"/>
                <w:numId w:val="3"/>
              </w:numPr>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规格：立式</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2、材质：304不锈钢，冲淋阀门及洗眼器阀门需快开陶瓷阀（非球阀）方便维保。</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3、技术参数：</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3.1、</w:t>
            </w:r>
            <w:r>
              <w:rPr>
                <w:rFonts w:hint="eastAsia" w:ascii="宋体" w:hAnsi="宋体" w:eastAsia="宋体" w:cs="宋体"/>
                <w:color w:val="auto"/>
                <w:kern w:val="0"/>
                <w:sz w:val="21"/>
                <w:szCs w:val="21"/>
                <w:highlight w:val="none"/>
                <w:lang w:val="en-US" w:eastAsia="zh-CN" w:bidi="ar"/>
              </w:rPr>
              <w:t>投标时</w:t>
            </w:r>
            <w:r>
              <w:rPr>
                <w:rFonts w:hint="eastAsia" w:ascii="宋体" w:hAnsi="宋体" w:eastAsia="宋体" w:cs="宋体"/>
                <w:color w:val="auto"/>
                <w:kern w:val="0"/>
                <w:sz w:val="21"/>
                <w:szCs w:val="21"/>
                <w:highlight w:val="none"/>
                <w:lang w:bidi="ar"/>
              </w:rPr>
              <w:t>需提供第三方检测机构出具的紧急喷淋铬（Cr）含量大于18%、镍（Ni）含量大于8%的检测报告</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3.2、喷淋性能</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（1）喷淋流量：达到至少76L/min，确保快速有效地覆盖受影响区域</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（2）喷淋持续时间：连续供水时间至少为15分钟，以满足紧急情况下的清洗需求。</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3.3、系统设计与安装</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（1）安装位置：靠近危险区域，确保人员在紧急情况下能够迅速到达。</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（2）材料选择：采用不锈钢材质，确保系统的稳定性和耐用性。</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（3）操作方式：需具有手拉式、脚踏式，便于快速启动。</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3.4、出水要求</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（1）出水温度：使用常温水，避免对皮肤造成刺激。</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（2）水质要求：使用清洁的自来水或去离子水，确保清洗效果。</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3.5、安全标识</w:t>
            </w:r>
          </w:p>
          <w:p w14:paraId="70FBCE2B">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设备周围设置明显的安全标识和操作流程，确保人员的正确使用。</w:t>
            </w:r>
          </w:p>
        </w:tc>
        <w:tc>
          <w:tcPr>
            <w:tcW w:w="338" w:type="pct"/>
            <w:shd w:val="clear" w:color="auto" w:fill="auto"/>
            <w:vAlign w:val="center"/>
          </w:tcPr>
          <w:p w14:paraId="28C0E4C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1B8F604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31</w:t>
            </w:r>
          </w:p>
        </w:tc>
      </w:tr>
      <w:tr w14:paraId="4BD3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5" w:hRule="atLeast"/>
        </w:trPr>
        <w:tc>
          <w:tcPr>
            <w:tcW w:w="384" w:type="pct"/>
            <w:shd w:val="clear" w:color="auto" w:fill="auto"/>
            <w:noWrap/>
            <w:vAlign w:val="center"/>
          </w:tcPr>
          <w:p w14:paraId="09390249">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70</w:t>
            </w:r>
          </w:p>
        </w:tc>
        <w:tc>
          <w:tcPr>
            <w:tcW w:w="381" w:type="pct"/>
            <w:shd w:val="clear" w:color="auto" w:fill="auto"/>
            <w:vAlign w:val="center"/>
          </w:tcPr>
          <w:p w14:paraId="213B73D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器皿柜</w:t>
            </w:r>
          </w:p>
        </w:tc>
        <w:tc>
          <w:tcPr>
            <w:tcW w:w="783" w:type="pct"/>
            <w:shd w:val="clear" w:color="auto" w:fill="auto"/>
            <w:vAlign w:val="center"/>
          </w:tcPr>
          <w:p w14:paraId="01337811">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21055" cy="1463675"/>
                  <wp:effectExtent l="0" t="0" r="5715" b="3175"/>
                  <wp:docPr id="84" name="图片 84" descr="器皿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器皿柜"/>
                          <pic:cNvPicPr>
                            <a:picLocks noChangeAspect="1"/>
                          </pic:cNvPicPr>
                        </pic:nvPicPr>
                        <pic:blipFill>
                          <a:blip r:embed="rId20"/>
                          <a:stretch>
                            <a:fillRect/>
                          </a:stretch>
                        </pic:blipFill>
                        <pic:spPr>
                          <a:xfrm>
                            <a:off x="0" y="0"/>
                            <a:ext cx="821055" cy="1463675"/>
                          </a:xfrm>
                          <a:prstGeom prst="rect">
                            <a:avLst/>
                          </a:prstGeom>
                        </pic:spPr>
                      </pic:pic>
                    </a:graphicData>
                  </a:graphic>
                </wp:inline>
              </w:drawing>
            </w:r>
          </w:p>
        </w:tc>
        <w:tc>
          <w:tcPr>
            <w:tcW w:w="2826" w:type="pct"/>
            <w:shd w:val="clear" w:color="auto" w:fill="auto"/>
            <w:vAlign w:val="center"/>
          </w:tcPr>
          <w:p w14:paraId="1B5AB2D6">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900*450*2000</w:t>
            </w:r>
            <w:r>
              <w:rPr>
                <w:rFonts w:hint="eastAsia" w:ascii="宋体" w:hAnsi="宋体" w:eastAsia="宋体" w:cs="宋体"/>
                <w:color w:val="auto"/>
                <w:kern w:val="0"/>
                <w:sz w:val="21"/>
                <w:szCs w:val="21"/>
                <w:highlight w:val="none"/>
                <w:lang w:val="en-US" w:eastAsia="zh-CN" w:bidi="ar"/>
              </w:rPr>
              <w:t>mm</w:t>
            </w:r>
          </w:p>
          <w:p w14:paraId="3C89EE64">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1、全钢结构，整体可拆卸</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2、实验室专用，采用1.0mm厚度</w:t>
            </w:r>
            <w:r>
              <w:rPr>
                <w:rFonts w:hint="eastAsia" w:ascii="宋体" w:hAnsi="宋体" w:eastAsia="宋体" w:cs="宋体"/>
                <w:color w:val="auto"/>
                <w:kern w:val="0"/>
                <w:sz w:val="21"/>
                <w:szCs w:val="21"/>
                <w:highlight w:val="none"/>
                <w:lang w:eastAsia="zh-CN" w:bidi="ar"/>
              </w:rPr>
              <w:t>一级冷轧钢</w:t>
            </w:r>
            <w:r>
              <w:rPr>
                <w:rFonts w:hint="eastAsia" w:ascii="宋体" w:hAnsi="宋体" w:eastAsia="宋体" w:cs="宋体"/>
                <w:color w:val="auto"/>
                <w:kern w:val="0"/>
                <w:sz w:val="21"/>
                <w:szCs w:val="21"/>
                <w:highlight w:val="none"/>
                <w:lang w:bidi="ar"/>
              </w:rPr>
              <w:t>经数控剪板，数控冲压，数控折弯，焊接等一系列程序成型，表面经酸洗磷化后喷涂环氧树脂粉末</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3、柜门带铝合金闪电锁</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4、上下双开门，上部内嵌5mm透明玻璃</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5、带三层活动层板</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6、门铰采用2.0mm厚度的304不锈钢合页</w:t>
            </w:r>
            <w:r>
              <w:rPr>
                <w:rFonts w:hint="eastAsia" w:ascii="宋体" w:hAnsi="宋体" w:eastAsia="宋体" w:cs="宋体"/>
                <w:color w:val="auto"/>
                <w:kern w:val="0"/>
                <w:sz w:val="21"/>
                <w:szCs w:val="21"/>
                <w:highlight w:val="none"/>
                <w:lang w:eastAsia="zh-CN" w:bidi="ar"/>
              </w:rPr>
              <w:t>。</w:t>
            </w:r>
          </w:p>
        </w:tc>
        <w:tc>
          <w:tcPr>
            <w:tcW w:w="338" w:type="pct"/>
            <w:shd w:val="clear" w:color="auto" w:fill="auto"/>
            <w:vAlign w:val="center"/>
          </w:tcPr>
          <w:p w14:paraId="26F1A2C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0436CDD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34</w:t>
            </w:r>
          </w:p>
        </w:tc>
      </w:tr>
      <w:tr w14:paraId="675A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384" w:type="pct"/>
            <w:shd w:val="clear" w:color="auto" w:fill="auto"/>
            <w:noWrap/>
            <w:vAlign w:val="center"/>
          </w:tcPr>
          <w:p w14:paraId="26E8C6C2">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71</w:t>
            </w:r>
          </w:p>
        </w:tc>
        <w:tc>
          <w:tcPr>
            <w:tcW w:w="381" w:type="pct"/>
            <w:shd w:val="clear" w:color="auto" w:fill="auto"/>
            <w:vAlign w:val="center"/>
          </w:tcPr>
          <w:p w14:paraId="4E93227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全钢试剂架</w:t>
            </w:r>
          </w:p>
        </w:tc>
        <w:tc>
          <w:tcPr>
            <w:tcW w:w="783" w:type="pct"/>
            <w:shd w:val="clear" w:color="auto" w:fill="auto"/>
            <w:vAlign w:val="center"/>
          </w:tcPr>
          <w:p w14:paraId="031252A1">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15975" cy="619125"/>
                  <wp:effectExtent l="0" t="0" r="10795" b="7620"/>
                  <wp:docPr id="85" name="图片 85" descr="全钢试剂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全钢试剂架"/>
                          <pic:cNvPicPr>
                            <a:picLocks noChangeAspect="1"/>
                          </pic:cNvPicPr>
                        </pic:nvPicPr>
                        <pic:blipFill>
                          <a:blip r:embed="rId21"/>
                          <a:stretch>
                            <a:fillRect/>
                          </a:stretch>
                        </pic:blipFill>
                        <pic:spPr>
                          <a:xfrm>
                            <a:off x="0" y="0"/>
                            <a:ext cx="815975" cy="619125"/>
                          </a:xfrm>
                          <a:prstGeom prst="rect">
                            <a:avLst/>
                          </a:prstGeom>
                        </pic:spPr>
                      </pic:pic>
                    </a:graphicData>
                  </a:graphic>
                </wp:inline>
              </w:drawing>
            </w:r>
          </w:p>
        </w:tc>
        <w:tc>
          <w:tcPr>
            <w:tcW w:w="2826" w:type="pct"/>
            <w:shd w:val="clear" w:color="auto" w:fill="auto"/>
            <w:noWrap/>
            <w:vAlign w:val="center"/>
          </w:tcPr>
          <w:p w14:paraId="6664AA86">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3000*300*750</w:t>
            </w:r>
            <w:r>
              <w:rPr>
                <w:rFonts w:hint="eastAsia" w:ascii="宋体" w:hAnsi="宋体" w:eastAsia="宋体" w:cs="宋体"/>
                <w:color w:val="auto"/>
                <w:kern w:val="0"/>
                <w:sz w:val="21"/>
                <w:szCs w:val="21"/>
                <w:highlight w:val="none"/>
                <w:lang w:val="en-US" w:eastAsia="zh-CN" w:bidi="ar"/>
              </w:rPr>
              <w:t>mm</w:t>
            </w:r>
          </w:p>
          <w:p w14:paraId="7599D0CD">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1、主体： 主立柱采1.0mm冷轧钢板，经数控剪裁，冲孔，切角，折弯后成型，酸洗磷化处理后喷涂环氧树脂。</w:t>
            </w:r>
          </w:p>
          <w:p w14:paraId="39919DAD">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2、挂件托板：采用2.0mm冷轧钢板经剪裁、定位打孔折弯后成型，酸洗磷化处理后喷涂环氧树脂粉末高温烘烤固化。</w:t>
            </w:r>
          </w:p>
          <w:p w14:paraId="29696AEB">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3、层板：层板采用12mm玻璃，周边倒角。层高可以任意自由调节。</w:t>
            </w:r>
          </w:p>
          <w:p w14:paraId="1CCFADD4">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4、防落架：采用1.0mm优质铝合金椭圆型材，经酸洗磷化处理后喷涂环氧树脂粉末高温烘烤固化而成，形成通体防落架，有效防止试剂跌落，保护实验室工作人员人身安全。</w:t>
            </w:r>
          </w:p>
          <w:p w14:paraId="456CEE1C">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5、电源：采用实验室专用220V、10A、5孔电源插座,插座安装在立柱之间的铝合金线槽上，实用美观</w:t>
            </w:r>
            <w:r>
              <w:rPr>
                <w:rFonts w:hint="eastAsia" w:ascii="宋体" w:hAnsi="宋体" w:eastAsia="宋体" w:cs="宋体"/>
                <w:color w:val="auto"/>
                <w:kern w:val="0"/>
                <w:sz w:val="21"/>
                <w:szCs w:val="21"/>
                <w:highlight w:val="none"/>
                <w:lang w:eastAsia="zh-CN" w:bidi="ar"/>
              </w:rPr>
              <w:t>。</w:t>
            </w:r>
          </w:p>
        </w:tc>
        <w:tc>
          <w:tcPr>
            <w:tcW w:w="338" w:type="pct"/>
            <w:shd w:val="clear" w:color="auto" w:fill="auto"/>
            <w:vAlign w:val="center"/>
          </w:tcPr>
          <w:p w14:paraId="1A83B49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325E67B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76</w:t>
            </w:r>
          </w:p>
        </w:tc>
      </w:tr>
      <w:tr w14:paraId="4956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8" w:hRule="atLeast"/>
        </w:trPr>
        <w:tc>
          <w:tcPr>
            <w:tcW w:w="384" w:type="pct"/>
            <w:shd w:val="clear" w:color="auto" w:fill="auto"/>
            <w:noWrap/>
            <w:vAlign w:val="center"/>
          </w:tcPr>
          <w:p w14:paraId="7B9CCBBC">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72</w:t>
            </w:r>
          </w:p>
        </w:tc>
        <w:tc>
          <w:tcPr>
            <w:tcW w:w="381" w:type="pct"/>
            <w:shd w:val="clear" w:color="auto" w:fill="auto"/>
            <w:vAlign w:val="center"/>
          </w:tcPr>
          <w:p w14:paraId="5B43450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三联水龙头</w:t>
            </w:r>
          </w:p>
        </w:tc>
        <w:tc>
          <w:tcPr>
            <w:tcW w:w="783" w:type="pct"/>
            <w:shd w:val="clear" w:color="auto" w:fill="auto"/>
            <w:vAlign w:val="center"/>
          </w:tcPr>
          <w:p w14:paraId="48602F4B">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820420" cy="1043305"/>
                  <wp:effectExtent l="0" t="0" r="6350" b="10160"/>
                  <wp:docPr id="86" name="图片 86" descr="三联水龙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三联水龙头"/>
                          <pic:cNvPicPr>
                            <a:picLocks noChangeAspect="1"/>
                          </pic:cNvPicPr>
                        </pic:nvPicPr>
                        <pic:blipFill>
                          <a:blip r:embed="rId22"/>
                          <a:stretch>
                            <a:fillRect/>
                          </a:stretch>
                        </pic:blipFill>
                        <pic:spPr>
                          <a:xfrm>
                            <a:off x="0" y="0"/>
                            <a:ext cx="820420" cy="1043305"/>
                          </a:xfrm>
                          <a:prstGeom prst="rect">
                            <a:avLst/>
                          </a:prstGeom>
                        </pic:spPr>
                      </pic:pic>
                    </a:graphicData>
                  </a:graphic>
                </wp:inline>
              </w:drawing>
            </w:r>
          </w:p>
        </w:tc>
        <w:tc>
          <w:tcPr>
            <w:tcW w:w="2826" w:type="pct"/>
            <w:shd w:val="clear" w:color="auto" w:fill="auto"/>
            <w:vAlign w:val="center"/>
          </w:tcPr>
          <w:p w14:paraId="24077F8D">
            <w:pPr>
              <w:pStyle w:val="8"/>
              <w:wordWrap w:val="0"/>
              <w:rPr>
                <w:rFonts w:hint="eastAsia"/>
                <w:color w:val="auto"/>
                <w:highlight w:val="none"/>
              </w:rPr>
            </w:pPr>
            <w:r>
              <w:rPr>
                <w:rFonts w:hint="eastAsia" w:ascii="宋体" w:hAnsi="宋体" w:eastAsia="宋体" w:cs="宋体"/>
                <w:color w:val="auto"/>
                <w:kern w:val="0"/>
                <w:sz w:val="21"/>
                <w:szCs w:val="21"/>
                <w:highlight w:val="none"/>
                <w:lang w:bidi="ar"/>
              </w:rPr>
              <w:t>龙头选用H63黄铜管，使用红冲锻造工艺，不出现砂眼；涂层经哑光环氧树脂粉末涂料热固处理，防紫外线辐射，耐化学腐蚀；陶瓷阀芯可90度旋转、耐磨、耐腐蚀，开关使用寿命测试可达60万次，静态最大耐压2.5MPa，鹅颈出水管可360度旋转；旋钮把手为PP全新料无添加碳酸钙；供水软管：长度1.5米，软性PVC管外覆不锈钢网，外层包裹PE管，有效防止生锈、渗漏。</w:t>
            </w:r>
            <w:r>
              <w:rPr>
                <w:rFonts w:hint="eastAsia"/>
                <w:color w:val="auto"/>
                <w:highlight w:val="none"/>
                <w:lang w:eastAsia="zh-CN"/>
              </w:rPr>
              <w:t>投标时须提供节能产品。</w:t>
            </w:r>
          </w:p>
        </w:tc>
        <w:tc>
          <w:tcPr>
            <w:tcW w:w="338" w:type="pct"/>
            <w:shd w:val="clear" w:color="auto" w:fill="auto"/>
            <w:vAlign w:val="center"/>
          </w:tcPr>
          <w:p w14:paraId="3A438F9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47BC112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213</w:t>
            </w:r>
          </w:p>
        </w:tc>
      </w:tr>
      <w:tr w14:paraId="5CB12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384" w:type="pct"/>
            <w:shd w:val="clear" w:color="auto" w:fill="auto"/>
            <w:noWrap/>
            <w:vAlign w:val="center"/>
          </w:tcPr>
          <w:p w14:paraId="149503FE">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73</w:t>
            </w:r>
          </w:p>
        </w:tc>
        <w:tc>
          <w:tcPr>
            <w:tcW w:w="381" w:type="pct"/>
            <w:shd w:val="clear" w:color="auto" w:fill="auto"/>
            <w:vAlign w:val="center"/>
          </w:tcPr>
          <w:p w14:paraId="4077ACA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实验椅1</w:t>
            </w:r>
          </w:p>
        </w:tc>
        <w:tc>
          <w:tcPr>
            <w:tcW w:w="783" w:type="pct"/>
            <w:shd w:val="clear" w:color="auto" w:fill="auto"/>
            <w:vAlign w:val="center"/>
          </w:tcPr>
          <w:p w14:paraId="068E1A07">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19150" cy="1151890"/>
                  <wp:effectExtent l="0" t="0" r="7620" b="8255"/>
                  <wp:docPr id="87" name="图片 87" descr="4029c1db2b947d1c5296250d7b62b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4029c1db2b947d1c5296250d7b62b374"/>
                          <pic:cNvPicPr>
                            <a:picLocks noChangeAspect="1"/>
                          </pic:cNvPicPr>
                        </pic:nvPicPr>
                        <pic:blipFill>
                          <a:blip r:embed="rId23"/>
                          <a:stretch>
                            <a:fillRect/>
                          </a:stretch>
                        </pic:blipFill>
                        <pic:spPr>
                          <a:xfrm>
                            <a:off x="0" y="0"/>
                            <a:ext cx="819150" cy="1151890"/>
                          </a:xfrm>
                          <a:prstGeom prst="rect">
                            <a:avLst/>
                          </a:prstGeom>
                        </pic:spPr>
                      </pic:pic>
                    </a:graphicData>
                  </a:graphic>
                </wp:inline>
              </w:drawing>
            </w:r>
          </w:p>
        </w:tc>
        <w:tc>
          <w:tcPr>
            <w:tcW w:w="2826" w:type="pct"/>
            <w:shd w:val="clear" w:color="auto" w:fill="auto"/>
            <w:vAlign w:val="center"/>
          </w:tcPr>
          <w:p w14:paraId="4F175A41">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490*620*880</w:t>
            </w:r>
            <w:r>
              <w:rPr>
                <w:rFonts w:hint="eastAsia" w:ascii="宋体" w:hAnsi="宋体" w:eastAsia="宋体" w:cs="宋体"/>
                <w:color w:val="auto"/>
                <w:kern w:val="0"/>
                <w:sz w:val="21"/>
                <w:szCs w:val="21"/>
                <w:highlight w:val="none"/>
                <w:lang w:val="en-US" w:eastAsia="zh-CN" w:bidi="ar"/>
              </w:rPr>
              <w:t>mm</w:t>
            </w:r>
          </w:p>
          <w:p w14:paraId="043B96BD">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1、常规要求</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1.1椅背厚度不小于50mm，座椅厚度不小于60mm，带塑料外壳</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1.2腰撑靠背（带衬垫），座椅宽度约为490 mm，座椅高度（最低）约H620mm，高度（最高 ）约H880mm</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1.3气升式（可调节高度约260 mm ），镀铬金属脚环（高度可调）</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1.4带脚轮的五星级镀铬金属底座</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2、材质及颜色</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2.1材质：乙烯基座套，内置阻燃泡沫，座套需耐磨、抗腐蚀</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2.2颜色：黑色</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3、功能规格</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3.1用于高度调节的气升装置应符合 DIN4550 要求和 SGS 性能测试或国标其他同等规范的检测要求</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3.2带有任意⻆度锁定系统的倾斜机构，靠背背压的张力控制，耐用的塑料盖罩住气压杆</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3.3可用脚轮：用于地毯的双轮脚轮、用于硬地板的PU 脚轮</w:t>
            </w:r>
            <w:r>
              <w:rPr>
                <w:rFonts w:hint="eastAsia" w:ascii="宋体" w:hAnsi="宋体" w:eastAsia="宋体" w:cs="宋体"/>
                <w:color w:val="auto"/>
                <w:kern w:val="0"/>
                <w:sz w:val="21"/>
                <w:szCs w:val="21"/>
                <w:highlight w:val="none"/>
                <w:lang w:eastAsia="zh-CN" w:bidi="ar"/>
              </w:rPr>
              <w:t>。</w:t>
            </w:r>
          </w:p>
        </w:tc>
        <w:tc>
          <w:tcPr>
            <w:tcW w:w="338" w:type="pct"/>
            <w:shd w:val="clear" w:color="auto" w:fill="auto"/>
            <w:vAlign w:val="center"/>
          </w:tcPr>
          <w:p w14:paraId="29A4DEB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张</w:t>
            </w:r>
          </w:p>
        </w:tc>
        <w:tc>
          <w:tcPr>
            <w:tcW w:w="285" w:type="pct"/>
            <w:shd w:val="clear" w:color="auto" w:fill="auto"/>
            <w:vAlign w:val="center"/>
          </w:tcPr>
          <w:p w14:paraId="1E5E6E4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394</w:t>
            </w:r>
          </w:p>
        </w:tc>
      </w:tr>
      <w:tr w14:paraId="37F8B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trPr>
        <w:tc>
          <w:tcPr>
            <w:tcW w:w="384" w:type="pct"/>
            <w:shd w:val="clear" w:color="auto" w:fill="auto"/>
            <w:noWrap/>
            <w:vAlign w:val="center"/>
          </w:tcPr>
          <w:p w14:paraId="35DD48E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74</w:t>
            </w:r>
          </w:p>
        </w:tc>
        <w:tc>
          <w:tcPr>
            <w:tcW w:w="381" w:type="pct"/>
            <w:shd w:val="clear" w:color="auto" w:fill="auto"/>
            <w:vAlign w:val="center"/>
          </w:tcPr>
          <w:p w14:paraId="1187E3F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实验椅2</w:t>
            </w:r>
          </w:p>
        </w:tc>
        <w:tc>
          <w:tcPr>
            <w:tcW w:w="783" w:type="pct"/>
            <w:shd w:val="clear" w:color="auto" w:fill="auto"/>
            <w:vAlign w:val="center"/>
          </w:tcPr>
          <w:p w14:paraId="0D1D3C43">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820420" cy="1247775"/>
                  <wp:effectExtent l="0" t="0" r="6350" b="5715"/>
                  <wp:docPr id="88" name="图片 88" descr="实验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实验椅"/>
                          <pic:cNvPicPr>
                            <a:picLocks noChangeAspect="1"/>
                          </pic:cNvPicPr>
                        </pic:nvPicPr>
                        <pic:blipFill>
                          <a:blip r:embed="rId24"/>
                          <a:stretch>
                            <a:fillRect/>
                          </a:stretch>
                        </pic:blipFill>
                        <pic:spPr>
                          <a:xfrm>
                            <a:off x="0" y="0"/>
                            <a:ext cx="820420" cy="1247775"/>
                          </a:xfrm>
                          <a:prstGeom prst="rect">
                            <a:avLst/>
                          </a:prstGeom>
                        </pic:spPr>
                      </pic:pic>
                    </a:graphicData>
                  </a:graphic>
                </wp:inline>
              </w:drawing>
            </w:r>
          </w:p>
        </w:tc>
        <w:tc>
          <w:tcPr>
            <w:tcW w:w="2826" w:type="pct"/>
            <w:shd w:val="clear" w:color="auto" w:fill="auto"/>
            <w:vAlign w:val="center"/>
          </w:tcPr>
          <w:p w14:paraId="75C64255">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490*620*880</w:t>
            </w:r>
            <w:r>
              <w:rPr>
                <w:rFonts w:hint="eastAsia" w:ascii="宋体" w:hAnsi="宋体" w:eastAsia="宋体" w:cs="宋体"/>
                <w:color w:val="auto"/>
                <w:kern w:val="0"/>
                <w:sz w:val="21"/>
                <w:szCs w:val="21"/>
                <w:highlight w:val="none"/>
                <w:lang w:val="en-US" w:eastAsia="zh-CN" w:bidi="ar"/>
              </w:rPr>
              <w:t>mm</w:t>
            </w:r>
          </w:p>
          <w:p w14:paraId="10FCEB0B">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bidi="ar"/>
              </w:rPr>
              <w:t>凳面：一体成型 PU 发泡；曲面人体工学设计，边缘圆弧 R10 无尖角。</w:t>
            </w:r>
          </w:p>
          <w:p w14:paraId="5C147CBF">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bidi="ar"/>
              </w:rPr>
              <w:t>脚踏圈：环形钢管脚踏，离地固定高度 320mm；环绕式全圈，360° 任意落脚，无局部支撑死角。</w:t>
            </w:r>
          </w:p>
          <w:p w14:paraId="4E1C9215">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气杆：标准气杆配固定脚杯：气动调节幅度约420~560mm 。</w:t>
            </w:r>
          </w:p>
          <w:p w14:paraId="167A125F">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bidi="ar"/>
              </w:rPr>
              <w:t>靠背：弧形贴合腰椎，框架无变形、焊点不开裂。</w:t>
            </w:r>
          </w:p>
          <w:p w14:paraId="5F269F0F">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五星底座：压铸铝合金一体五星脚。</w:t>
            </w:r>
          </w:p>
        </w:tc>
        <w:tc>
          <w:tcPr>
            <w:tcW w:w="338" w:type="pct"/>
            <w:shd w:val="clear" w:color="auto" w:fill="auto"/>
            <w:vAlign w:val="center"/>
          </w:tcPr>
          <w:p w14:paraId="3CF3035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张</w:t>
            </w:r>
          </w:p>
        </w:tc>
        <w:tc>
          <w:tcPr>
            <w:tcW w:w="285" w:type="pct"/>
            <w:shd w:val="clear" w:color="auto" w:fill="auto"/>
            <w:vAlign w:val="center"/>
          </w:tcPr>
          <w:p w14:paraId="4C5B3E0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450</w:t>
            </w:r>
          </w:p>
        </w:tc>
      </w:tr>
      <w:tr w14:paraId="2FE01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9" w:hRule="atLeast"/>
        </w:trPr>
        <w:tc>
          <w:tcPr>
            <w:tcW w:w="384" w:type="pct"/>
            <w:shd w:val="clear" w:color="auto" w:fill="auto"/>
            <w:noWrap/>
            <w:vAlign w:val="center"/>
          </w:tcPr>
          <w:p w14:paraId="16B044F3">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75</w:t>
            </w:r>
          </w:p>
        </w:tc>
        <w:tc>
          <w:tcPr>
            <w:tcW w:w="381" w:type="pct"/>
            <w:shd w:val="clear" w:color="auto" w:fill="auto"/>
            <w:vAlign w:val="center"/>
          </w:tcPr>
          <w:p w14:paraId="7182ED5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试剂柜</w:t>
            </w:r>
          </w:p>
        </w:tc>
        <w:tc>
          <w:tcPr>
            <w:tcW w:w="783" w:type="pct"/>
            <w:shd w:val="clear" w:color="auto" w:fill="auto"/>
            <w:vAlign w:val="center"/>
          </w:tcPr>
          <w:p w14:paraId="1B59C51D">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21690" cy="1336675"/>
                  <wp:effectExtent l="0" t="0" r="5080" b="10160"/>
                  <wp:docPr id="89" name="图片 89" descr="试剂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试剂柜"/>
                          <pic:cNvPicPr>
                            <a:picLocks noChangeAspect="1"/>
                          </pic:cNvPicPr>
                        </pic:nvPicPr>
                        <pic:blipFill>
                          <a:blip r:embed="rId13"/>
                          <a:stretch>
                            <a:fillRect/>
                          </a:stretch>
                        </pic:blipFill>
                        <pic:spPr>
                          <a:xfrm>
                            <a:off x="0" y="0"/>
                            <a:ext cx="821690" cy="1336675"/>
                          </a:xfrm>
                          <a:prstGeom prst="rect">
                            <a:avLst/>
                          </a:prstGeom>
                        </pic:spPr>
                      </pic:pic>
                    </a:graphicData>
                  </a:graphic>
                </wp:inline>
              </w:drawing>
            </w:r>
          </w:p>
        </w:tc>
        <w:tc>
          <w:tcPr>
            <w:tcW w:w="2826" w:type="pct"/>
            <w:shd w:val="clear" w:color="auto" w:fill="auto"/>
            <w:vAlign w:val="center"/>
          </w:tcPr>
          <w:p w14:paraId="305BB299">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900*450*2000</w:t>
            </w:r>
            <w:r>
              <w:rPr>
                <w:rFonts w:hint="eastAsia" w:ascii="宋体" w:hAnsi="宋体" w:eastAsia="宋体" w:cs="宋体"/>
                <w:color w:val="auto"/>
                <w:kern w:val="0"/>
                <w:sz w:val="21"/>
                <w:szCs w:val="21"/>
                <w:highlight w:val="none"/>
                <w:lang w:val="en-US" w:eastAsia="zh-CN" w:bidi="ar"/>
              </w:rPr>
              <w:t>mm</w:t>
            </w:r>
          </w:p>
          <w:p w14:paraId="0FA5B5CF">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1、全钢结构，整体可拆卸</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2、实验室专用，采用1.0mm厚度</w:t>
            </w:r>
            <w:r>
              <w:rPr>
                <w:rFonts w:hint="eastAsia" w:ascii="宋体" w:hAnsi="宋体" w:eastAsia="宋体" w:cs="宋体"/>
                <w:color w:val="auto"/>
                <w:kern w:val="0"/>
                <w:sz w:val="21"/>
                <w:szCs w:val="21"/>
                <w:highlight w:val="none"/>
                <w:lang w:eastAsia="zh-CN" w:bidi="ar"/>
              </w:rPr>
              <w:t>一级冷轧钢</w:t>
            </w:r>
            <w:r>
              <w:rPr>
                <w:rFonts w:hint="eastAsia" w:ascii="宋体" w:hAnsi="宋体" w:eastAsia="宋体" w:cs="宋体"/>
                <w:color w:val="auto"/>
                <w:kern w:val="0"/>
                <w:sz w:val="21"/>
                <w:szCs w:val="21"/>
                <w:highlight w:val="none"/>
                <w:lang w:bidi="ar"/>
              </w:rPr>
              <w:t>经数控剪板，数控冲压，数控折弯，焊接等一系列程序成型，表面经酸洗磷化后喷涂环氧树脂粉末</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3、柜门带铝合金闪电锁</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4、上下双开门，上部内嵌5mm透明玻璃</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5、带三层活动层板</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6、门铰采用2.0mm厚度的304不锈钢合页</w:t>
            </w:r>
            <w:r>
              <w:rPr>
                <w:rFonts w:hint="eastAsia" w:ascii="宋体" w:hAnsi="宋体" w:eastAsia="宋体" w:cs="宋体"/>
                <w:color w:val="auto"/>
                <w:kern w:val="0"/>
                <w:sz w:val="21"/>
                <w:szCs w:val="21"/>
                <w:highlight w:val="none"/>
                <w:lang w:eastAsia="zh-CN" w:bidi="ar"/>
              </w:rPr>
              <w:t>。</w:t>
            </w:r>
          </w:p>
        </w:tc>
        <w:tc>
          <w:tcPr>
            <w:tcW w:w="338" w:type="pct"/>
            <w:shd w:val="clear" w:color="auto" w:fill="auto"/>
            <w:vAlign w:val="center"/>
          </w:tcPr>
          <w:p w14:paraId="4DAD4C2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5DF4771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178</w:t>
            </w:r>
          </w:p>
        </w:tc>
      </w:tr>
      <w:tr w14:paraId="54AEF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384" w:type="pct"/>
            <w:shd w:val="clear" w:color="auto" w:fill="auto"/>
            <w:noWrap/>
            <w:vAlign w:val="center"/>
          </w:tcPr>
          <w:p w14:paraId="66805E12">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76</w:t>
            </w:r>
          </w:p>
        </w:tc>
        <w:tc>
          <w:tcPr>
            <w:tcW w:w="381" w:type="pct"/>
            <w:shd w:val="clear" w:color="auto" w:fill="auto"/>
            <w:vAlign w:val="center"/>
          </w:tcPr>
          <w:p w14:paraId="44D34474">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水槽</w:t>
            </w:r>
          </w:p>
        </w:tc>
        <w:tc>
          <w:tcPr>
            <w:tcW w:w="783" w:type="pct"/>
            <w:shd w:val="clear" w:color="auto" w:fill="auto"/>
            <w:vAlign w:val="center"/>
          </w:tcPr>
          <w:p w14:paraId="7E5FDD69">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19150" cy="727075"/>
                  <wp:effectExtent l="0" t="0" r="7620" b="6350"/>
                  <wp:docPr id="90" name="图片 90" descr="水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水槽"/>
                          <pic:cNvPicPr>
                            <a:picLocks noChangeAspect="1"/>
                          </pic:cNvPicPr>
                        </pic:nvPicPr>
                        <pic:blipFill>
                          <a:blip r:embed="rId25"/>
                          <a:stretch>
                            <a:fillRect/>
                          </a:stretch>
                        </pic:blipFill>
                        <pic:spPr>
                          <a:xfrm>
                            <a:off x="0" y="0"/>
                            <a:ext cx="819150" cy="727075"/>
                          </a:xfrm>
                          <a:prstGeom prst="rect">
                            <a:avLst/>
                          </a:prstGeom>
                        </pic:spPr>
                      </pic:pic>
                    </a:graphicData>
                  </a:graphic>
                </wp:inline>
              </w:drawing>
            </w:r>
          </w:p>
        </w:tc>
        <w:tc>
          <w:tcPr>
            <w:tcW w:w="2826" w:type="pct"/>
            <w:shd w:val="clear" w:color="auto" w:fill="auto"/>
            <w:vAlign w:val="center"/>
          </w:tcPr>
          <w:p w14:paraId="0E4C68B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eastAsia="宋体" w:asciiTheme="minorHAnsi" w:hAnsiTheme="minorHAnsi" w:cstheme="minorBidi"/>
                <w:color w:val="auto"/>
                <w:kern w:val="2"/>
                <w:sz w:val="21"/>
                <w:szCs w:val="24"/>
                <w:highlight w:val="none"/>
                <w:lang w:val="en-US" w:eastAsia="zh-CN" w:bidi="ar-SA"/>
              </w:rPr>
            </w:pPr>
            <w:r>
              <w:rPr>
                <w:rFonts w:hint="eastAsia" w:cstheme="minorBidi"/>
                <w:color w:val="auto"/>
                <w:kern w:val="2"/>
                <w:sz w:val="21"/>
                <w:szCs w:val="24"/>
                <w:highlight w:val="none"/>
                <w:lang w:val="en-US" w:eastAsia="zh-CN" w:bidi="ar-SA"/>
              </w:rPr>
              <w:t>尺寸：</w:t>
            </w:r>
            <w:r>
              <w:rPr>
                <w:rFonts w:hint="eastAsia" w:ascii="宋体" w:hAnsi="宋体" w:eastAsia="宋体" w:cs="宋体"/>
                <w:color w:val="auto"/>
                <w:kern w:val="0"/>
                <w:sz w:val="21"/>
                <w:szCs w:val="21"/>
                <w:highlight w:val="none"/>
                <w:lang w:bidi="ar"/>
              </w:rPr>
              <w:t>500*400*335</w:t>
            </w:r>
            <w:r>
              <w:rPr>
                <w:rFonts w:hint="eastAsia" w:ascii="宋体" w:hAnsi="宋体" w:eastAsia="宋体" w:cs="宋体"/>
                <w:color w:val="auto"/>
                <w:kern w:val="0"/>
                <w:sz w:val="21"/>
                <w:szCs w:val="21"/>
                <w:highlight w:val="none"/>
                <w:lang w:val="en-US" w:eastAsia="zh-CN" w:bidi="ar"/>
              </w:rPr>
              <w:t>mm</w:t>
            </w:r>
          </w:p>
          <w:p w14:paraId="3F913933">
            <w:pPr>
              <w:widowControl/>
              <w:numPr>
                <w:ilvl w:val="0"/>
                <w:numId w:val="0"/>
              </w:numPr>
              <w:wordWrap w:val="0"/>
              <w:spacing w:line="360" w:lineRule="exact"/>
              <w:jc w:val="both"/>
              <w:textAlignment w:val="center"/>
              <w:rPr>
                <w:rFonts w:hint="eastAsia"/>
                <w:color w:val="auto"/>
                <w:highlight w:val="none"/>
                <w:lang w:eastAsia="zh-CN"/>
              </w:rPr>
            </w:pPr>
            <w:r>
              <w:rPr>
                <w:rFonts w:hint="eastAsia" w:ascii="宋体" w:hAnsi="宋体" w:eastAsia="宋体" w:cs="宋体"/>
                <w:color w:val="auto"/>
                <w:kern w:val="0"/>
                <w:sz w:val="21"/>
                <w:szCs w:val="21"/>
                <w:highlight w:val="none"/>
                <w:lang w:bidi="ar"/>
              </w:rPr>
              <w:t>▲</w:t>
            </w:r>
            <w:r>
              <w:rPr>
                <w:rFonts w:hint="eastAsia" w:asciiTheme="minorHAnsi" w:hAnsiTheme="minorHAnsi" w:eastAsiaTheme="minorEastAsia" w:cstheme="minorBidi"/>
                <w:color w:val="auto"/>
                <w:kern w:val="2"/>
                <w:sz w:val="21"/>
                <w:szCs w:val="24"/>
                <w:highlight w:val="none"/>
                <w:lang w:val="en-US" w:eastAsia="zh-CN" w:bidi="ar-SA"/>
              </w:rPr>
              <w:t>1、</w:t>
            </w:r>
            <w:r>
              <w:rPr>
                <w:rFonts w:hint="eastAsia" w:ascii="宋体" w:hAnsi="宋体" w:eastAsia="宋体" w:cs="宋体"/>
                <w:color w:val="auto"/>
                <w:kern w:val="0"/>
                <w:sz w:val="21"/>
                <w:szCs w:val="21"/>
                <w:highlight w:val="none"/>
                <w:lang w:bidi="ar"/>
              </w:rPr>
              <w:t>水槽采用全新PP料及进口色母料，无碳酸钙成分；下水口与水槽一体注塑成型，水槽内壁无缩印，四边平整，表面光滑顺畅，不有划伤、裂纹、气泡、爆边等明显缺陷。水槽壁厚＞5mm；为防止水槽中间或四周有积液，槽体底部有导流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color w:val="auto"/>
                <w:kern w:val="2"/>
                <w:sz w:val="21"/>
                <w:szCs w:val="21"/>
                <w:highlight w:val="none"/>
                <w:lang w:bidi="ar"/>
              </w:rPr>
              <w:t>耐污染性能：依据GB/T17657-2022标准，同一份检测报告需包含</w:t>
            </w:r>
            <w:r>
              <w:rPr>
                <w:rFonts w:hint="eastAsia" w:ascii="宋体" w:hAnsi="宋体" w:eastAsia="宋体" w:cs="宋体"/>
                <w:color w:val="auto"/>
                <w:kern w:val="2"/>
                <w:sz w:val="21"/>
                <w:szCs w:val="21"/>
                <w:highlight w:val="none"/>
                <w:lang w:val="en-US" w:eastAsia="zh-CN" w:bidi="ar"/>
              </w:rPr>
              <w:t>以下</w:t>
            </w:r>
            <w:r>
              <w:rPr>
                <w:rFonts w:hint="eastAsia" w:ascii="宋体" w:hAnsi="宋体" w:eastAsia="宋体" w:cs="宋体"/>
                <w:color w:val="auto"/>
                <w:kern w:val="2"/>
                <w:sz w:val="21"/>
                <w:szCs w:val="21"/>
                <w:highlight w:val="none"/>
                <w:lang w:bidi="ar"/>
              </w:rPr>
              <w:t>有机、无机试剂</w:t>
            </w:r>
            <w:r>
              <w:rPr>
                <w:rFonts w:hint="eastAsia" w:ascii="宋体" w:hAnsi="宋体" w:eastAsia="宋体" w:cs="宋体"/>
                <w:color w:val="auto"/>
                <w:kern w:val="2"/>
                <w:sz w:val="21"/>
                <w:szCs w:val="21"/>
                <w:highlight w:val="none"/>
                <w:lang w:val="en-US" w:eastAsia="zh-CN" w:bidi="ar"/>
              </w:rPr>
              <w:t>：</w:t>
            </w:r>
            <w:r>
              <w:rPr>
                <w:rFonts w:hint="eastAsia" w:ascii="宋体" w:hAnsi="宋体" w:eastAsia="宋体" w:cs="宋体"/>
                <w:color w:val="auto"/>
                <w:kern w:val="2"/>
                <w:sz w:val="21"/>
                <w:szCs w:val="21"/>
                <w:highlight w:val="none"/>
                <w:lang w:bidi="ar"/>
              </w:rPr>
              <w:t>甲酸（AR，85%）、抗坏血酸（AR）、氨水（氢氧化铵）（AR）、氢氧化钙（AR）、氢氧化钾（AR，≥85.0%）、硫代硫酸钠（≥99.5%）、硫氰酸钾（GR，99%）、已烷（AR，≥97.0%）、四氯化碳、丁酮（甲基乙基酮、甲乙酮）（AR，≥99.0%）、二氯甲烷（AR，≥99.5%）</w:t>
            </w:r>
            <w:r>
              <w:rPr>
                <w:rFonts w:hint="eastAsia" w:ascii="宋体" w:hAnsi="宋体" w:eastAsia="宋体" w:cs="宋体"/>
                <w:color w:val="auto"/>
                <w:kern w:val="2"/>
                <w:sz w:val="21"/>
                <w:szCs w:val="21"/>
                <w:highlight w:val="none"/>
                <w:lang w:eastAsia="zh-CN" w:bidi="ar"/>
              </w:rPr>
              <w:t>，</w:t>
            </w:r>
            <w:r>
              <w:rPr>
                <w:rFonts w:hint="eastAsia" w:ascii="宋体" w:hAnsi="宋体" w:eastAsia="宋体" w:cs="宋体"/>
                <w:color w:val="auto"/>
                <w:kern w:val="2"/>
                <w:sz w:val="21"/>
                <w:szCs w:val="21"/>
                <w:highlight w:val="none"/>
                <w:lang w:bidi="ar"/>
              </w:rPr>
              <w:t>耐污染接触时间≥48h，覆盖/未覆盖玻璃盖板，检验结果均为5级（无明显变化）。</w:t>
            </w:r>
          </w:p>
          <w:p w14:paraId="3AF1BDE1">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3.投标时</w:t>
            </w:r>
            <w:r>
              <w:rPr>
                <w:rFonts w:hint="eastAsia" w:ascii="宋体" w:hAnsi="宋体" w:eastAsia="宋体" w:cs="宋体"/>
                <w:color w:val="auto"/>
                <w:kern w:val="0"/>
                <w:sz w:val="21"/>
                <w:szCs w:val="21"/>
                <w:highlight w:val="none"/>
                <w:lang w:bidi="ar"/>
              </w:rPr>
              <w:t>需提供</w:t>
            </w:r>
            <w:r>
              <w:rPr>
                <w:rFonts w:hint="eastAsia" w:ascii="宋体" w:hAnsi="宋体" w:eastAsia="宋体" w:cs="宋体"/>
                <w:color w:val="auto"/>
                <w:kern w:val="0"/>
                <w:sz w:val="21"/>
                <w:szCs w:val="21"/>
                <w:highlight w:val="none"/>
                <w:lang w:val="en-US" w:eastAsia="zh-CN" w:bidi="ar"/>
              </w:rPr>
              <w:t>水槽的</w:t>
            </w:r>
            <w:r>
              <w:rPr>
                <w:rFonts w:hint="eastAsia" w:ascii="宋体" w:hAnsi="宋体" w:eastAsia="宋体" w:cs="宋体"/>
                <w:color w:val="auto"/>
                <w:kern w:val="0"/>
                <w:sz w:val="21"/>
                <w:szCs w:val="21"/>
                <w:highlight w:val="none"/>
                <w:lang w:bidi="ar"/>
              </w:rPr>
              <w:t>检测报告：</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bidi="ar"/>
              </w:rPr>
              <w:t>）紫外老化</w:t>
            </w:r>
            <w:r>
              <w:rPr>
                <w:rFonts w:hint="eastAsia" w:ascii="宋体" w:hAnsi="宋体" w:eastAsia="宋体" w:cs="宋体"/>
                <w:color w:val="auto"/>
                <w:kern w:val="0"/>
                <w:sz w:val="21"/>
                <w:szCs w:val="21"/>
                <w:highlight w:val="none"/>
                <w:lang w:val="en-US" w:eastAsia="zh-CN" w:bidi="ar"/>
              </w:rPr>
              <w:t>性能</w:t>
            </w:r>
            <w:r>
              <w:rPr>
                <w:rFonts w:hint="eastAsia" w:ascii="宋体" w:hAnsi="宋体" w:eastAsia="宋体" w:cs="宋体"/>
                <w:color w:val="auto"/>
                <w:kern w:val="0"/>
                <w:sz w:val="21"/>
                <w:szCs w:val="21"/>
                <w:highlight w:val="none"/>
                <w:lang w:bidi="ar"/>
              </w:rPr>
              <w:t>：依据GB/T16422.3-2022标准，通过紫外老化测试（灯型：UVA-340，辐照度：0.76W·m-2·nm-1，暴露方式：60℃辐照8h、50℃无辐照冷凝4h，试验时长：≥700h），色牢度等级≥4级。提供</w:t>
            </w:r>
            <w:r>
              <w:rPr>
                <w:rFonts w:hint="eastAsia"/>
                <w:color w:val="auto"/>
                <w:highlight w:val="none"/>
                <w:lang w:eastAsia="zh-CN"/>
              </w:rPr>
              <w:t>具有检测资质的第三方检测机构出具的检测报告。</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bidi="ar"/>
              </w:rPr>
              <w:t>）简支梁缺口冲击强度：依据GB/T1043.1-2008标准，检测结果≥7kJ/m2。提供</w:t>
            </w:r>
            <w:r>
              <w:rPr>
                <w:rFonts w:hint="eastAsia"/>
                <w:color w:val="auto"/>
                <w:highlight w:val="none"/>
                <w:lang w:eastAsia="zh-CN"/>
              </w:rPr>
              <w:t>具有检测资质的第三方检测机构出具的检测报告。</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）氧指数：依据GB/T2406.2-2009标准，检测结果≥25%。提供</w:t>
            </w:r>
            <w:r>
              <w:rPr>
                <w:rFonts w:hint="eastAsia"/>
                <w:color w:val="auto"/>
                <w:highlight w:val="none"/>
                <w:lang w:eastAsia="zh-CN"/>
              </w:rPr>
              <w:t>具有检测资质的第三方检测机构出具的检测报告。</w:t>
            </w:r>
          </w:p>
        </w:tc>
        <w:tc>
          <w:tcPr>
            <w:tcW w:w="338" w:type="pct"/>
            <w:shd w:val="clear" w:color="auto" w:fill="auto"/>
            <w:vAlign w:val="center"/>
          </w:tcPr>
          <w:p w14:paraId="1977685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5E58FE62">
            <w:pPr>
              <w:keepNext w:val="0"/>
              <w:keepLines w:val="0"/>
              <w:pageBreakBefore w:val="0"/>
              <w:widowControl/>
              <w:kinsoku/>
              <w:wordWrap/>
              <w:overflowPunct/>
              <w:topLinePunct w:val="0"/>
              <w:autoSpaceDE/>
              <w:autoSpaceDN/>
              <w:bidi w:val="0"/>
              <w:adjustRightInd/>
              <w:spacing w:line="360" w:lineRule="exact"/>
              <w:jc w:val="center"/>
              <w:textAlignment w:val="center"/>
              <w:rPr>
                <w:rFonts w:hint="default"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213</w:t>
            </w:r>
          </w:p>
        </w:tc>
      </w:tr>
      <w:tr w14:paraId="70475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384" w:type="pct"/>
            <w:shd w:val="clear" w:color="auto" w:fill="auto"/>
            <w:noWrap/>
            <w:vAlign w:val="center"/>
          </w:tcPr>
          <w:p w14:paraId="0A1097B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77</w:t>
            </w:r>
          </w:p>
        </w:tc>
        <w:tc>
          <w:tcPr>
            <w:tcW w:w="381" w:type="pct"/>
            <w:shd w:val="clear" w:color="auto" w:fill="auto"/>
            <w:vAlign w:val="center"/>
          </w:tcPr>
          <w:p w14:paraId="092CB0B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天平台</w:t>
            </w:r>
          </w:p>
        </w:tc>
        <w:tc>
          <w:tcPr>
            <w:tcW w:w="783" w:type="pct"/>
            <w:shd w:val="clear" w:color="auto" w:fill="auto"/>
            <w:vAlign w:val="center"/>
          </w:tcPr>
          <w:p w14:paraId="5B5C2036">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21690" cy="933450"/>
                  <wp:effectExtent l="0" t="0" r="5080" b="0"/>
                  <wp:docPr id="92" name="图片 92" descr="天平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天平台"/>
                          <pic:cNvPicPr>
                            <a:picLocks noChangeAspect="1"/>
                          </pic:cNvPicPr>
                        </pic:nvPicPr>
                        <pic:blipFill>
                          <a:blip r:embed="rId26"/>
                          <a:stretch>
                            <a:fillRect/>
                          </a:stretch>
                        </pic:blipFill>
                        <pic:spPr>
                          <a:xfrm>
                            <a:off x="0" y="0"/>
                            <a:ext cx="821690" cy="933450"/>
                          </a:xfrm>
                          <a:prstGeom prst="rect">
                            <a:avLst/>
                          </a:prstGeom>
                        </pic:spPr>
                      </pic:pic>
                    </a:graphicData>
                  </a:graphic>
                </wp:inline>
              </w:drawing>
            </w:r>
          </w:p>
        </w:tc>
        <w:tc>
          <w:tcPr>
            <w:tcW w:w="2826" w:type="pct"/>
            <w:shd w:val="clear" w:color="auto" w:fill="auto"/>
            <w:vAlign w:val="center"/>
          </w:tcPr>
          <w:p w14:paraId="580195D6">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1000*750*850</w:t>
            </w:r>
            <w:r>
              <w:rPr>
                <w:rFonts w:hint="eastAsia" w:ascii="宋体" w:hAnsi="宋体" w:eastAsia="宋体" w:cs="宋体"/>
                <w:color w:val="auto"/>
                <w:kern w:val="0"/>
                <w:sz w:val="21"/>
                <w:szCs w:val="21"/>
                <w:highlight w:val="none"/>
                <w:lang w:val="en-US" w:eastAsia="zh-CN" w:bidi="ar"/>
              </w:rPr>
              <w:t>mm</w:t>
            </w:r>
          </w:p>
          <w:p w14:paraId="5D159375">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1.整体框架采用40*60mm方管</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 w:val="21"/>
                <w:szCs w:val="21"/>
                <w:highlight w:val="none"/>
                <w:lang w:bidi="ar"/>
              </w:rPr>
              <w:t>.0mm厚度</w:t>
            </w:r>
            <w:r>
              <w:rPr>
                <w:rFonts w:hint="eastAsia" w:ascii="宋体" w:hAnsi="宋体" w:eastAsia="宋体" w:cs="宋体"/>
                <w:color w:val="auto"/>
                <w:kern w:val="0"/>
                <w:sz w:val="21"/>
                <w:szCs w:val="21"/>
                <w:highlight w:val="none"/>
                <w:lang w:eastAsia="zh-CN" w:bidi="ar"/>
              </w:rPr>
              <w:t>一级冷轧钢</w:t>
            </w:r>
            <w:r>
              <w:rPr>
                <w:rFonts w:hint="eastAsia" w:ascii="宋体" w:hAnsi="宋体" w:eastAsia="宋体" w:cs="宋体"/>
                <w:color w:val="auto"/>
                <w:kern w:val="0"/>
                <w:sz w:val="21"/>
                <w:szCs w:val="21"/>
                <w:highlight w:val="none"/>
                <w:lang w:bidi="ar"/>
              </w:rPr>
              <w:t xml:space="preserve">经数控剪板，数控冲压，数控折弯，焊接 等一系列程序成型。再经酸洗磷化后喷环氧树脂粉末高温固化; </w:t>
            </w:r>
          </w:p>
          <w:p w14:paraId="47132D11">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2.框架高度750mm高，左右带</w:t>
            </w:r>
            <w:r>
              <w:rPr>
                <w:rFonts w:hint="eastAsia" w:ascii="宋体" w:hAnsi="宋体" w:eastAsia="宋体" w:cs="宋体"/>
                <w:color w:val="auto"/>
                <w:kern w:val="0"/>
                <w:sz w:val="21"/>
                <w:szCs w:val="21"/>
                <w:highlight w:val="none"/>
                <w:lang w:bidi="ar"/>
              </w:rPr>
              <w:t>封板</w:t>
            </w:r>
            <w:r>
              <w:rPr>
                <w:rFonts w:hint="eastAsia" w:ascii="宋体" w:hAnsi="宋体" w:eastAsia="宋体" w:cs="宋体"/>
                <w:color w:val="auto"/>
                <w:kern w:val="0"/>
                <w:sz w:val="21"/>
                <w:szCs w:val="21"/>
                <w:highlight w:val="none"/>
                <w:lang w:eastAsia="zh-CN" w:bidi="ar"/>
              </w:rPr>
              <w:t>。</w:t>
            </w:r>
          </w:p>
          <w:p w14:paraId="722F2900">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 大理石台面厚度60mm 。</w:t>
            </w:r>
          </w:p>
        </w:tc>
        <w:tc>
          <w:tcPr>
            <w:tcW w:w="338" w:type="pct"/>
            <w:shd w:val="clear" w:color="auto" w:fill="auto"/>
            <w:vAlign w:val="center"/>
          </w:tcPr>
          <w:p w14:paraId="388DF31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2AD8F6E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9</w:t>
            </w:r>
          </w:p>
        </w:tc>
      </w:tr>
      <w:tr w14:paraId="5F31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4" w:type="pct"/>
            <w:shd w:val="clear" w:color="auto" w:fill="auto"/>
            <w:noWrap/>
            <w:vAlign w:val="center"/>
          </w:tcPr>
          <w:p w14:paraId="3249EB9C">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78</w:t>
            </w:r>
          </w:p>
        </w:tc>
        <w:tc>
          <w:tcPr>
            <w:tcW w:w="381" w:type="pct"/>
            <w:shd w:val="clear" w:color="auto" w:fill="auto"/>
            <w:vAlign w:val="center"/>
          </w:tcPr>
          <w:p w14:paraId="5A8D912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通风柜</w:t>
            </w:r>
          </w:p>
        </w:tc>
        <w:tc>
          <w:tcPr>
            <w:tcW w:w="783" w:type="pct"/>
            <w:shd w:val="clear" w:color="auto" w:fill="auto"/>
            <w:vAlign w:val="center"/>
          </w:tcPr>
          <w:p w14:paraId="7F44E7BD">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20420" cy="1169670"/>
                  <wp:effectExtent l="0" t="0" r="6350" b="3810"/>
                  <wp:docPr id="116" name="图片 116" descr="通风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通风柜"/>
                          <pic:cNvPicPr>
                            <a:picLocks noChangeAspect="1"/>
                          </pic:cNvPicPr>
                        </pic:nvPicPr>
                        <pic:blipFill>
                          <a:blip r:embed="rId27"/>
                          <a:stretch>
                            <a:fillRect/>
                          </a:stretch>
                        </pic:blipFill>
                        <pic:spPr>
                          <a:xfrm>
                            <a:off x="0" y="0"/>
                            <a:ext cx="820420" cy="1169670"/>
                          </a:xfrm>
                          <a:prstGeom prst="rect">
                            <a:avLst/>
                          </a:prstGeom>
                        </pic:spPr>
                      </pic:pic>
                    </a:graphicData>
                  </a:graphic>
                </wp:inline>
              </w:drawing>
            </w:r>
          </w:p>
        </w:tc>
        <w:tc>
          <w:tcPr>
            <w:tcW w:w="2826" w:type="pct"/>
            <w:shd w:val="clear" w:color="auto" w:fill="auto"/>
            <w:vAlign w:val="center"/>
          </w:tcPr>
          <w:p w14:paraId="2CC62AFE">
            <w:pPr>
              <w:wordWrap w:val="0"/>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1500*900*2400</w:t>
            </w:r>
            <w:r>
              <w:rPr>
                <w:rFonts w:hint="eastAsia" w:ascii="宋体" w:hAnsi="宋体" w:eastAsia="宋体" w:cs="宋体"/>
                <w:color w:val="auto"/>
                <w:kern w:val="0"/>
                <w:sz w:val="21"/>
                <w:szCs w:val="21"/>
                <w:highlight w:val="none"/>
                <w:lang w:val="en-US" w:eastAsia="zh-CN" w:bidi="ar"/>
              </w:rPr>
              <w:t>mm</w:t>
            </w:r>
          </w:p>
          <w:p w14:paraId="472AE3A7">
            <w:pPr>
              <w:wordWrap w:val="0"/>
              <w:rPr>
                <w:rFonts w:hint="eastAsia"/>
                <w:color w:val="auto"/>
                <w:highlight w:val="none"/>
              </w:rPr>
            </w:pPr>
            <w:r>
              <w:rPr>
                <w:rFonts w:hint="eastAsia" w:ascii="宋体" w:hAnsi="宋体" w:eastAsia="宋体" w:cs="宋体"/>
                <w:b/>
                <w:bCs/>
                <w:color w:val="auto"/>
                <w:kern w:val="0"/>
                <w:sz w:val="21"/>
                <w:szCs w:val="21"/>
                <w:highlight w:val="none"/>
                <w:lang w:bidi="ar"/>
              </w:rPr>
              <w:t>一、通风柜材质技术要求：</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1.排风柜整体结构采用冷轧钢板及工业铝合金型材制作。</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2.主体支撑采用全钢材料，厚度≥1.2mm；工作台面下方内部空间可布置公用设施管道、配件等。</w:t>
            </w:r>
            <w:r>
              <w:rPr>
                <w:rFonts w:hint="eastAsia" w:ascii="宋体" w:hAnsi="宋体" w:eastAsia="宋体" w:cs="宋体"/>
                <w:color w:val="auto"/>
                <w:kern w:val="0"/>
                <w:sz w:val="21"/>
                <w:szCs w:val="21"/>
                <w:highlight w:val="none"/>
                <w:lang w:bidi="ar"/>
              </w:rPr>
              <w:br w:type="textWrapping"/>
            </w:r>
            <w:r>
              <w:rPr>
                <w:rFonts w:hint="eastAsia"/>
                <w:color w:val="auto"/>
                <w:highlight w:val="none"/>
              </w:rPr>
              <w:t>3.金属表面必须喷涂处理，涂层厚度≥50μm。</w:t>
            </w:r>
          </w:p>
          <w:p w14:paraId="6D658FF8">
            <w:pPr>
              <w:wordWrap w:val="0"/>
              <w:rPr>
                <w:rFonts w:hint="eastAsia"/>
                <w:color w:val="auto"/>
                <w:highlight w:val="none"/>
              </w:rPr>
            </w:pPr>
            <w:r>
              <w:rPr>
                <w:rFonts w:hint="eastAsia"/>
                <w:color w:val="auto"/>
                <w:highlight w:val="none"/>
              </w:rPr>
              <w:t>4.喷涂后的金属表面呈高亮光效果，密度高，具有防腐蚀能力。（不接受哑光漆面和皱纹漆面）</w:t>
            </w:r>
          </w:p>
          <w:p w14:paraId="7E1AA920">
            <w:pPr>
              <w:wordWrap w:val="0"/>
              <w:rPr>
                <w:rFonts w:hint="eastAsia"/>
                <w:color w:val="auto"/>
                <w:highlight w:val="none"/>
              </w:rPr>
            </w:pPr>
            <w:r>
              <w:rPr>
                <w:rFonts w:hint="eastAsia"/>
                <w:color w:val="auto"/>
                <w:highlight w:val="none"/>
              </w:rPr>
              <w:t>5.预处理：脱脂、水洗、酸洗、水洗中和、磷化、水洗等过程或纳米陶化前处理技术。</w:t>
            </w:r>
          </w:p>
          <w:p w14:paraId="604B27E6">
            <w:pPr>
              <w:wordWrap w:val="0"/>
              <w:rPr>
                <w:rFonts w:hint="eastAsia"/>
                <w:color w:val="auto"/>
                <w:highlight w:val="none"/>
              </w:rPr>
            </w:pPr>
            <w:r>
              <w:rPr>
                <w:rFonts w:hint="eastAsia" w:ascii="宋体" w:hAnsi="宋体" w:eastAsia="宋体" w:cs="宋体"/>
                <w:color w:val="auto"/>
                <w:kern w:val="0"/>
                <w:sz w:val="21"/>
                <w:szCs w:val="21"/>
                <w:highlight w:val="none"/>
                <w:lang w:bidi="ar"/>
              </w:rPr>
              <w:t>▲</w:t>
            </w:r>
            <w:r>
              <w:rPr>
                <w:rFonts w:hint="eastAsia"/>
                <w:color w:val="auto"/>
                <w:highlight w:val="none"/>
              </w:rPr>
              <w:t>6.喷涂后的</w:t>
            </w:r>
            <w:r>
              <w:rPr>
                <w:rFonts w:hint="eastAsia" w:ascii="宋体" w:hAnsi="宋体" w:eastAsia="宋体" w:cs="宋体"/>
                <w:color w:val="auto"/>
                <w:kern w:val="0"/>
                <w:sz w:val="21"/>
                <w:szCs w:val="21"/>
                <w:highlight w:val="none"/>
                <w:lang w:bidi="ar"/>
              </w:rPr>
              <w:t>冷轧钢板</w:t>
            </w:r>
            <w:r>
              <w:rPr>
                <w:rFonts w:hint="eastAsia" w:ascii="宋体" w:hAnsi="宋体" w:eastAsia="宋体" w:cs="宋体"/>
                <w:color w:val="auto"/>
                <w:kern w:val="0"/>
                <w:sz w:val="21"/>
                <w:szCs w:val="21"/>
                <w:highlight w:val="none"/>
                <w:lang w:val="en-US" w:eastAsia="zh-CN" w:bidi="ar"/>
              </w:rPr>
              <w:t>和</w:t>
            </w:r>
            <w:r>
              <w:rPr>
                <w:rFonts w:hint="eastAsia" w:ascii="宋体" w:hAnsi="宋体" w:eastAsia="宋体" w:cs="宋体"/>
                <w:color w:val="auto"/>
                <w:kern w:val="0"/>
                <w:sz w:val="21"/>
                <w:szCs w:val="21"/>
                <w:highlight w:val="none"/>
                <w:lang w:bidi="ar"/>
              </w:rPr>
              <w:t>工业铝合金</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val="en-US" w:eastAsia="zh-CN" w:bidi="ar"/>
              </w:rPr>
              <w:t>其</w:t>
            </w:r>
            <w:r>
              <w:rPr>
                <w:rFonts w:hint="eastAsia"/>
                <w:color w:val="auto"/>
                <w:highlight w:val="none"/>
              </w:rPr>
              <w:t>金属表面涂层性能试验、耐腐蚀性能试验，能达到如下性能：</w:t>
            </w:r>
          </w:p>
          <w:p w14:paraId="4B81A42F">
            <w:pPr>
              <w:wordWrap w:val="0"/>
              <w:rPr>
                <w:rFonts w:hint="eastAsia"/>
                <w:color w:val="auto"/>
                <w:highlight w:val="none"/>
              </w:rPr>
            </w:pPr>
            <w:r>
              <w:rPr>
                <w:rFonts w:hint="eastAsia"/>
                <w:color w:val="auto"/>
                <w:highlight w:val="none"/>
              </w:rPr>
              <w:t>符合GB/T 24820-2024《实验室家具通用技术条件》外观要求金属件外观喷涂层涂层应无漏喷、锈蚀和脱色、掉色现象；涂层应光滑均匀，色泽一致、应无流挂、疙瘩、皱皮、飞漆等缺陷；</w:t>
            </w:r>
          </w:p>
          <w:p w14:paraId="3E431A8F">
            <w:pPr>
              <w:wordWrap w:val="0"/>
              <w:rPr>
                <w:rFonts w:hint="eastAsia"/>
                <w:color w:val="auto"/>
                <w:highlight w:val="none"/>
              </w:rPr>
            </w:pPr>
            <w:r>
              <w:rPr>
                <w:rFonts w:hint="eastAsia"/>
                <w:color w:val="auto"/>
                <w:highlight w:val="none"/>
              </w:rPr>
              <w:t>符合GB/T10125-2021《人造气氛腐蚀试验 盐雾试验》乙酸盐雾试验(AASS试验)检验结果24h无缺陷10级。</w:t>
            </w:r>
          </w:p>
          <w:p w14:paraId="2134749C">
            <w:pPr>
              <w:wordWrap w:val="0"/>
              <w:rPr>
                <w:rFonts w:hint="eastAsia"/>
                <w:color w:val="auto"/>
                <w:highlight w:val="none"/>
              </w:rPr>
            </w:pPr>
            <w:r>
              <w:rPr>
                <w:rFonts w:hint="eastAsia"/>
                <w:color w:val="auto"/>
                <w:highlight w:val="none"/>
              </w:rPr>
              <w:t>符合QB/T5589-2021《实验室家具通风柜》理化性能：金属喷漆(塑)涂层硬度≥H；冲击强度3.92J。无剥落、裂纹、皱纹；耐腐蚀24h乙酸盐雾试验(ASS)。不低于7级；金属喷漆附着力不低于2级。</w:t>
            </w:r>
          </w:p>
          <w:p w14:paraId="60190A7C">
            <w:pPr>
              <w:wordWrap w:val="0"/>
              <w:rPr>
                <w:rFonts w:hint="eastAsia"/>
                <w:color w:val="auto"/>
                <w:highlight w:val="none"/>
              </w:rPr>
            </w:pPr>
            <w:r>
              <w:rPr>
                <w:rFonts w:hint="eastAsia"/>
                <w:color w:val="auto"/>
                <w:highlight w:val="none"/>
              </w:rPr>
              <w:t>符合GB/T1733-1993《漆膜耐水性测定法》漆膜耐水性96h表面不出现失光、变色、起泡、起皱、脱落生锈的现象。所有钣金配件的焊接处均应打磨平整以保持为平滑表面，不得于安装现场焊接加工，以避免破坏表面涂层。</w:t>
            </w:r>
          </w:p>
          <w:p w14:paraId="579B8C48">
            <w:pPr>
              <w:wordWrap w:val="0"/>
              <w:rPr>
                <w:rFonts w:hint="eastAsia"/>
                <w:color w:val="auto"/>
                <w:highlight w:val="none"/>
              </w:rPr>
            </w:pPr>
            <w:r>
              <w:rPr>
                <w:rFonts w:hint="eastAsia"/>
                <w:color w:val="auto"/>
                <w:highlight w:val="none"/>
                <w:lang w:val="en-US" w:eastAsia="zh-CN"/>
              </w:rPr>
              <w:t>7.</w:t>
            </w:r>
            <w:r>
              <w:rPr>
                <w:rFonts w:hint="eastAsia" w:asciiTheme="minorHAnsi" w:hAnsiTheme="minorHAnsi" w:eastAsiaTheme="minorEastAsia" w:cstheme="minorBidi"/>
                <w:b w:val="0"/>
                <w:bCs w:val="0"/>
                <w:i w:val="0"/>
                <w:iCs w:val="0"/>
                <w:caps w:val="0"/>
                <w:color w:val="auto"/>
                <w:spacing w:val="0"/>
                <w:sz w:val="21"/>
                <w:szCs w:val="24"/>
                <w:highlight w:val="none"/>
                <w:shd w:val="clear" w:fill="auto"/>
              </w:rPr>
              <w:t>导流板厚度≥</w:t>
            </w:r>
            <w:r>
              <w:rPr>
                <w:rFonts w:hint="eastAsia" w:asciiTheme="minorHAnsi" w:hAnsiTheme="minorHAnsi" w:eastAsiaTheme="minorEastAsia" w:cstheme="minorBidi"/>
                <w:b w:val="0"/>
                <w:bCs w:val="0"/>
                <w:i w:val="0"/>
                <w:iCs w:val="0"/>
                <w:caps w:val="0"/>
                <w:color w:val="auto"/>
                <w:spacing w:val="0"/>
                <w:sz w:val="21"/>
                <w:szCs w:val="24"/>
                <w:highlight w:val="none"/>
                <w:shd w:val="clear" w:fill="auto"/>
                <w:lang w:val="en-US" w:eastAsia="zh-CN"/>
              </w:rPr>
              <w:t>5</w:t>
            </w:r>
            <w:r>
              <w:rPr>
                <w:rFonts w:hint="eastAsia" w:asciiTheme="minorHAnsi" w:hAnsiTheme="minorHAnsi" w:eastAsiaTheme="minorEastAsia" w:cstheme="minorBidi"/>
                <w:i w:val="0"/>
                <w:iCs w:val="0"/>
                <w:caps w:val="0"/>
                <w:color w:val="auto"/>
                <w:spacing w:val="0"/>
                <w:sz w:val="21"/>
                <w:szCs w:val="24"/>
                <w:highlight w:val="none"/>
                <w:shd w:val="clear" w:fill="auto"/>
              </w:rPr>
              <w:t xml:space="preserve"> mm</w:t>
            </w:r>
            <w:r>
              <w:rPr>
                <w:rFonts w:hint="eastAsia" w:asciiTheme="minorHAnsi" w:hAnsiTheme="minorHAnsi" w:eastAsiaTheme="minorEastAsia" w:cstheme="minorBidi"/>
                <w:i w:val="0"/>
                <w:iCs w:val="0"/>
                <w:caps w:val="0"/>
                <w:color w:val="auto"/>
                <w:spacing w:val="0"/>
                <w:sz w:val="21"/>
                <w:szCs w:val="24"/>
                <w:highlight w:val="none"/>
                <w:shd w:val="clear" w:fill="auto"/>
                <w:lang w:eastAsia="zh-CN"/>
              </w:rPr>
              <w:t>，</w:t>
            </w:r>
            <w:r>
              <w:rPr>
                <w:rFonts w:hint="eastAsia" w:asciiTheme="minorHAnsi" w:hAnsiTheme="minorHAnsi" w:eastAsiaTheme="minorEastAsia" w:cstheme="minorBidi"/>
                <w:i w:val="0"/>
                <w:iCs w:val="0"/>
                <w:caps w:val="0"/>
                <w:color w:val="auto"/>
                <w:spacing w:val="0"/>
                <w:sz w:val="21"/>
                <w:szCs w:val="24"/>
                <w:highlight w:val="none"/>
                <w:shd w:val="clear" w:fill="auto"/>
                <w:lang w:val="en-US" w:eastAsia="zh-CN"/>
              </w:rPr>
              <w:t>其</w:t>
            </w:r>
            <w:r>
              <w:rPr>
                <w:rFonts w:hint="eastAsia" w:asciiTheme="minorHAnsi" w:hAnsiTheme="minorHAnsi" w:eastAsiaTheme="minorEastAsia" w:cstheme="minorBidi"/>
                <w:i w:val="0"/>
                <w:iCs w:val="0"/>
                <w:caps w:val="0"/>
                <w:color w:val="auto"/>
                <w:spacing w:val="0"/>
                <w:sz w:val="21"/>
                <w:szCs w:val="24"/>
                <w:highlight w:val="none"/>
                <w:shd w:val="clear" w:fill="auto"/>
              </w:rPr>
              <w:t>结构应能有效引导气流，减少柜内涡流和死角。</w:t>
            </w:r>
            <w:r>
              <w:rPr>
                <w:rFonts w:hint="eastAsia" w:asciiTheme="minorHAnsi" w:hAnsiTheme="minorHAnsi" w:eastAsiaTheme="minorEastAsia" w:cstheme="minorBidi"/>
                <w:color w:val="auto"/>
                <w:kern w:val="2"/>
                <w:sz w:val="21"/>
                <w:szCs w:val="24"/>
                <w:highlight w:val="none"/>
                <w:lang w:bidi="ar"/>
              </w:rPr>
              <w:br w:type="textWrapping"/>
            </w:r>
            <w:r>
              <w:rPr>
                <w:rFonts w:hint="eastAsia" w:ascii="宋体" w:hAnsi="宋体" w:eastAsia="宋体" w:cs="宋体"/>
                <w:b/>
                <w:bCs/>
                <w:color w:val="auto"/>
                <w:kern w:val="0"/>
                <w:sz w:val="21"/>
                <w:szCs w:val="21"/>
                <w:highlight w:val="none"/>
                <w:lang w:bidi="ar"/>
              </w:rPr>
              <w:t>二、通风柜性能技术要求</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1.规格：整体尺寸W宽度1500mm，D深度≥900mm， H高度≤2400mm。</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 xml:space="preserve"> </w:t>
            </w:r>
            <w:r>
              <w:rPr>
                <w:rFonts w:hint="eastAsia"/>
                <w:color w:val="auto"/>
                <w:highlight w:val="none"/>
              </w:rPr>
              <w:t>★</w:t>
            </w:r>
            <w:r>
              <w:rPr>
                <w:rFonts w:hint="eastAsia" w:ascii="宋体" w:hAnsi="宋体" w:eastAsia="宋体" w:cs="宋体"/>
                <w:color w:val="auto"/>
                <w:kern w:val="0"/>
                <w:sz w:val="21"/>
                <w:szCs w:val="21"/>
                <w:highlight w:val="none"/>
                <w:lang w:bidi="ar"/>
              </w:rPr>
              <w:t>2.</w:t>
            </w:r>
            <w:r>
              <w:rPr>
                <w:rFonts w:hint="eastAsia"/>
                <w:color w:val="auto"/>
                <w:highlight w:val="none"/>
              </w:rPr>
              <w:t>检测报告必须至少包含以下测试项目，调节门打开至操作开度500mm±50mm并满足要求的技术指标：</w:t>
            </w:r>
          </w:p>
          <w:p w14:paraId="4A1BFABF">
            <w:pPr>
              <w:wordWrap w:val="0"/>
              <w:rPr>
                <w:rFonts w:hint="eastAsia"/>
                <w:color w:val="auto"/>
                <w:highlight w:val="none"/>
              </w:rPr>
            </w:pPr>
            <w:r>
              <w:rPr>
                <w:rFonts w:hint="eastAsia"/>
                <w:color w:val="auto"/>
                <w:highlight w:val="none"/>
              </w:rPr>
              <w:t>a.平均面风速：0.3m/s（偏差不大于10%），面风速应分布均匀,其最大值、最小值与算术平均值的偏差</w:t>
            </w:r>
            <w:r>
              <w:rPr>
                <w:rFonts w:hint="eastAsia" w:ascii="宋体" w:hAnsi="宋体" w:eastAsia="宋体" w:cs="宋体"/>
                <w:color w:val="auto"/>
                <w:highlight w:val="none"/>
                <w:lang w:bidi="ar"/>
              </w:rPr>
              <w:t>≤</w:t>
            </w:r>
            <w:r>
              <w:rPr>
                <w:rFonts w:hint="eastAsia"/>
                <w:color w:val="auto"/>
                <w:highlight w:val="none"/>
              </w:rPr>
              <w:t>10%；</w:t>
            </w:r>
          </w:p>
          <w:p w14:paraId="6668940B">
            <w:pPr>
              <w:wordWrap w:val="0"/>
              <w:rPr>
                <w:rFonts w:hint="eastAsia"/>
                <w:color w:val="auto"/>
                <w:highlight w:val="none"/>
              </w:rPr>
            </w:pPr>
            <w:r>
              <w:rPr>
                <w:rFonts w:hint="eastAsia"/>
                <w:color w:val="auto"/>
                <w:highlight w:val="none"/>
                <w:lang w:val="en-US" w:eastAsia="zh-CN"/>
              </w:rPr>
              <w:t>b.</w:t>
            </w:r>
            <w:r>
              <w:rPr>
                <w:rFonts w:hint="eastAsia"/>
                <w:color w:val="auto"/>
                <w:highlight w:val="none"/>
              </w:rPr>
              <w:t>气流</w:t>
            </w:r>
            <w:r>
              <w:rPr>
                <w:rFonts w:hint="eastAsia"/>
                <w:color w:val="auto"/>
                <w:highlight w:val="none"/>
                <w:lang w:val="en-US" w:eastAsia="zh-CN"/>
              </w:rPr>
              <w:t xml:space="preserve"> </w:t>
            </w:r>
            <w:r>
              <w:rPr>
                <w:rFonts w:hint="eastAsia"/>
                <w:color w:val="auto"/>
                <w:highlight w:val="none"/>
              </w:rPr>
              <w:t>局部</w:t>
            </w:r>
            <w:r>
              <w:rPr>
                <w:rFonts w:hint="eastAsia"/>
                <w:color w:val="auto"/>
                <w:highlight w:val="none"/>
                <w:lang w:val="en-US" w:eastAsia="zh-CN"/>
              </w:rPr>
              <w:t>及</w:t>
            </w:r>
            <w:r>
              <w:rPr>
                <w:rFonts w:hint="eastAsia"/>
                <w:color w:val="auto"/>
                <w:highlight w:val="none"/>
              </w:rPr>
              <w:t>全面不低于A级；</w:t>
            </w:r>
          </w:p>
          <w:p w14:paraId="5191A56E">
            <w:pPr>
              <w:wordWrap w:val="0"/>
              <w:rPr>
                <w:rFonts w:hint="eastAsia" w:eastAsiaTheme="minorEastAsia"/>
                <w:color w:val="auto"/>
                <w:highlight w:val="none"/>
                <w:lang w:eastAsia="zh-CN"/>
              </w:rPr>
            </w:pPr>
            <w:r>
              <w:rPr>
                <w:rFonts w:hint="eastAsia"/>
                <w:color w:val="auto"/>
                <w:highlight w:val="none"/>
                <w:lang w:val="en-US" w:eastAsia="zh-CN"/>
              </w:rPr>
              <w:t>c.</w:t>
            </w:r>
            <w:r>
              <w:rPr>
                <w:rFonts w:hint="eastAsia"/>
                <w:color w:val="auto"/>
                <w:highlight w:val="none"/>
              </w:rPr>
              <w:t>示踪气体—调节门静态</w:t>
            </w:r>
            <w:r>
              <w:rPr>
                <w:rFonts w:hint="eastAsia"/>
                <w:color w:val="auto"/>
                <w:highlight w:val="none"/>
                <w:lang w:val="en-US" w:eastAsia="zh-CN"/>
              </w:rPr>
              <w:t>\动态</w:t>
            </w:r>
            <w:r>
              <w:rPr>
                <w:rFonts w:hint="eastAsia"/>
                <w:color w:val="auto"/>
                <w:highlight w:val="none"/>
              </w:rPr>
              <w:t>：平均值</w:t>
            </w:r>
            <w:r>
              <w:rPr>
                <w:rFonts w:hint="eastAsia"/>
                <w:color w:val="auto"/>
                <w:highlight w:val="none"/>
                <w:lang w:val="en-US" w:eastAsia="zh-CN"/>
              </w:rPr>
              <w:t>均</w:t>
            </w:r>
            <w:r>
              <w:rPr>
                <w:rFonts w:hint="eastAsia" w:ascii="宋体" w:hAnsi="宋体" w:eastAsia="宋体" w:cs="宋体"/>
                <w:color w:val="auto"/>
                <w:highlight w:val="none"/>
                <w:lang w:bidi="ar"/>
              </w:rPr>
              <w:t>≤</w:t>
            </w:r>
            <w:r>
              <w:rPr>
                <w:rFonts w:hint="eastAsia"/>
                <w:color w:val="auto"/>
                <w:highlight w:val="none"/>
              </w:rPr>
              <w:t>0.01mL/m³，峰值</w:t>
            </w:r>
            <w:r>
              <w:rPr>
                <w:rFonts w:hint="eastAsia" w:ascii="宋体" w:hAnsi="宋体" w:eastAsia="宋体" w:cs="宋体"/>
                <w:color w:val="auto"/>
                <w:highlight w:val="none"/>
                <w:lang w:bidi="ar"/>
              </w:rPr>
              <w:t>≤</w:t>
            </w:r>
            <w:r>
              <w:rPr>
                <w:rFonts w:hint="eastAsia"/>
                <w:color w:val="auto"/>
                <w:highlight w:val="none"/>
              </w:rPr>
              <w:t>0.5mL/m³</w:t>
            </w:r>
            <w:r>
              <w:rPr>
                <w:rFonts w:hint="eastAsia"/>
                <w:color w:val="auto"/>
                <w:highlight w:val="none"/>
                <w:lang w:eastAsia="zh-CN"/>
              </w:rPr>
              <w:t>。</w:t>
            </w:r>
          </w:p>
          <w:p w14:paraId="2E4AABE5">
            <w:pPr>
              <w:wordWrap w:val="0"/>
              <w:rPr>
                <w:rFonts w:hint="eastAsia"/>
                <w:color w:val="auto"/>
                <w:highlight w:val="none"/>
              </w:rPr>
            </w:pPr>
            <w:r>
              <w:rPr>
                <w:rFonts w:hint="eastAsia"/>
                <w:color w:val="auto"/>
                <w:highlight w:val="none"/>
              </w:rPr>
              <w:t>注：排风柜如配置有自动门系统，检验时应关闭系统，改为手动状态测试。</w:t>
            </w:r>
          </w:p>
          <w:p w14:paraId="593EE171">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Cs w:val="21"/>
                <w:highlight w:val="none"/>
                <w:lang w:bidi="ar"/>
              </w:rPr>
            </w:pPr>
            <w:r>
              <w:rPr>
                <w:rFonts w:hint="eastAsia"/>
                <w:color w:val="auto"/>
                <w:highlight w:val="none"/>
                <w:lang w:val="en-US" w:eastAsia="zh-CN"/>
              </w:rPr>
              <w:t>3.通风柜前</w:t>
            </w:r>
            <w:r>
              <w:rPr>
                <w:rFonts w:hint="eastAsia"/>
                <w:color w:val="auto"/>
                <w:highlight w:val="none"/>
              </w:rPr>
              <w:t>立柱宽度≤50mm</w:t>
            </w:r>
            <w:r>
              <w:rPr>
                <w:rFonts w:hint="eastAsia"/>
                <w:color w:val="auto"/>
                <w:highlight w:val="none"/>
                <w:lang w:eastAsia="zh-CN"/>
              </w:rPr>
              <w:t>，</w:t>
            </w:r>
            <w:r>
              <w:rPr>
                <w:rFonts w:hint="eastAsia"/>
                <w:color w:val="auto"/>
                <w:highlight w:val="none"/>
              </w:rPr>
              <w:t>内部空间高度≥1200mm（工作台面距离顶板）</w:t>
            </w:r>
            <w:r>
              <w:rPr>
                <w:rFonts w:hint="eastAsia"/>
                <w:color w:val="auto"/>
                <w:highlight w:val="none"/>
                <w:lang w:eastAsia="zh-CN"/>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bidi="ar"/>
              </w:rPr>
              <w:t>.工作台面采用一体成型</w:t>
            </w:r>
            <w:r>
              <w:rPr>
                <w:rFonts w:hint="eastAsia" w:ascii="宋体" w:hAnsi="宋体" w:eastAsia="宋体" w:cs="宋体"/>
                <w:color w:val="auto"/>
                <w:kern w:val="0"/>
                <w:sz w:val="21"/>
                <w:szCs w:val="21"/>
                <w:highlight w:val="none"/>
                <w:lang w:val="en-US" w:eastAsia="zh-CN" w:bidi="ar"/>
              </w:rPr>
              <w:t>总厚≥</w:t>
            </w:r>
            <w:r>
              <w:rPr>
                <w:rFonts w:hint="eastAsia" w:ascii="宋体" w:hAnsi="宋体" w:eastAsia="宋体" w:cs="宋体"/>
                <w:color w:val="auto"/>
                <w:kern w:val="0"/>
                <w:sz w:val="21"/>
                <w:szCs w:val="21"/>
                <w:highlight w:val="none"/>
                <w:lang w:bidi="ar"/>
              </w:rPr>
              <w:t>25m</w:t>
            </w:r>
            <w:r>
              <w:rPr>
                <w:rFonts w:hint="eastAsia" w:ascii="宋体" w:hAnsi="宋体" w:eastAsia="宋体" w:cs="宋体"/>
                <w:color w:val="auto"/>
                <w:kern w:val="0"/>
                <w:szCs w:val="21"/>
                <w:highlight w:val="none"/>
                <w:lang w:bidi="ar"/>
              </w:rPr>
              <w:t>黑色实芯坯体陶瓷台面（非二次贴边加厚）</w:t>
            </w:r>
            <w:r>
              <w:rPr>
                <w:rFonts w:hint="eastAsia" w:ascii="宋体" w:hAnsi="宋体" w:eastAsia="宋体" w:cs="宋体"/>
                <w:color w:val="auto"/>
                <w:kern w:val="0"/>
                <w:sz w:val="21"/>
                <w:szCs w:val="21"/>
                <w:highlight w:val="none"/>
                <w:lang w:bidi="ar"/>
              </w:rPr>
              <w:t>，台面平整，四边有一体成型阻水边。</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Cs w:val="21"/>
                <w:highlight w:val="none"/>
                <w:lang w:bidi="ar"/>
              </w:rPr>
              <w:t>内衬板厚度≥4mm，表面为改性强化纳米膜，基材为不燃复合纤维基材，背面为结构性保护膜，耐高温及耐湿防潮满足国家标准，表面光滑易洁。需满足以下要求：</w:t>
            </w:r>
          </w:p>
          <w:p w14:paraId="501F7202">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内衬板物理性能要求：参照GB/T17657-2022检测依据，检测内容为：耐高温测试至少3个试件表面未产生裂纹；耐水蒸气为5级；耐开裂在50℃环境中处理6h后试件装饰面未开裂；耐沸水表面质量5级，边缘质量5级。</w:t>
            </w:r>
          </w:p>
          <w:p w14:paraId="050D60A4">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2"/>
                <w:sz w:val="21"/>
                <w:szCs w:val="21"/>
                <w:highlight w:val="none"/>
                <w:lang w:val="en-US" w:eastAsia="zh-CN" w:bidi="ar"/>
              </w:rPr>
              <w:t>内衬板表面耐污染性能要求：参照GB/T 24820-2024判定依据，检测内容为：乙酸乙酯99%、乙醇99%、甲醛37%、盐酸37%、氢氧化钠饱和溶液、马克笔、碘伏（碘酒）、红墨水等多种试剂，接触时长为24h，检测结果为5级无明显变化。</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bidi="ar"/>
              </w:rPr>
              <w:t>.柜内顶板上面装有LED节能灯，灯光光线柔和，无频闪、快速启动类型，照明光源有塑料面板或玻璃面板与柜内空间隔开。</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bidi="ar"/>
              </w:rPr>
              <w:t>.柜内工作空间顶部应有泄压口设计，当工作空间实验装置发生意外爆炸时，泄压口可以分担柜内压力并释放，以减少对调节门玻璃的冲击力，最大化保护操作人员。</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8</w:t>
            </w:r>
            <w:r>
              <w:rPr>
                <w:rFonts w:hint="eastAsia" w:ascii="宋体" w:hAnsi="宋体" w:eastAsia="宋体" w:cs="宋体"/>
                <w:color w:val="auto"/>
                <w:kern w:val="0"/>
                <w:sz w:val="21"/>
                <w:szCs w:val="21"/>
                <w:highlight w:val="none"/>
                <w:lang w:bidi="ar"/>
              </w:rPr>
              <w:t>.排风柜操作台面的平均照度不应小于500lx，并应采用节能及无频闪的照明灯具。</w:t>
            </w:r>
          </w:p>
          <w:p w14:paraId="26F47DC9">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9</w:t>
            </w:r>
            <w:r>
              <w:rPr>
                <w:rFonts w:hint="eastAsia" w:ascii="宋体" w:hAnsi="宋体" w:eastAsia="宋体" w:cs="宋体"/>
                <w:color w:val="auto"/>
                <w:kern w:val="0"/>
                <w:sz w:val="21"/>
                <w:szCs w:val="21"/>
                <w:highlight w:val="none"/>
                <w:lang w:bidi="ar"/>
              </w:rPr>
              <w:t>.平衡系统使用同步带传动结构，可以保证调节门不倾斜，并且可用一只手轻松操控升、降调节门，采用高强度钢丝芯聚氨酯同步带，具有低噪声高性能和足够的承重能力并保证防腐蚀。以全行程(往返)6 次/min的频次,操作25000次，试验结束后,调节门及传动系统无功能性或结构性损坏,开关行程范围内应顺畅无卡阻。再次验证拉力，柜体宽度1.5 m及以下,不大于23N,柜体宽度大于1.5m,每增加0.3m,施力增加4.5N。</w:t>
            </w:r>
          </w:p>
          <w:p w14:paraId="41924C6C">
            <w:pPr>
              <w:pStyle w:val="8"/>
              <w:keepNext w:val="0"/>
              <w:keepLines w:val="0"/>
              <w:pageBreakBefore w:val="0"/>
              <w:widowControl/>
              <w:kinsoku/>
              <w:wordWrap w:val="0"/>
              <w:overflowPunct/>
              <w:topLinePunct w:val="0"/>
              <w:autoSpaceDE/>
              <w:autoSpaceDN/>
              <w:bidi w:val="0"/>
              <w:adjustRightInd/>
              <w:jc w:val="both"/>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10</w:t>
            </w:r>
            <w:r>
              <w:rPr>
                <w:rFonts w:hint="eastAsia" w:ascii="宋体" w:hAnsi="宋体" w:eastAsia="宋体" w:cs="宋体"/>
                <w:color w:val="auto"/>
                <w:kern w:val="0"/>
                <w:sz w:val="21"/>
                <w:szCs w:val="21"/>
                <w:highlight w:val="none"/>
                <w:lang w:bidi="ar"/>
              </w:rPr>
              <w:t>.同步带</w:t>
            </w:r>
            <w:r>
              <w:rPr>
                <w:rFonts w:hint="eastAsia" w:ascii="宋体" w:hAnsi="宋体" w:eastAsia="宋体" w:cs="宋体"/>
                <w:color w:val="auto"/>
                <w:kern w:val="0"/>
                <w:szCs w:val="21"/>
                <w:highlight w:val="none"/>
                <w:lang w:bidi="ar"/>
              </w:rPr>
              <w:t>应符合 GB/T 13487-2025《同步带传动 一般传动用同步带》</w:t>
            </w:r>
            <w:r>
              <w:rPr>
                <w:rFonts w:hint="eastAsia" w:ascii="宋体" w:hAnsi="宋体" w:eastAsia="宋体" w:cs="宋体"/>
                <w:color w:val="auto"/>
                <w:kern w:val="0"/>
                <w:szCs w:val="21"/>
                <w:highlight w:val="none"/>
                <w:lang w:val="en-US" w:eastAsia="zh-CN" w:bidi="ar"/>
              </w:rPr>
              <w:t>标准，</w:t>
            </w:r>
            <w:r>
              <w:rPr>
                <w:rFonts w:hint="eastAsia" w:ascii="宋体" w:hAnsi="宋体" w:eastAsia="宋体" w:cs="宋体"/>
                <w:color w:val="auto"/>
                <w:kern w:val="0"/>
                <w:sz w:val="21"/>
                <w:szCs w:val="21"/>
                <w:highlight w:val="none"/>
                <w:lang w:bidi="ar"/>
              </w:rPr>
              <w:t>能达到</w:t>
            </w:r>
            <w:r>
              <w:rPr>
                <w:rFonts w:hint="eastAsia" w:ascii="宋体" w:hAnsi="宋体" w:eastAsia="宋体" w:cs="宋体"/>
                <w:color w:val="auto"/>
                <w:kern w:val="0"/>
                <w:sz w:val="21"/>
                <w:szCs w:val="21"/>
                <w:highlight w:val="none"/>
                <w:lang w:val="en-US" w:eastAsia="zh-CN" w:bidi="ar"/>
              </w:rPr>
              <w:t>以下</w:t>
            </w:r>
            <w:r>
              <w:rPr>
                <w:rFonts w:hint="eastAsia" w:ascii="宋体" w:hAnsi="宋体" w:eastAsia="宋体" w:cs="宋体"/>
                <w:color w:val="auto"/>
                <w:kern w:val="0"/>
                <w:sz w:val="21"/>
                <w:szCs w:val="21"/>
                <w:highlight w:val="none"/>
                <w:lang w:bidi="ar"/>
              </w:rPr>
              <w:t>性能</w:t>
            </w:r>
            <w:r>
              <w:rPr>
                <w:rFonts w:hint="eastAsia" w:ascii="宋体" w:hAnsi="宋体" w:eastAsia="宋体" w:cs="宋体"/>
                <w:strike w:val="0"/>
                <w:dstrike w:val="0"/>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a)拉伸强度≥160N/mm；</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b)齿体剪切强度≥50N/mm；</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c)齿体剪切强度(100℃x70h耐油性后)≥50N/mm；</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d)拉伸强度(100℃(沸水)x3h,(25士5)℃(水)x30min耐水后)≥160N/mm。</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11</w:t>
            </w:r>
            <w:r>
              <w:rPr>
                <w:rFonts w:hint="eastAsia" w:ascii="宋体" w:hAnsi="宋体" w:eastAsia="宋体" w:cs="宋体"/>
                <w:color w:val="auto"/>
                <w:kern w:val="0"/>
                <w:sz w:val="21"/>
                <w:szCs w:val="21"/>
                <w:highlight w:val="none"/>
                <w:lang w:bidi="ar"/>
              </w:rPr>
              <w:t>.调节门配置防坠落功能，即一侧同步带突然断开，调节门也会停留在最初位置附近，下落距离不大于25mm。防止调节门急速坠落发生意外事故。</w:t>
            </w:r>
          </w:p>
          <w:p w14:paraId="7DCDEFCE">
            <w:pPr>
              <w:pStyle w:val="8"/>
              <w:keepNext w:val="0"/>
              <w:keepLines w:val="0"/>
              <w:pageBreakBefore w:val="0"/>
              <w:widowControl/>
              <w:kinsoku/>
              <w:wordWrap w:val="0"/>
              <w:overflowPunct/>
              <w:topLinePunct w:val="0"/>
              <w:autoSpaceDE/>
              <w:autoSpaceDN/>
              <w:bidi w:val="0"/>
              <w:adjustRightInd/>
              <w:jc w:val="both"/>
              <w:textAlignment w:val="bottom"/>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12</w:t>
            </w:r>
            <w:r>
              <w:rPr>
                <w:rFonts w:hint="eastAsia" w:ascii="宋体" w:hAnsi="宋体" w:eastAsia="宋体" w:cs="宋体"/>
                <w:color w:val="auto"/>
                <w:kern w:val="0"/>
                <w:sz w:val="21"/>
                <w:szCs w:val="21"/>
                <w:highlight w:val="none"/>
                <w:lang w:bidi="ar"/>
              </w:rPr>
              <w:t>.调节门同时配置防滴落功能，飞溅或凝结在调节门内表面上的液体会被调节门把手底部的液体收集槽收集，并导流到调节门的一侧滴落到工作台面上。防止液体直接滴落到调节门下面发生安全隐患。</w:t>
            </w:r>
          </w:p>
        </w:tc>
        <w:tc>
          <w:tcPr>
            <w:tcW w:w="338" w:type="pct"/>
            <w:shd w:val="clear" w:color="auto" w:fill="auto"/>
            <w:vAlign w:val="center"/>
          </w:tcPr>
          <w:p w14:paraId="7103CD1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342553F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75</w:t>
            </w:r>
          </w:p>
        </w:tc>
      </w:tr>
      <w:tr w14:paraId="2DBAF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384" w:type="pct"/>
            <w:shd w:val="clear" w:color="auto" w:fill="auto"/>
            <w:noWrap/>
            <w:vAlign w:val="center"/>
          </w:tcPr>
          <w:p w14:paraId="4505AD25">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79</w:t>
            </w:r>
          </w:p>
        </w:tc>
        <w:tc>
          <w:tcPr>
            <w:tcW w:w="381" w:type="pct"/>
            <w:shd w:val="clear" w:color="auto" w:fill="auto"/>
            <w:vAlign w:val="center"/>
          </w:tcPr>
          <w:p w14:paraId="5A2EA74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拖把池</w:t>
            </w:r>
            <w:r>
              <w:rPr>
                <w:rFonts w:hint="eastAsia" w:ascii="宋体" w:hAnsi="宋体" w:eastAsia="宋体" w:cs="宋体"/>
                <w:color w:val="auto"/>
                <w:kern w:val="0"/>
                <w:sz w:val="21"/>
                <w:szCs w:val="21"/>
                <w:highlight w:val="none"/>
                <w:lang w:bidi="ar"/>
              </w:rPr>
              <w:drawing>
                <wp:inline distT="0" distB="0" distL="114300" distR="114300">
                  <wp:extent cx="816610" cy="716915"/>
                  <wp:effectExtent l="0" t="0" r="2540" b="6985"/>
                  <wp:docPr id="93" name="图片 93" descr="拖把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拖把池"/>
                          <pic:cNvPicPr>
                            <a:picLocks noChangeAspect="1"/>
                          </pic:cNvPicPr>
                        </pic:nvPicPr>
                        <pic:blipFill>
                          <a:blip r:embed="rId28"/>
                          <a:stretch>
                            <a:fillRect/>
                          </a:stretch>
                        </pic:blipFill>
                        <pic:spPr>
                          <a:xfrm>
                            <a:off x="0" y="0"/>
                            <a:ext cx="816610" cy="716915"/>
                          </a:xfrm>
                          <a:prstGeom prst="rect">
                            <a:avLst/>
                          </a:prstGeom>
                        </pic:spPr>
                      </pic:pic>
                    </a:graphicData>
                  </a:graphic>
                </wp:inline>
              </w:drawing>
            </w:r>
          </w:p>
        </w:tc>
        <w:tc>
          <w:tcPr>
            <w:tcW w:w="783" w:type="pct"/>
            <w:shd w:val="clear" w:color="auto" w:fill="auto"/>
            <w:vAlign w:val="center"/>
          </w:tcPr>
          <w:p w14:paraId="20779CFC">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p>
        </w:tc>
        <w:tc>
          <w:tcPr>
            <w:tcW w:w="2826" w:type="pct"/>
            <w:shd w:val="clear" w:color="auto" w:fill="auto"/>
            <w:noWrap/>
            <w:vAlign w:val="center"/>
          </w:tcPr>
          <w:p w14:paraId="15A23648">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550*600*600</w:t>
            </w:r>
            <w:r>
              <w:rPr>
                <w:rFonts w:hint="eastAsia" w:ascii="宋体" w:hAnsi="宋体" w:eastAsia="宋体" w:cs="宋体"/>
                <w:color w:val="auto"/>
                <w:kern w:val="0"/>
                <w:sz w:val="21"/>
                <w:szCs w:val="21"/>
                <w:highlight w:val="none"/>
                <w:lang w:val="en-US" w:eastAsia="zh-CN" w:bidi="ar"/>
              </w:rPr>
              <w:t>mm</w:t>
            </w:r>
          </w:p>
          <w:p w14:paraId="64B78862">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color w:val="auto"/>
                <w:kern w:val="0"/>
                <w:szCs w:val="21"/>
                <w:highlight w:val="none"/>
                <w:lang w:bidi="ar"/>
              </w:rPr>
              <w:t xml:space="preserve"> 槽体及所有外露金属构件采用 S30408（06Cr19Ni10） 奥氏体不锈钢</w:t>
            </w:r>
            <w:r>
              <w:rPr>
                <w:rFonts w:hint="eastAsia" w:ascii="宋体" w:hAnsi="宋体" w:eastAsia="宋体" w:cs="宋体"/>
                <w:color w:val="auto"/>
                <w:kern w:val="0"/>
                <w:szCs w:val="21"/>
                <w:highlight w:val="none"/>
                <w:lang w:eastAsia="zh-CN" w:bidi="ar"/>
              </w:rPr>
              <w:t>。</w:t>
            </w:r>
          </w:p>
          <w:p w14:paraId="3309D288">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color w:val="auto"/>
                <w:kern w:val="0"/>
                <w:szCs w:val="21"/>
                <w:highlight w:val="none"/>
                <w:lang w:bidi="ar"/>
              </w:rPr>
              <w:t>槽体采用厚度≥1.0mm（实厚） 不锈钢板，整体折弯一体成型，主体无拼接</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i w:val="0"/>
                <w:iCs w:val="0"/>
                <w:caps w:val="0"/>
                <w:color w:val="auto"/>
                <w:spacing w:val="0"/>
                <w:kern w:val="0"/>
                <w:sz w:val="21"/>
                <w:szCs w:val="21"/>
                <w:highlight w:val="none"/>
                <w:shd w:val="clear" w:fill="auto"/>
                <w:lang w:bidi="ar"/>
              </w:rPr>
              <w:t>槽体转角处 </w:t>
            </w:r>
            <w:r>
              <w:rPr>
                <w:rFonts w:hint="eastAsia" w:ascii="宋体" w:hAnsi="宋体" w:eastAsia="宋体" w:cs="宋体"/>
                <w:b w:val="0"/>
                <w:bCs w:val="0"/>
                <w:i w:val="0"/>
                <w:iCs w:val="0"/>
                <w:caps w:val="0"/>
                <w:color w:val="auto"/>
                <w:spacing w:val="0"/>
                <w:kern w:val="0"/>
                <w:sz w:val="21"/>
                <w:szCs w:val="21"/>
                <w:highlight w:val="none"/>
                <w:shd w:val="clear" w:fill="auto"/>
                <w:lang w:bidi="ar"/>
              </w:rPr>
              <w:t>R10圆弧过渡</w:t>
            </w:r>
            <w:r>
              <w:rPr>
                <w:rFonts w:hint="eastAsia" w:ascii="宋体" w:hAnsi="宋体" w:eastAsia="宋体" w:cs="宋体"/>
                <w:i w:val="0"/>
                <w:iCs w:val="0"/>
                <w:caps w:val="0"/>
                <w:color w:val="auto"/>
                <w:spacing w:val="0"/>
                <w:kern w:val="0"/>
                <w:sz w:val="21"/>
                <w:szCs w:val="21"/>
                <w:highlight w:val="none"/>
                <w:shd w:val="clear" w:fill="auto"/>
                <w:lang w:bidi="ar"/>
              </w:rPr>
              <w:t>（R≥8mm，≤12mm），无直角积污</w:t>
            </w:r>
            <w:r>
              <w:rPr>
                <w:rFonts w:hint="eastAsia" w:ascii="宋体" w:hAnsi="宋体" w:eastAsia="宋体" w:cs="宋体"/>
                <w:i w:val="0"/>
                <w:iCs w:val="0"/>
                <w:caps w:val="0"/>
                <w:color w:val="auto"/>
                <w:spacing w:val="0"/>
                <w:kern w:val="0"/>
                <w:sz w:val="21"/>
                <w:szCs w:val="21"/>
                <w:highlight w:val="none"/>
                <w:shd w:val="clear" w:fill="auto"/>
                <w:lang w:eastAsia="zh-CN" w:bidi="ar"/>
              </w:rPr>
              <w:t>；</w:t>
            </w:r>
            <w:r>
              <w:rPr>
                <w:rFonts w:hint="eastAsia" w:ascii="宋体" w:hAnsi="宋体" w:eastAsia="宋体" w:cs="宋体"/>
                <w:i w:val="0"/>
                <w:iCs w:val="0"/>
                <w:caps w:val="0"/>
                <w:color w:val="auto"/>
                <w:spacing w:val="0"/>
                <w:kern w:val="0"/>
                <w:sz w:val="21"/>
                <w:szCs w:val="21"/>
                <w:highlight w:val="none"/>
                <w:shd w:val="clear" w:fill="auto"/>
                <w:lang w:bidi="ar"/>
              </w:rPr>
              <w:t>必须拼接处（下水口等）</w:t>
            </w:r>
            <w:r>
              <w:rPr>
                <w:rFonts w:hint="eastAsia" w:ascii="宋体" w:hAnsi="宋体" w:eastAsia="宋体" w:cs="宋体"/>
                <w:b w:val="0"/>
                <w:bCs w:val="0"/>
                <w:i w:val="0"/>
                <w:iCs w:val="0"/>
                <w:caps w:val="0"/>
                <w:color w:val="auto"/>
                <w:spacing w:val="0"/>
                <w:kern w:val="0"/>
                <w:sz w:val="21"/>
                <w:szCs w:val="21"/>
                <w:highlight w:val="none"/>
                <w:shd w:val="clear" w:fill="auto"/>
                <w:lang w:bidi="ar"/>
              </w:rPr>
              <w:t>满焊工艺</w:t>
            </w:r>
            <w:r>
              <w:rPr>
                <w:rFonts w:hint="eastAsia" w:ascii="宋体" w:hAnsi="宋体" w:eastAsia="宋体" w:cs="宋体"/>
                <w:i w:val="0"/>
                <w:iCs w:val="0"/>
                <w:caps w:val="0"/>
                <w:color w:val="auto"/>
                <w:spacing w:val="0"/>
                <w:kern w:val="0"/>
                <w:sz w:val="21"/>
                <w:szCs w:val="21"/>
                <w:highlight w:val="none"/>
                <w:shd w:val="clear" w:fill="auto"/>
                <w:lang w:bidi="ar"/>
              </w:rPr>
              <w:t>，焊缝致密，无虚焊、漏焊、气孔及渗水缝</w:t>
            </w:r>
            <w:r>
              <w:rPr>
                <w:rFonts w:hint="eastAsia" w:ascii="宋体" w:hAnsi="宋体" w:eastAsia="宋体" w:cs="宋体"/>
                <w:i w:val="0"/>
                <w:iCs w:val="0"/>
                <w:caps w:val="0"/>
                <w:color w:val="auto"/>
                <w:spacing w:val="0"/>
                <w:kern w:val="0"/>
                <w:sz w:val="21"/>
                <w:szCs w:val="21"/>
                <w:highlight w:val="none"/>
                <w:shd w:val="clear" w:fill="auto"/>
                <w:lang w:eastAsia="zh-CN" w:bidi="ar"/>
              </w:rPr>
              <w:t>；</w:t>
            </w:r>
            <w:r>
              <w:rPr>
                <w:rFonts w:hint="eastAsia" w:ascii="宋体" w:hAnsi="宋体" w:eastAsia="宋体" w:cs="宋体"/>
                <w:i w:val="0"/>
                <w:iCs w:val="0"/>
                <w:caps w:val="0"/>
                <w:color w:val="auto"/>
                <w:spacing w:val="0"/>
                <w:kern w:val="0"/>
                <w:sz w:val="21"/>
                <w:szCs w:val="21"/>
                <w:highlight w:val="none"/>
                <w:shd w:val="clear" w:fill="auto"/>
                <w:lang w:bidi="ar"/>
              </w:rPr>
              <w:t>焊缝经 </w:t>
            </w:r>
            <w:r>
              <w:rPr>
                <w:rFonts w:hint="eastAsia" w:ascii="宋体" w:hAnsi="宋体" w:eastAsia="宋体" w:cs="宋体"/>
                <w:b w:val="0"/>
                <w:bCs w:val="0"/>
                <w:i w:val="0"/>
                <w:iCs w:val="0"/>
                <w:caps w:val="0"/>
                <w:color w:val="auto"/>
                <w:spacing w:val="0"/>
                <w:kern w:val="0"/>
                <w:sz w:val="21"/>
                <w:szCs w:val="21"/>
                <w:highlight w:val="none"/>
                <w:shd w:val="clear" w:fill="auto"/>
                <w:lang w:bidi="ar"/>
              </w:rPr>
              <w:t>打磨抛光+酸洗钝化</w:t>
            </w:r>
            <w:r>
              <w:rPr>
                <w:rFonts w:hint="eastAsia" w:ascii="宋体" w:hAnsi="宋体" w:eastAsia="宋体" w:cs="宋体"/>
                <w:i w:val="0"/>
                <w:iCs w:val="0"/>
                <w:caps w:val="0"/>
                <w:color w:val="auto"/>
                <w:spacing w:val="0"/>
                <w:kern w:val="0"/>
                <w:sz w:val="21"/>
                <w:szCs w:val="21"/>
                <w:highlight w:val="none"/>
                <w:shd w:val="clear" w:fill="auto"/>
                <w:lang w:bidi="ar"/>
              </w:rPr>
              <w:t>，耐腐蚀性与母材一致。</w:t>
            </w:r>
          </w:p>
          <w:p w14:paraId="63CA255E">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.落地支撑支架：</w:t>
            </w:r>
            <w:r>
              <w:rPr>
                <w:rFonts w:hint="eastAsia" w:ascii="宋体" w:hAnsi="宋体" w:eastAsia="宋体" w:cs="宋体"/>
                <w:color w:val="auto"/>
                <w:kern w:val="0"/>
                <w:szCs w:val="21"/>
                <w:highlight w:val="none"/>
                <w:lang w:bidi="ar"/>
              </w:rPr>
              <w:t>采用规格不低于25mm×25mm×1.2mm的S30408不锈钢方管制作，壁厚实测负偏差≤0.1mm</w:t>
            </w:r>
            <w:r>
              <w:rPr>
                <w:rFonts w:hint="eastAsia" w:ascii="宋体" w:hAnsi="宋体" w:eastAsia="宋体" w:cs="宋体"/>
                <w:color w:val="auto"/>
                <w:kern w:val="0"/>
                <w:sz w:val="21"/>
                <w:szCs w:val="21"/>
                <w:highlight w:val="none"/>
                <w:lang w:bidi="ar"/>
              </w:rPr>
              <w:t>。</w:t>
            </w:r>
          </w:p>
          <w:p w14:paraId="4C0BBA16">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4.可长期盛放 60℃清洗热水，短时 90℃热水无变形变色。</w:t>
            </w:r>
          </w:p>
          <w:p w14:paraId="2F5A8115">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5.表面处理：</w:t>
            </w:r>
            <w:r>
              <w:rPr>
                <w:rFonts w:hint="eastAsia" w:ascii="宋体" w:hAnsi="宋体" w:eastAsia="宋体" w:cs="宋体"/>
                <w:color w:val="auto"/>
                <w:kern w:val="0"/>
                <w:szCs w:val="21"/>
                <w:highlight w:val="none"/>
                <w:lang w:bidi="ar"/>
              </w:rPr>
              <w:t>一体拉丝处理，纹理均匀；哑光效果，不反光</w:t>
            </w:r>
            <w:r>
              <w:rPr>
                <w:rFonts w:hint="eastAsia" w:ascii="宋体" w:hAnsi="宋体" w:eastAsia="宋体" w:cs="宋体"/>
                <w:color w:val="auto"/>
                <w:kern w:val="0"/>
                <w:szCs w:val="21"/>
                <w:highlight w:val="none"/>
                <w:lang w:eastAsia="zh-CN" w:bidi="ar"/>
              </w:rPr>
              <w:t>；</w:t>
            </w:r>
            <w:r>
              <w:rPr>
                <w:rFonts w:hint="eastAsia" w:ascii="宋体" w:hAnsi="宋体" w:eastAsia="宋体" w:cs="宋体"/>
                <w:i w:val="0"/>
                <w:iCs w:val="0"/>
                <w:caps w:val="0"/>
                <w:color w:val="auto"/>
                <w:spacing w:val="0"/>
                <w:kern w:val="0"/>
                <w:sz w:val="21"/>
                <w:szCs w:val="21"/>
                <w:highlight w:val="none"/>
                <w:shd w:val="clear" w:fill="auto"/>
                <w:lang w:bidi="ar"/>
              </w:rPr>
              <w:t>边缘及切口 </w:t>
            </w:r>
            <w:r>
              <w:rPr>
                <w:rFonts w:hint="eastAsia" w:ascii="宋体" w:hAnsi="宋体" w:eastAsia="宋体" w:cs="宋体"/>
                <w:b w:val="0"/>
                <w:bCs w:val="0"/>
                <w:i w:val="0"/>
                <w:iCs w:val="0"/>
                <w:caps w:val="0"/>
                <w:color w:val="auto"/>
                <w:spacing w:val="0"/>
                <w:kern w:val="0"/>
                <w:sz w:val="21"/>
                <w:szCs w:val="21"/>
                <w:highlight w:val="none"/>
                <w:shd w:val="clear" w:fill="auto"/>
                <w:lang w:bidi="ar"/>
              </w:rPr>
              <w:t>去毛刺倒角</w:t>
            </w:r>
            <w:r>
              <w:rPr>
                <w:rFonts w:hint="eastAsia" w:ascii="宋体" w:hAnsi="宋体" w:eastAsia="宋体" w:cs="宋体"/>
                <w:i w:val="0"/>
                <w:iCs w:val="0"/>
                <w:caps w:val="0"/>
                <w:color w:val="auto"/>
                <w:spacing w:val="0"/>
                <w:kern w:val="0"/>
                <w:sz w:val="21"/>
                <w:szCs w:val="21"/>
                <w:highlight w:val="none"/>
                <w:shd w:val="clear" w:fill="auto"/>
                <w:lang w:bidi="ar"/>
              </w:rPr>
              <w:t>，无焊渣、无刮手感。</w:t>
            </w:r>
          </w:p>
        </w:tc>
        <w:tc>
          <w:tcPr>
            <w:tcW w:w="338" w:type="pct"/>
            <w:shd w:val="clear" w:color="auto" w:fill="auto"/>
            <w:vAlign w:val="center"/>
          </w:tcPr>
          <w:p w14:paraId="0BFC6FC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608ECE0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11</w:t>
            </w:r>
          </w:p>
        </w:tc>
      </w:tr>
      <w:tr w14:paraId="232D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384" w:type="pct"/>
            <w:shd w:val="clear" w:color="auto" w:fill="auto"/>
            <w:noWrap/>
            <w:vAlign w:val="center"/>
          </w:tcPr>
          <w:p w14:paraId="5537E73E">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80</w:t>
            </w:r>
          </w:p>
        </w:tc>
        <w:tc>
          <w:tcPr>
            <w:tcW w:w="381" w:type="pct"/>
            <w:shd w:val="clear" w:color="auto" w:fill="auto"/>
            <w:vAlign w:val="center"/>
          </w:tcPr>
          <w:p w14:paraId="2746802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万向排气罩</w:t>
            </w:r>
          </w:p>
        </w:tc>
        <w:tc>
          <w:tcPr>
            <w:tcW w:w="783" w:type="pct"/>
            <w:shd w:val="clear" w:color="auto" w:fill="auto"/>
            <w:noWrap/>
            <w:vAlign w:val="center"/>
          </w:tcPr>
          <w:p w14:paraId="4B0AE46E">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820420" cy="1821180"/>
                  <wp:effectExtent l="0" t="0" r="6350" b="5715"/>
                  <wp:docPr id="94" name="图片 94" descr="万向排气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万向排气罩"/>
                          <pic:cNvPicPr>
                            <a:picLocks noChangeAspect="1"/>
                          </pic:cNvPicPr>
                        </pic:nvPicPr>
                        <pic:blipFill>
                          <a:blip r:embed="rId29"/>
                          <a:stretch>
                            <a:fillRect/>
                          </a:stretch>
                        </pic:blipFill>
                        <pic:spPr>
                          <a:xfrm>
                            <a:off x="0" y="0"/>
                            <a:ext cx="820420" cy="1821180"/>
                          </a:xfrm>
                          <a:prstGeom prst="rect">
                            <a:avLst/>
                          </a:prstGeom>
                        </pic:spPr>
                      </pic:pic>
                    </a:graphicData>
                  </a:graphic>
                </wp:inline>
              </w:drawing>
            </w:r>
          </w:p>
        </w:tc>
        <w:tc>
          <w:tcPr>
            <w:tcW w:w="2826" w:type="pct"/>
            <w:shd w:val="clear" w:color="auto" w:fill="auto"/>
            <w:vAlign w:val="center"/>
          </w:tcPr>
          <w:p w14:paraId="4D653C5E">
            <w:pPr>
              <w:keepNext w:val="0"/>
              <w:keepLines w:val="0"/>
              <w:widowControl/>
              <w:numPr>
                <w:ilvl w:val="0"/>
                <w:numId w:val="0"/>
              </w:numPr>
              <w:wordWrap w:val="0"/>
              <w:spacing w:line="360" w:lineRule="exact"/>
              <w:textAlignment w:val="center"/>
              <w:rPr>
                <w:rFonts w:hint="eastAsia" w:ascii="宋体" w:hAnsi="宋体" w:eastAsia="宋体" w:cs="宋体"/>
                <w:b w:val="0"/>
                <w:bCs w:val="0"/>
                <w:color w:val="auto"/>
                <w:sz w:val="21"/>
                <w:szCs w:val="21"/>
                <w:highlight w:val="none"/>
                <w:lang w:bidi="ar"/>
              </w:rPr>
            </w:pPr>
            <w:r>
              <w:rPr>
                <w:rFonts w:hint="eastAsia" w:ascii="宋体" w:hAnsi="宋体" w:eastAsia="宋体" w:cs="宋体"/>
                <w:color w:val="auto"/>
                <w:kern w:val="0"/>
                <w:sz w:val="21"/>
                <w:szCs w:val="21"/>
                <w:highlight w:val="none"/>
                <w:lang w:bidi="ar"/>
              </w:rPr>
              <w:t>主体：PP材质；</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2.第一节与第四节的水平旋转装置采用铝合金以确保稳定，铝合金表面阳极氧化处理，可360°旋转；</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3.关节PP全新料生产，可360°旋转调节方向，易拆卸、重组及清洗；</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4.关节连接杆：304不锈钢；</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5.关节松紧旋钮：全铜材质确保螺纹不滑丝，内嵌不锈钢轴承，与关节连接杆锁合；</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6.气流调节阀：手动调节外部阀门旋钮，控制进入之气流量；</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7.伸缩导管Φ75PP管；</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8.拱形/杯形集气罩：高密度PP材质；</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9.固定底座：采用PP材质。</w:t>
            </w:r>
          </w:p>
          <w:p w14:paraId="5BCBA4A6">
            <w:pPr>
              <w:keepNext w:val="0"/>
              <w:keepLines w:val="0"/>
              <w:widowControl/>
              <w:numPr>
                <w:ilvl w:val="0"/>
                <w:numId w:val="0"/>
              </w:numPr>
              <w:wordWrap w:val="0"/>
              <w:spacing w:line="360" w:lineRule="exact"/>
              <w:textAlignment w:val="center"/>
              <w:rPr>
                <w:rFonts w:hint="eastAsia" w:ascii="宋体" w:hAnsi="宋体" w:eastAsia="宋体" w:cs="宋体"/>
                <w:b w:val="0"/>
                <w:bCs w:val="0"/>
                <w:color w:val="auto"/>
                <w:sz w:val="21"/>
                <w:szCs w:val="21"/>
                <w:highlight w:val="none"/>
                <w:lang w:eastAsia="zh-CN" w:bidi="ar"/>
              </w:rPr>
            </w:pPr>
            <w:r>
              <w:rPr>
                <w:rFonts w:hint="eastAsia" w:ascii="宋体" w:hAnsi="宋体" w:eastAsia="宋体" w:cs="宋体"/>
                <w:color w:val="auto"/>
                <w:szCs w:val="21"/>
                <w:highlight w:val="none"/>
                <w:lang w:bidi="ar"/>
              </w:rPr>
              <w:t>★10.耐污染性能：同一份检测报告需包含以下有机、无机试剂：丙酮（AR，≥99.5%）、过氧化氢（双氧水30%）（AR，≥30.0%）、氨水（氢氧化铵）（AR，25-28%）、硼酸（AR）、环己烷（AR，≥99.5%）、己烷（AR，≥97.0%）、戊烷、液体石蜡（AR，99%）、丁酮（甲基乙基酮、甲乙酮）（AR，≥99.0%）、酚酞（分析纯）、甲酚，耐污染接触时间≥48h，覆盖/未覆盖玻璃盖板，检验结果均为5级（无明显变化）。</w:t>
            </w:r>
          </w:p>
          <w:p w14:paraId="179C70E1">
            <w:pPr>
              <w:keepNext w:val="0"/>
              <w:keepLines w:val="0"/>
              <w:widowControl/>
              <w:numPr>
                <w:ilvl w:val="0"/>
                <w:numId w:val="0"/>
              </w:numPr>
              <w:wordWrap w:val="0"/>
              <w:spacing w:line="360" w:lineRule="exact"/>
              <w:textAlignment w:val="center"/>
              <w:rPr>
                <w:rFonts w:hint="eastAsia" w:ascii="宋体" w:hAnsi="宋体" w:eastAsia="宋体" w:cs="宋体"/>
                <w:b w:val="0"/>
                <w:bCs w:val="0"/>
                <w:color w:val="auto"/>
                <w:sz w:val="21"/>
                <w:szCs w:val="21"/>
                <w:highlight w:val="none"/>
                <w:lang w:bidi="ar"/>
              </w:rPr>
            </w:pPr>
            <w:r>
              <w:rPr>
                <w:rFonts w:hint="eastAsia" w:ascii="宋体" w:hAnsi="宋体" w:eastAsia="宋体" w:cs="宋体"/>
                <w:b w:val="0"/>
                <w:bCs w:val="0"/>
                <w:color w:val="auto"/>
                <w:kern w:val="2"/>
                <w:sz w:val="21"/>
                <w:szCs w:val="21"/>
                <w:highlight w:val="none"/>
                <w:lang w:val="en-US" w:eastAsia="zh-CN" w:bidi="ar"/>
              </w:rPr>
              <w:t>11.</w:t>
            </w:r>
            <w:r>
              <w:rPr>
                <w:rFonts w:hint="eastAsia" w:ascii="宋体" w:hAnsi="宋体" w:eastAsia="宋体" w:cs="宋体"/>
                <w:b w:val="0"/>
                <w:bCs w:val="0"/>
                <w:color w:val="auto"/>
                <w:sz w:val="21"/>
                <w:szCs w:val="21"/>
                <w:highlight w:val="none"/>
                <w:lang w:bidi="ar"/>
              </w:rPr>
              <w:t>弯曲强度：依据GB/T 9341-2008标准，检测结果≥80MPa，判定为符合。</w:t>
            </w:r>
          </w:p>
          <w:p w14:paraId="5E6CEB34">
            <w:pPr>
              <w:keepNext w:val="0"/>
              <w:keepLines w:val="0"/>
              <w:widowControl/>
              <w:numPr>
                <w:ilvl w:val="-1"/>
                <w:numId w:val="0"/>
              </w:numPr>
              <w:wordWrap w:val="0"/>
              <w:spacing w:line="360" w:lineRule="exact"/>
              <w:textAlignment w:val="center"/>
              <w:rPr>
                <w:rFonts w:hint="default" w:asciiTheme="minorHAnsi" w:hAnsiTheme="minorHAnsi" w:eastAsiaTheme="minorEastAsia" w:cstheme="minorBidi"/>
                <w:color w:val="auto"/>
                <w:sz w:val="32"/>
                <w:szCs w:val="32"/>
                <w:highlight w:val="none"/>
              </w:rPr>
            </w:pPr>
            <w:r>
              <w:rPr>
                <w:rFonts w:hint="eastAsia" w:ascii="宋体" w:hAnsi="宋体" w:eastAsia="宋体" w:cs="宋体"/>
                <w:b w:val="0"/>
                <w:bCs w:val="0"/>
                <w:color w:val="auto"/>
                <w:sz w:val="21"/>
                <w:szCs w:val="21"/>
                <w:highlight w:val="none"/>
                <w:lang w:eastAsia="zh-CN" w:bidi="ar"/>
              </w:rPr>
              <w:t>1</w:t>
            </w:r>
            <w:r>
              <w:rPr>
                <w:rFonts w:hint="eastAsia" w:ascii="宋体" w:hAnsi="宋体" w:eastAsia="宋体" w:cs="宋体"/>
                <w:b w:val="0"/>
                <w:bCs w:val="0"/>
                <w:color w:val="auto"/>
                <w:sz w:val="21"/>
                <w:szCs w:val="21"/>
                <w:highlight w:val="none"/>
                <w:lang w:val="en-US" w:eastAsia="zh-CN" w:bidi="ar"/>
              </w:rPr>
              <w:t>2.</w:t>
            </w:r>
            <w:r>
              <w:rPr>
                <w:rFonts w:hint="eastAsia" w:ascii="宋体" w:hAnsi="宋体" w:eastAsia="宋体" w:cs="宋体"/>
                <w:b w:val="0"/>
                <w:bCs w:val="0"/>
                <w:color w:val="auto"/>
                <w:sz w:val="21"/>
                <w:szCs w:val="21"/>
                <w:highlight w:val="none"/>
                <w:lang w:bidi="ar"/>
              </w:rPr>
              <w:t>抗压强度：依据GB/T 1041-2008标准，检测结果≥80MPa，判定为符合。</w:t>
            </w:r>
          </w:p>
        </w:tc>
        <w:tc>
          <w:tcPr>
            <w:tcW w:w="338" w:type="pct"/>
            <w:shd w:val="clear" w:color="auto" w:fill="auto"/>
            <w:vAlign w:val="center"/>
          </w:tcPr>
          <w:p w14:paraId="1D7CA2D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74C38BA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69</w:t>
            </w:r>
          </w:p>
        </w:tc>
      </w:tr>
      <w:tr w14:paraId="2DFE4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384" w:type="pct"/>
            <w:shd w:val="clear" w:color="auto" w:fill="auto"/>
            <w:noWrap/>
            <w:vAlign w:val="center"/>
          </w:tcPr>
          <w:p w14:paraId="0B45D941">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81</w:t>
            </w:r>
          </w:p>
        </w:tc>
        <w:tc>
          <w:tcPr>
            <w:tcW w:w="381" w:type="pct"/>
            <w:shd w:val="clear" w:color="auto" w:fill="auto"/>
            <w:noWrap/>
            <w:vAlign w:val="center"/>
          </w:tcPr>
          <w:p w14:paraId="725857C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洗眼器</w:t>
            </w:r>
          </w:p>
        </w:tc>
        <w:tc>
          <w:tcPr>
            <w:tcW w:w="783" w:type="pct"/>
            <w:shd w:val="clear" w:color="auto" w:fill="auto"/>
            <w:vAlign w:val="center"/>
          </w:tcPr>
          <w:p w14:paraId="060DE93C">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821690" cy="1070610"/>
                  <wp:effectExtent l="0" t="0" r="5080" b="9525"/>
                  <wp:docPr id="95" name="图片 95" descr="洗眼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洗眼器"/>
                          <pic:cNvPicPr>
                            <a:picLocks noChangeAspect="1"/>
                          </pic:cNvPicPr>
                        </pic:nvPicPr>
                        <pic:blipFill>
                          <a:blip r:embed="rId30"/>
                          <a:stretch>
                            <a:fillRect/>
                          </a:stretch>
                        </pic:blipFill>
                        <pic:spPr>
                          <a:xfrm>
                            <a:off x="0" y="0"/>
                            <a:ext cx="821690" cy="1070610"/>
                          </a:xfrm>
                          <a:prstGeom prst="rect">
                            <a:avLst/>
                          </a:prstGeom>
                        </pic:spPr>
                      </pic:pic>
                    </a:graphicData>
                  </a:graphic>
                </wp:inline>
              </w:drawing>
            </w:r>
          </w:p>
        </w:tc>
        <w:tc>
          <w:tcPr>
            <w:tcW w:w="2826" w:type="pct"/>
            <w:shd w:val="clear" w:color="auto" w:fill="auto"/>
            <w:vAlign w:val="center"/>
          </w:tcPr>
          <w:p w14:paraId="21871FC9">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1.主体：加厚铜质H59-1</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2.洗眼喷头：加厚铜质环氧树脂涂层外加软性橡胶，出水经缓压处理呈泡沫状水柱，防止冲伤眼睛</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3.莲蓬头护罩：Φ70橡胶质护杯，以避免紧急使用时瞬间接触眼部造成碰撞二次伤害</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4.防尘盖：PP材质，平常可防尘，使用时可随时被水冲开，并降低突然时短暂的高水压，防止冲伤眼睛，防尘盖有连接于护罩可防尘脱落。使用时自动被水冲开</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5.水流锁定开关：水流开启，水流锁定功能一次完成，方便使用</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6.前置过滤器：配有小型前置过滤器主要的去除管道所产生的沉淀杂质和细菌、微生物残骸、铁锈、沙泥等大于5微米以上的颗粒杂质，避免眼睛及人体肌肤受到伤害</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7.供水软管：长度1.5米，软性PVC管外覆不锈钢网，外层包裹PE管，有效防止生锈、渗漏。</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8.</w:t>
            </w:r>
            <w:r>
              <w:rPr>
                <w:rFonts w:hint="eastAsia" w:ascii="宋体" w:hAnsi="宋体" w:eastAsia="宋体" w:cs="宋体"/>
                <w:color w:val="auto"/>
                <w:kern w:val="0"/>
                <w:szCs w:val="21"/>
                <w:highlight w:val="none"/>
                <w:lang w:bidi="ar"/>
              </w:rPr>
              <w:t>洗眼量：≥11.4L/min。</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Cs w:val="21"/>
                <w:highlight w:val="none"/>
                <w:lang w:bidi="ar"/>
              </w:rPr>
              <w:t>9.洗眼器须依据GB 38144-2025标准，通过结构、通用要求及控制阀门的全项检测，并判定为符合该标准。</w:t>
            </w:r>
          </w:p>
        </w:tc>
        <w:tc>
          <w:tcPr>
            <w:tcW w:w="338" w:type="pct"/>
            <w:shd w:val="clear" w:color="auto" w:fill="auto"/>
            <w:vAlign w:val="center"/>
          </w:tcPr>
          <w:p w14:paraId="638B02F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46AF66FD">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74</w:t>
            </w:r>
          </w:p>
        </w:tc>
      </w:tr>
      <w:tr w14:paraId="59ED2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6" w:hRule="atLeast"/>
        </w:trPr>
        <w:tc>
          <w:tcPr>
            <w:tcW w:w="384" w:type="pct"/>
            <w:shd w:val="clear" w:color="auto" w:fill="auto"/>
            <w:noWrap/>
            <w:vAlign w:val="center"/>
          </w:tcPr>
          <w:p w14:paraId="7B2F62A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82</w:t>
            </w:r>
          </w:p>
        </w:tc>
        <w:tc>
          <w:tcPr>
            <w:tcW w:w="381" w:type="pct"/>
            <w:shd w:val="clear" w:color="auto" w:fill="auto"/>
            <w:vAlign w:val="center"/>
          </w:tcPr>
          <w:p w14:paraId="28CD976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样品柜</w:t>
            </w:r>
          </w:p>
        </w:tc>
        <w:tc>
          <w:tcPr>
            <w:tcW w:w="783" w:type="pct"/>
            <w:shd w:val="clear" w:color="auto" w:fill="auto"/>
            <w:vAlign w:val="center"/>
          </w:tcPr>
          <w:p w14:paraId="5B71EF9A">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21690" cy="1336675"/>
                  <wp:effectExtent l="0" t="0" r="5080" b="10160"/>
                  <wp:docPr id="96" name="图片 96" descr="样品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样品柜"/>
                          <pic:cNvPicPr>
                            <a:picLocks noChangeAspect="1"/>
                          </pic:cNvPicPr>
                        </pic:nvPicPr>
                        <pic:blipFill>
                          <a:blip r:embed="rId13"/>
                          <a:stretch>
                            <a:fillRect/>
                          </a:stretch>
                        </pic:blipFill>
                        <pic:spPr>
                          <a:xfrm>
                            <a:off x="0" y="0"/>
                            <a:ext cx="821690" cy="1336675"/>
                          </a:xfrm>
                          <a:prstGeom prst="rect">
                            <a:avLst/>
                          </a:prstGeom>
                        </pic:spPr>
                      </pic:pic>
                    </a:graphicData>
                  </a:graphic>
                </wp:inline>
              </w:drawing>
            </w:r>
          </w:p>
        </w:tc>
        <w:tc>
          <w:tcPr>
            <w:tcW w:w="2826" w:type="pct"/>
            <w:shd w:val="clear" w:color="auto" w:fill="auto"/>
            <w:vAlign w:val="center"/>
          </w:tcPr>
          <w:p w14:paraId="0B9FEF15">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900*450*2000</w:t>
            </w:r>
            <w:r>
              <w:rPr>
                <w:rFonts w:hint="eastAsia" w:ascii="宋体" w:hAnsi="宋体" w:eastAsia="宋体" w:cs="宋体"/>
                <w:color w:val="auto"/>
                <w:kern w:val="0"/>
                <w:sz w:val="21"/>
                <w:szCs w:val="21"/>
                <w:highlight w:val="none"/>
                <w:lang w:val="en-US" w:eastAsia="zh-CN" w:bidi="ar"/>
              </w:rPr>
              <w:t>mm</w:t>
            </w:r>
          </w:p>
          <w:p w14:paraId="0B2A8930">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Cs w:val="21"/>
                <w:highlight w:val="none"/>
                <w:lang w:bidi="ar"/>
              </w:rPr>
              <w:t>柜体、门板及层板均采用优质一级冷轧钢板，板厚≥1.0mm（实厚），实测负偏差≤0.08mm</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Cs w:val="21"/>
                <w:highlight w:val="none"/>
                <w:lang w:bidi="ar"/>
              </w:rPr>
              <w:t>所有金属构件表面须经脱脂、酸洗、磷化、表调等完整前处理工艺，随后进行环氧树脂粉末静电喷涂，喷涂厚度≥60μm</w:t>
            </w:r>
            <w:r>
              <w:rPr>
                <w:rFonts w:hint="eastAsia" w:ascii="宋体" w:hAnsi="宋体" w:eastAsia="宋体" w:cs="宋体"/>
                <w:color w:val="auto"/>
                <w:kern w:val="0"/>
                <w:szCs w:val="21"/>
                <w:highlight w:val="none"/>
                <w:lang w:eastAsia="zh-CN" w:bidi="ar"/>
              </w:rPr>
              <w:t>；</w:t>
            </w:r>
            <w:r>
              <w:rPr>
                <w:rFonts w:hint="eastAsia" w:ascii="宋体" w:hAnsi="宋体" w:eastAsia="宋体" w:cs="宋体"/>
                <w:i w:val="0"/>
                <w:iCs w:val="0"/>
                <w:caps w:val="0"/>
                <w:color w:val="auto"/>
                <w:spacing w:val="0"/>
                <w:kern w:val="0"/>
                <w:sz w:val="21"/>
                <w:szCs w:val="21"/>
                <w:highlight w:val="none"/>
                <w:shd w:val="clear" w:fill="auto"/>
                <w:lang w:bidi="ar"/>
              </w:rPr>
              <w:t>喷涂表面须平整光滑、色泽均匀，无流挂、起泡、橘皮、露底等缺陷。</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w:t>
            </w:r>
            <w:r>
              <w:rPr>
                <w:rFonts w:hint="eastAsia" w:ascii="宋体" w:hAnsi="宋体" w:eastAsia="宋体" w:cs="宋体"/>
                <w:color w:val="auto"/>
                <w:kern w:val="0"/>
                <w:szCs w:val="21"/>
                <w:highlight w:val="none"/>
                <w:lang w:bidi="ar"/>
              </w:rPr>
              <w:t>柜体为上下双开门结构，上部柜门内嵌5mm厚透明钢化玻璃</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玻璃与门板嵌合严密，四周密封胶条固定，不得使用玻璃胶等易老化材料</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下部柜门为全钢板封闭门，双层结构，内部填充隔音缓冲材料，开关噪音小</w:t>
            </w:r>
            <w:r>
              <w:rPr>
                <w:rFonts w:hint="eastAsia" w:ascii="宋体" w:hAnsi="宋体" w:eastAsia="宋体" w:cs="宋体"/>
                <w:color w:val="auto"/>
                <w:kern w:val="0"/>
                <w:szCs w:val="21"/>
                <w:highlight w:val="none"/>
                <w:lang w:eastAsia="zh-CN" w:bidi="ar"/>
              </w:rPr>
              <w:t>；</w:t>
            </w:r>
            <w:r>
              <w:rPr>
                <w:rFonts w:hint="eastAsia" w:ascii="宋体" w:hAnsi="宋体" w:eastAsia="宋体" w:cs="宋体"/>
                <w:i w:val="0"/>
                <w:iCs w:val="0"/>
                <w:caps w:val="0"/>
                <w:color w:val="auto"/>
                <w:spacing w:val="0"/>
                <w:kern w:val="0"/>
                <w:sz w:val="21"/>
                <w:szCs w:val="21"/>
                <w:highlight w:val="none"/>
                <w:shd w:val="clear" w:fill="auto"/>
                <w:lang w:bidi="ar"/>
              </w:rPr>
              <w:t>门板四周边缘须经</w:t>
            </w:r>
            <w:r>
              <w:rPr>
                <w:rFonts w:hint="eastAsia" w:ascii="宋体" w:hAnsi="宋体" w:eastAsia="宋体" w:cs="宋体"/>
                <w:b w:val="0"/>
                <w:bCs w:val="0"/>
                <w:i w:val="0"/>
                <w:iCs w:val="0"/>
                <w:caps w:val="0"/>
                <w:color w:val="auto"/>
                <w:spacing w:val="0"/>
                <w:kern w:val="0"/>
                <w:sz w:val="21"/>
                <w:szCs w:val="21"/>
                <w:highlight w:val="none"/>
                <w:shd w:val="clear" w:fill="auto"/>
                <w:lang w:bidi="ar"/>
              </w:rPr>
              <w:t>圆弧倒角</w:t>
            </w:r>
            <w:r>
              <w:rPr>
                <w:rFonts w:hint="eastAsia" w:ascii="宋体" w:hAnsi="宋体" w:eastAsia="宋体" w:cs="宋体"/>
                <w:i w:val="0"/>
                <w:iCs w:val="0"/>
                <w:caps w:val="0"/>
                <w:color w:val="auto"/>
                <w:spacing w:val="0"/>
                <w:kern w:val="0"/>
                <w:sz w:val="21"/>
                <w:szCs w:val="21"/>
                <w:highlight w:val="none"/>
                <w:shd w:val="clear" w:fill="auto"/>
                <w:lang w:bidi="ar"/>
              </w:rPr>
              <w:t>处理，无锐边毛刺。</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Cs w:val="21"/>
                <w:highlight w:val="none"/>
                <w:lang w:bidi="ar"/>
              </w:rPr>
              <w:t>柜内配置三层活动层板（高度可任意调节，调节间距≤50mm）</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 xml:space="preserve"> </w:t>
            </w:r>
            <w:r>
              <w:rPr>
                <w:rFonts w:hint="eastAsia" w:ascii="宋体" w:hAnsi="宋体" w:eastAsia="宋体" w:cs="宋体"/>
                <w:color w:val="auto"/>
                <w:kern w:val="0"/>
                <w:szCs w:val="21"/>
                <w:highlight w:val="none"/>
                <w:lang w:bidi="ar"/>
              </w:rPr>
              <w:t>层板采用≥1.0mm一级冷轧钢制作，层板底部须经折弯加强处理或增设加强筋</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 w:val="21"/>
                <w:szCs w:val="21"/>
                <w:highlight w:val="none"/>
                <w:lang w:val="en-US" w:eastAsia="zh-CN" w:bidi="ar"/>
              </w:rPr>
              <w:t>满足GB</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T 24820-2024《实验室家具通用技术条件》</w:t>
            </w:r>
            <w:r>
              <w:rPr>
                <w:rFonts w:hint="eastAsia" w:ascii="宋体" w:hAnsi="宋体" w:eastAsia="宋体" w:cs="宋体"/>
                <w:color w:val="auto"/>
                <w:kern w:val="0"/>
                <w:sz w:val="21"/>
                <w:szCs w:val="21"/>
                <w:highlight w:val="none"/>
                <w:lang w:val="en-US" w:eastAsia="zh-CN" w:bidi="ar"/>
              </w:rPr>
              <w:t>中的规定，</w:t>
            </w:r>
            <w:r>
              <w:rPr>
                <w:rFonts w:hint="eastAsia" w:ascii="宋体" w:hAnsi="宋体" w:eastAsia="宋体" w:cs="宋体"/>
                <w:color w:val="auto"/>
                <w:kern w:val="0"/>
                <w:sz w:val="21"/>
                <w:szCs w:val="21"/>
                <w:highlight w:val="none"/>
                <w:lang w:bidi="ar"/>
              </w:rPr>
              <w:t>顶板和底板持续加载试验时，顶板和底板的最大变形量不应超过搁板跨度的0.55%;搁板弯曲试验时，搁板的最大变形量不应超过搁板跨度的0.55%</w:t>
            </w:r>
            <w:r>
              <w:rPr>
                <w:rFonts w:hint="eastAsia" w:ascii="宋体" w:hAnsi="宋体" w:eastAsia="宋体" w:cs="宋体"/>
                <w:color w:val="auto"/>
                <w:kern w:val="0"/>
                <w:sz w:val="21"/>
                <w:szCs w:val="21"/>
                <w:highlight w:val="none"/>
                <w:lang w:eastAsia="zh-CN" w:bidi="ar"/>
              </w:rPr>
              <w:t>。</w:t>
            </w:r>
          </w:p>
          <w:p w14:paraId="75C98666">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Cs w:val="21"/>
                <w:highlight w:val="none"/>
                <w:lang w:val="en-US" w:eastAsia="zh-CN" w:bidi="ar"/>
              </w:rPr>
              <w:t>4、</w:t>
            </w:r>
            <w:r>
              <w:rPr>
                <w:rFonts w:hint="eastAsia" w:ascii="宋体" w:hAnsi="宋体" w:eastAsia="宋体" w:cs="宋体"/>
                <w:i w:val="0"/>
                <w:iCs w:val="0"/>
                <w:caps w:val="0"/>
                <w:color w:val="auto"/>
                <w:spacing w:val="0"/>
                <w:kern w:val="0"/>
                <w:sz w:val="21"/>
                <w:szCs w:val="21"/>
                <w:highlight w:val="none"/>
                <w:shd w:val="clear" w:fill="auto"/>
                <w:lang w:bidi="ar"/>
              </w:rPr>
              <w:t>柜门配置</w:t>
            </w:r>
            <w:r>
              <w:rPr>
                <w:rFonts w:hint="eastAsia" w:ascii="宋体" w:hAnsi="宋体" w:eastAsia="宋体" w:cs="宋体"/>
                <w:b w:val="0"/>
                <w:bCs w:val="0"/>
                <w:i w:val="0"/>
                <w:iCs w:val="0"/>
                <w:caps w:val="0"/>
                <w:color w:val="auto"/>
                <w:spacing w:val="0"/>
                <w:kern w:val="0"/>
                <w:sz w:val="21"/>
                <w:szCs w:val="21"/>
                <w:highlight w:val="none"/>
                <w:shd w:val="clear" w:fill="auto"/>
                <w:lang w:bidi="ar"/>
              </w:rPr>
              <w:t>铝合金闪电锁</w:t>
            </w:r>
            <w:r>
              <w:rPr>
                <w:rFonts w:hint="eastAsia" w:ascii="宋体" w:hAnsi="宋体" w:eastAsia="宋体" w:cs="宋体"/>
                <w:i w:val="0"/>
                <w:iCs w:val="0"/>
                <w:caps w:val="0"/>
                <w:color w:val="auto"/>
                <w:spacing w:val="0"/>
                <w:kern w:val="0"/>
                <w:sz w:val="21"/>
                <w:szCs w:val="21"/>
                <w:highlight w:val="none"/>
                <w:shd w:val="clear" w:fill="auto"/>
                <w:lang w:bidi="ar"/>
              </w:rPr>
              <w:t>（或称碰锁/弹跳锁），锁体材质为</w:t>
            </w:r>
            <w:r>
              <w:rPr>
                <w:rFonts w:hint="eastAsia" w:ascii="宋体" w:hAnsi="宋体" w:eastAsia="宋体" w:cs="宋体"/>
                <w:b w:val="0"/>
                <w:bCs w:val="0"/>
                <w:i w:val="0"/>
                <w:iCs w:val="0"/>
                <w:caps w:val="0"/>
                <w:color w:val="auto"/>
                <w:spacing w:val="0"/>
                <w:kern w:val="0"/>
                <w:sz w:val="21"/>
                <w:szCs w:val="21"/>
                <w:highlight w:val="none"/>
                <w:shd w:val="clear" w:fill="auto"/>
                <w:lang w:bidi="ar"/>
              </w:rPr>
              <w:t>锌合金或铝合金</w:t>
            </w:r>
            <w:r>
              <w:rPr>
                <w:rFonts w:hint="eastAsia" w:ascii="宋体" w:hAnsi="宋体" w:eastAsia="宋体" w:cs="宋体"/>
                <w:i w:val="0"/>
                <w:iCs w:val="0"/>
                <w:caps w:val="0"/>
                <w:color w:val="auto"/>
                <w:spacing w:val="0"/>
                <w:kern w:val="0"/>
                <w:sz w:val="21"/>
                <w:szCs w:val="21"/>
                <w:highlight w:val="none"/>
                <w:shd w:val="clear" w:fill="auto"/>
                <w:lang w:bidi="ar"/>
              </w:rPr>
              <w:t>外壳，锁芯为铜质或不锈钢材质，钥匙为通用型</w:t>
            </w:r>
            <w:r>
              <w:rPr>
                <w:rFonts w:hint="eastAsia" w:ascii="宋体" w:hAnsi="宋体" w:eastAsia="宋体" w:cs="宋体"/>
                <w:i w:val="0"/>
                <w:iCs w:val="0"/>
                <w:caps w:val="0"/>
                <w:color w:val="auto"/>
                <w:spacing w:val="0"/>
                <w:kern w:val="0"/>
                <w:sz w:val="21"/>
                <w:szCs w:val="21"/>
                <w:highlight w:val="none"/>
                <w:shd w:val="clear" w:fill="auto"/>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w:t>
            </w:r>
            <w:r>
              <w:rPr>
                <w:rFonts w:hint="eastAsia" w:ascii="宋体" w:hAnsi="宋体" w:eastAsia="宋体" w:cs="宋体"/>
                <w:i w:val="0"/>
                <w:iCs w:val="0"/>
                <w:caps w:val="0"/>
                <w:color w:val="auto"/>
                <w:spacing w:val="0"/>
                <w:kern w:val="0"/>
                <w:sz w:val="21"/>
                <w:szCs w:val="21"/>
                <w:highlight w:val="none"/>
                <w:shd w:val="clear" w:fill="auto"/>
                <w:lang w:bidi="ar"/>
              </w:rPr>
              <w:t>门铰采用</w:t>
            </w:r>
            <w:r>
              <w:rPr>
                <w:rFonts w:hint="eastAsia" w:ascii="宋体" w:hAnsi="宋体" w:eastAsia="宋体" w:cs="宋体"/>
                <w:b w:val="0"/>
                <w:bCs w:val="0"/>
                <w:i w:val="0"/>
                <w:iCs w:val="0"/>
                <w:caps w:val="0"/>
                <w:color w:val="auto"/>
                <w:spacing w:val="0"/>
                <w:kern w:val="0"/>
                <w:sz w:val="21"/>
                <w:szCs w:val="21"/>
                <w:highlight w:val="none"/>
                <w:shd w:val="clear" w:fill="auto"/>
                <w:lang w:bidi="ar"/>
              </w:rPr>
              <w:t>S30408不锈钢</w:t>
            </w:r>
            <w:r>
              <w:rPr>
                <w:rFonts w:hint="eastAsia" w:ascii="宋体" w:hAnsi="宋体" w:eastAsia="宋体" w:cs="宋体"/>
                <w:i w:val="0"/>
                <w:iCs w:val="0"/>
                <w:caps w:val="0"/>
                <w:color w:val="auto"/>
                <w:spacing w:val="0"/>
                <w:kern w:val="0"/>
                <w:sz w:val="21"/>
                <w:szCs w:val="21"/>
                <w:highlight w:val="none"/>
                <w:shd w:val="clear" w:fill="auto"/>
                <w:lang w:bidi="ar"/>
              </w:rPr>
              <w:t>材质，厚度≥</w:t>
            </w:r>
            <w:r>
              <w:rPr>
                <w:rFonts w:hint="eastAsia" w:ascii="宋体" w:hAnsi="宋体" w:eastAsia="宋体" w:cs="宋体"/>
                <w:b w:val="0"/>
                <w:bCs w:val="0"/>
                <w:i w:val="0"/>
                <w:iCs w:val="0"/>
                <w:caps w:val="0"/>
                <w:color w:val="auto"/>
                <w:spacing w:val="0"/>
                <w:kern w:val="0"/>
                <w:sz w:val="21"/>
                <w:szCs w:val="21"/>
                <w:highlight w:val="none"/>
                <w:shd w:val="clear" w:fill="auto"/>
                <w:lang w:bidi="ar"/>
              </w:rPr>
              <w:t>2.0mm（实厚）</w:t>
            </w:r>
            <w:r>
              <w:rPr>
                <w:rFonts w:hint="eastAsia" w:ascii="宋体" w:hAnsi="宋体" w:eastAsia="宋体" w:cs="宋体"/>
                <w:i w:val="0"/>
                <w:iCs w:val="0"/>
                <w:caps w:val="0"/>
                <w:color w:val="auto"/>
                <w:spacing w:val="0"/>
                <w:kern w:val="0"/>
                <w:sz w:val="21"/>
                <w:szCs w:val="21"/>
                <w:highlight w:val="none"/>
                <w:shd w:val="clear" w:fill="auto"/>
                <w:lang w:bidi="ar"/>
              </w:rPr>
              <w:t>，表面拉丝处理</w:t>
            </w:r>
            <w:r>
              <w:rPr>
                <w:rFonts w:hint="eastAsia" w:ascii="宋体" w:hAnsi="宋体" w:eastAsia="宋体" w:cs="宋体"/>
                <w:i w:val="0"/>
                <w:iCs w:val="0"/>
                <w:caps w:val="0"/>
                <w:color w:val="auto"/>
                <w:spacing w:val="0"/>
                <w:kern w:val="0"/>
                <w:sz w:val="21"/>
                <w:szCs w:val="21"/>
                <w:highlight w:val="none"/>
                <w:shd w:val="clear" w:fill="auto"/>
                <w:lang w:eastAsia="zh-CN" w:bidi="ar"/>
              </w:rPr>
              <w:t>；</w:t>
            </w:r>
            <w:r>
              <w:rPr>
                <w:rFonts w:hint="eastAsia" w:ascii="宋体" w:hAnsi="宋体" w:eastAsia="宋体" w:cs="宋体"/>
                <w:i w:val="0"/>
                <w:iCs w:val="0"/>
                <w:caps w:val="0"/>
                <w:color w:val="auto"/>
                <w:spacing w:val="0"/>
                <w:kern w:val="0"/>
                <w:sz w:val="21"/>
                <w:szCs w:val="21"/>
                <w:highlight w:val="none"/>
                <w:shd w:val="clear" w:fill="auto"/>
                <w:lang w:bidi="ar"/>
              </w:rPr>
              <w:t>每个柜门配置不少于</w:t>
            </w:r>
            <w:r>
              <w:rPr>
                <w:rFonts w:hint="eastAsia" w:ascii="宋体" w:hAnsi="宋体" w:eastAsia="宋体" w:cs="宋体"/>
                <w:b w:val="0"/>
                <w:bCs w:val="0"/>
                <w:i w:val="0"/>
                <w:iCs w:val="0"/>
                <w:caps w:val="0"/>
                <w:color w:val="auto"/>
                <w:spacing w:val="0"/>
                <w:kern w:val="0"/>
                <w:sz w:val="21"/>
                <w:szCs w:val="21"/>
                <w:highlight w:val="none"/>
                <w:shd w:val="clear" w:fill="auto"/>
                <w:lang w:bidi="ar"/>
              </w:rPr>
              <w:t>2个</w:t>
            </w:r>
            <w:r>
              <w:rPr>
                <w:rFonts w:hint="eastAsia" w:ascii="宋体" w:hAnsi="宋体" w:eastAsia="宋体" w:cs="宋体"/>
                <w:i w:val="0"/>
                <w:iCs w:val="0"/>
                <w:caps w:val="0"/>
                <w:color w:val="auto"/>
                <w:spacing w:val="0"/>
                <w:kern w:val="0"/>
                <w:sz w:val="21"/>
                <w:szCs w:val="21"/>
                <w:highlight w:val="none"/>
                <w:shd w:val="clear" w:fill="auto"/>
                <w:lang w:bidi="ar"/>
              </w:rPr>
              <w:t>不锈钢门铰，门铰须经</w:t>
            </w:r>
            <w:r>
              <w:rPr>
                <w:rFonts w:hint="eastAsia" w:ascii="宋体" w:hAnsi="宋体" w:eastAsia="宋体" w:cs="宋体"/>
                <w:b w:val="0"/>
                <w:bCs w:val="0"/>
                <w:i w:val="0"/>
                <w:iCs w:val="0"/>
                <w:caps w:val="0"/>
                <w:color w:val="auto"/>
                <w:spacing w:val="0"/>
                <w:kern w:val="0"/>
                <w:sz w:val="21"/>
                <w:szCs w:val="21"/>
                <w:highlight w:val="none"/>
                <w:shd w:val="clear" w:fill="auto"/>
                <w:lang w:bidi="ar"/>
              </w:rPr>
              <w:t>开合寿命测试≥50000次</w:t>
            </w:r>
            <w:r>
              <w:rPr>
                <w:rFonts w:hint="eastAsia" w:ascii="宋体" w:hAnsi="宋体" w:eastAsia="宋体" w:cs="宋体"/>
                <w:i w:val="0"/>
                <w:iCs w:val="0"/>
                <w:caps w:val="0"/>
                <w:color w:val="auto"/>
                <w:spacing w:val="0"/>
                <w:kern w:val="0"/>
                <w:sz w:val="21"/>
                <w:szCs w:val="21"/>
                <w:highlight w:val="none"/>
                <w:shd w:val="clear" w:fill="auto"/>
                <w:lang w:bidi="ar"/>
              </w:rPr>
              <w:t>无损坏</w:t>
            </w:r>
            <w:r>
              <w:rPr>
                <w:rFonts w:hint="eastAsia" w:ascii="宋体" w:hAnsi="宋体" w:eastAsia="宋体" w:cs="宋体"/>
                <w:i w:val="0"/>
                <w:iCs w:val="0"/>
                <w:caps w:val="0"/>
                <w:color w:val="auto"/>
                <w:spacing w:val="0"/>
                <w:kern w:val="0"/>
                <w:sz w:val="21"/>
                <w:szCs w:val="21"/>
                <w:highlight w:val="none"/>
                <w:shd w:val="clear" w:fill="auto"/>
                <w:lang w:eastAsia="zh-CN" w:bidi="ar"/>
              </w:rPr>
              <w:t>；</w:t>
            </w:r>
            <w:r>
              <w:rPr>
                <w:rFonts w:hint="eastAsia" w:ascii="宋体" w:hAnsi="宋体" w:eastAsia="宋体" w:cs="宋体"/>
                <w:i w:val="0"/>
                <w:iCs w:val="0"/>
                <w:caps w:val="0"/>
                <w:color w:val="auto"/>
                <w:spacing w:val="0"/>
                <w:kern w:val="0"/>
                <w:sz w:val="21"/>
                <w:szCs w:val="21"/>
                <w:highlight w:val="none"/>
                <w:shd w:val="clear" w:fill="auto"/>
                <w:lang w:bidi="ar"/>
              </w:rPr>
              <w:t>门铰安装螺丝须为</w:t>
            </w:r>
            <w:r>
              <w:rPr>
                <w:rFonts w:hint="eastAsia" w:ascii="宋体" w:hAnsi="宋体" w:eastAsia="宋体" w:cs="宋体"/>
                <w:b w:val="0"/>
                <w:bCs w:val="0"/>
                <w:i w:val="0"/>
                <w:iCs w:val="0"/>
                <w:caps w:val="0"/>
                <w:color w:val="auto"/>
                <w:spacing w:val="0"/>
                <w:kern w:val="0"/>
                <w:sz w:val="21"/>
                <w:szCs w:val="21"/>
                <w:highlight w:val="none"/>
                <w:shd w:val="clear" w:fill="auto"/>
                <w:lang w:bidi="ar"/>
              </w:rPr>
              <w:t>不锈钢沉头螺钉</w:t>
            </w:r>
            <w:r>
              <w:rPr>
                <w:rFonts w:hint="eastAsia" w:ascii="宋体" w:hAnsi="宋体" w:eastAsia="宋体" w:cs="宋体"/>
                <w:i w:val="0"/>
                <w:iCs w:val="0"/>
                <w:caps w:val="0"/>
                <w:color w:val="auto"/>
                <w:spacing w:val="0"/>
                <w:kern w:val="0"/>
                <w:sz w:val="21"/>
                <w:szCs w:val="21"/>
                <w:highlight w:val="none"/>
                <w:shd w:val="clear" w:fill="auto"/>
                <w:lang w:bidi="ar"/>
              </w:rPr>
              <w:t>，不得使用普通碳钢螺丝。</w:t>
            </w:r>
          </w:p>
        </w:tc>
        <w:tc>
          <w:tcPr>
            <w:tcW w:w="338" w:type="pct"/>
            <w:shd w:val="clear" w:color="auto" w:fill="auto"/>
            <w:vAlign w:val="center"/>
          </w:tcPr>
          <w:p w14:paraId="695E361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0548EB5D">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11</w:t>
            </w:r>
          </w:p>
        </w:tc>
      </w:tr>
      <w:tr w14:paraId="03D6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8" w:hRule="atLeast"/>
        </w:trPr>
        <w:tc>
          <w:tcPr>
            <w:tcW w:w="384" w:type="pct"/>
            <w:shd w:val="clear" w:color="auto" w:fill="auto"/>
            <w:noWrap/>
            <w:vAlign w:val="center"/>
          </w:tcPr>
          <w:p w14:paraId="0102C438">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83</w:t>
            </w:r>
          </w:p>
        </w:tc>
        <w:tc>
          <w:tcPr>
            <w:tcW w:w="381" w:type="pct"/>
            <w:shd w:val="clear" w:color="auto" w:fill="auto"/>
            <w:vAlign w:val="center"/>
          </w:tcPr>
          <w:p w14:paraId="663B4D9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药品柜</w:t>
            </w:r>
          </w:p>
        </w:tc>
        <w:tc>
          <w:tcPr>
            <w:tcW w:w="783" w:type="pct"/>
            <w:shd w:val="clear" w:color="auto" w:fill="auto"/>
            <w:vAlign w:val="center"/>
          </w:tcPr>
          <w:p w14:paraId="6A553A1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19680" behindDoc="0" locked="0" layoutInCell="1" allowOverlap="1">
                  <wp:simplePos x="0" y="0"/>
                  <wp:positionH relativeFrom="column">
                    <wp:posOffset>-47625</wp:posOffset>
                  </wp:positionH>
                  <wp:positionV relativeFrom="paragraph">
                    <wp:posOffset>2318385</wp:posOffset>
                  </wp:positionV>
                  <wp:extent cx="821690" cy="1336675"/>
                  <wp:effectExtent l="0" t="0" r="5080" b="10160"/>
                  <wp:wrapSquare wrapText="bothSides"/>
                  <wp:docPr id="97" name="图片 97" descr="样品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样品柜"/>
                          <pic:cNvPicPr>
                            <a:picLocks noChangeAspect="1"/>
                          </pic:cNvPicPr>
                        </pic:nvPicPr>
                        <pic:blipFill>
                          <a:blip r:embed="rId13"/>
                          <a:stretch>
                            <a:fillRect/>
                          </a:stretch>
                        </pic:blipFill>
                        <pic:spPr>
                          <a:xfrm>
                            <a:off x="0" y="0"/>
                            <a:ext cx="821690" cy="1336675"/>
                          </a:xfrm>
                          <a:prstGeom prst="rect">
                            <a:avLst/>
                          </a:prstGeom>
                        </pic:spPr>
                      </pic:pic>
                    </a:graphicData>
                  </a:graphic>
                </wp:anchor>
              </w:drawing>
            </w:r>
          </w:p>
        </w:tc>
        <w:tc>
          <w:tcPr>
            <w:tcW w:w="2826" w:type="pct"/>
            <w:shd w:val="clear" w:color="auto" w:fill="auto"/>
            <w:vAlign w:val="center"/>
          </w:tcPr>
          <w:p w14:paraId="7E933D0C">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900*450*2000</w:t>
            </w:r>
            <w:r>
              <w:rPr>
                <w:rFonts w:hint="eastAsia" w:ascii="宋体" w:hAnsi="宋体" w:eastAsia="宋体" w:cs="宋体"/>
                <w:color w:val="auto"/>
                <w:kern w:val="0"/>
                <w:sz w:val="21"/>
                <w:szCs w:val="21"/>
                <w:highlight w:val="none"/>
                <w:lang w:val="en-US" w:eastAsia="zh-CN" w:bidi="ar"/>
              </w:rPr>
              <w:t>mm</w:t>
            </w:r>
          </w:p>
          <w:p w14:paraId="680E0214">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Cs w:val="21"/>
                <w:highlight w:val="none"/>
                <w:lang w:bidi="ar"/>
              </w:rPr>
              <w:t>柜体、门板及层板均采用优质一级冷轧钢板，板厚≥1.0mm（实厚），实测负偏差≤0.08mm</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Cs w:val="21"/>
                <w:highlight w:val="none"/>
                <w:lang w:bidi="ar"/>
              </w:rPr>
              <w:t>所有金属构件表面须经脱脂、酸洗、磷化、表调等完整前处理工艺，随后进行环氧树脂粉末静电喷涂，喷涂厚度≥60μm</w:t>
            </w:r>
            <w:r>
              <w:rPr>
                <w:rFonts w:hint="eastAsia" w:ascii="宋体" w:hAnsi="宋体" w:eastAsia="宋体" w:cs="宋体"/>
                <w:color w:val="auto"/>
                <w:kern w:val="0"/>
                <w:szCs w:val="21"/>
                <w:highlight w:val="none"/>
                <w:lang w:eastAsia="zh-CN" w:bidi="ar"/>
              </w:rPr>
              <w:t>；</w:t>
            </w:r>
            <w:r>
              <w:rPr>
                <w:rFonts w:hint="eastAsia" w:ascii="宋体" w:hAnsi="宋体" w:eastAsia="宋体" w:cs="宋体"/>
                <w:i w:val="0"/>
                <w:iCs w:val="0"/>
                <w:caps w:val="0"/>
                <w:color w:val="auto"/>
                <w:spacing w:val="0"/>
                <w:kern w:val="0"/>
                <w:sz w:val="21"/>
                <w:szCs w:val="21"/>
                <w:highlight w:val="none"/>
                <w:shd w:val="clear"/>
                <w:lang w:bidi="ar"/>
              </w:rPr>
              <w:t>喷涂表面须平整光滑、色泽均匀，无流挂、起泡、橘皮、露底等缺陷。</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w:t>
            </w:r>
            <w:r>
              <w:rPr>
                <w:rFonts w:hint="eastAsia" w:ascii="宋体" w:hAnsi="宋体" w:eastAsia="宋体" w:cs="宋体"/>
                <w:color w:val="auto"/>
                <w:kern w:val="0"/>
                <w:szCs w:val="21"/>
                <w:highlight w:val="none"/>
                <w:lang w:bidi="ar"/>
              </w:rPr>
              <w:t>柜体为上下双开门结构，上部柜门内嵌5mm厚透明钢化玻璃</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玻璃与门板嵌合严密，四周密封胶条固定，不得使用玻璃胶等易老化材料</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下部柜门为全钢板封闭门，双层结构，内部填充隔音缓冲材料，开关噪音小</w:t>
            </w:r>
            <w:r>
              <w:rPr>
                <w:rFonts w:hint="eastAsia" w:ascii="宋体" w:hAnsi="宋体" w:eastAsia="宋体" w:cs="宋体"/>
                <w:color w:val="auto"/>
                <w:kern w:val="0"/>
                <w:szCs w:val="21"/>
                <w:highlight w:val="none"/>
                <w:lang w:eastAsia="zh-CN" w:bidi="ar"/>
              </w:rPr>
              <w:t>；</w:t>
            </w:r>
            <w:r>
              <w:rPr>
                <w:rFonts w:hint="eastAsia" w:ascii="宋体" w:hAnsi="宋体" w:eastAsia="宋体" w:cs="宋体"/>
                <w:i w:val="0"/>
                <w:iCs w:val="0"/>
                <w:caps w:val="0"/>
                <w:color w:val="auto"/>
                <w:spacing w:val="0"/>
                <w:kern w:val="0"/>
                <w:sz w:val="21"/>
                <w:szCs w:val="21"/>
                <w:highlight w:val="none"/>
                <w:shd w:val="clear"/>
                <w:lang w:bidi="ar"/>
              </w:rPr>
              <w:t>门板四周边缘须经</w:t>
            </w:r>
            <w:r>
              <w:rPr>
                <w:rFonts w:hint="eastAsia" w:ascii="宋体" w:hAnsi="宋体" w:eastAsia="宋体" w:cs="宋体"/>
                <w:b w:val="0"/>
                <w:bCs w:val="0"/>
                <w:i w:val="0"/>
                <w:iCs w:val="0"/>
                <w:caps w:val="0"/>
                <w:color w:val="auto"/>
                <w:spacing w:val="0"/>
                <w:kern w:val="0"/>
                <w:sz w:val="21"/>
                <w:szCs w:val="21"/>
                <w:highlight w:val="none"/>
                <w:shd w:val="clear"/>
                <w:lang w:bidi="ar"/>
              </w:rPr>
              <w:t>圆弧倒角</w:t>
            </w:r>
            <w:r>
              <w:rPr>
                <w:rFonts w:hint="eastAsia" w:ascii="宋体" w:hAnsi="宋体" w:eastAsia="宋体" w:cs="宋体"/>
                <w:i w:val="0"/>
                <w:iCs w:val="0"/>
                <w:caps w:val="0"/>
                <w:color w:val="auto"/>
                <w:spacing w:val="0"/>
                <w:kern w:val="0"/>
                <w:sz w:val="21"/>
                <w:szCs w:val="21"/>
                <w:highlight w:val="none"/>
                <w:shd w:val="clear"/>
                <w:lang w:bidi="ar"/>
              </w:rPr>
              <w:t>处理，无锐边毛刺。</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Cs w:val="21"/>
                <w:highlight w:val="none"/>
                <w:lang w:bidi="ar"/>
              </w:rPr>
              <w:t>柜内配置三层活动层板（高度可任意调节，调节间距≤50mm）</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 xml:space="preserve"> </w:t>
            </w:r>
            <w:r>
              <w:rPr>
                <w:rFonts w:hint="eastAsia" w:ascii="宋体" w:hAnsi="宋体" w:eastAsia="宋体" w:cs="宋体"/>
                <w:color w:val="auto"/>
                <w:kern w:val="0"/>
                <w:szCs w:val="21"/>
                <w:highlight w:val="none"/>
                <w:lang w:bidi="ar"/>
              </w:rPr>
              <w:t>层板采用≥1.0mm一级冷轧钢制作，层板底部须经折弯加强处理或增设加强筋</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 w:val="21"/>
                <w:szCs w:val="21"/>
                <w:highlight w:val="none"/>
                <w:lang w:val="en-US" w:eastAsia="zh-CN" w:bidi="ar"/>
              </w:rPr>
              <w:t>满足</w:t>
            </w:r>
            <w:r>
              <w:rPr>
                <w:rFonts w:hint="eastAsia" w:ascii="宋体" w:hAnsi="宋体" w:eastAsia="宋体" w:cs="宋体"/>
                <w:color w:val="auto"/>
                <w:kern w:val="0"/>
                <w:sz w:val="21"/>
                <w:szCs w:val="21"/>
                <w:highlight w:val="none"/>
                <w:lang w:val="en-US" w:eastAsia="zh-CN" w:bidi="ar"/>
              </w:rPr>
              <w:t>GB</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T 24820-2024《实验室家具通用技术条件》</w:t>
            </w:r>
            <w:r>
              <w:rPr>
                <w:rFonts w:hint="eastAsia" w:ascii="宋体" w:hAnsi="宋体" w:eastAsia="宋体" w:cs="宋体"/>
                <w:color w:val="auto"/>
                <w:kern w:val="0"/>
                <w:sz w:val="21"/>
                <w:szCs w:val="21"/>
                <w:highlight w:val="none"/>
                <w:lang w:val="en-US" w:eastAsia="zh-CN" w:bidi="ar"/>
              </w:rPr>
              <w:t>中的规定，</w:t>
            </w:r>
            <w:r>
              <w:rPr>
                <w:rFonts w:hint="eastAsia" w:ascii="宋体" w:hAnsi="宋体" w:eastAsia="宋体" w:cs="宋体"/>
                <w:color w:val="auto"/>
                <w:kern w:val="0"/>
                <w:sz w:val="21"/>
                <w:szCs w:val="21"/>
                <w:highlight w:val="none"/>
                <w:lang w:bidi="ar"/>
              </w:rPr>
              <w:t>顶板和底板持续加载试验时，顶板和底板的最大变形量不应超过搁板跨度的0.55%;搁板弯曲试验时，搁板的最大变形量不应超过搁板跨度的0.55%</w:t>
            </w:r>
            <w:r>
              <w:rPr>
                <w:rFonts w:hint="eastAsia" w:ascii="宋体" w:hAnsi="宋体" w:eastAsia="宋体" w:cs="宋体"/>
                <w:color w:val="auto"/>
                <w:kern w:val="0"/>
                <w:sz w:val="21"/>
                <w:szCs w:val="21"/>
                <w:highlight w:val="none"/>
                <w:lang w:eastAsia="zh-CN" w:bidi="ar"/>
              </w:rPr>
              <w:t>。</w:t>
            </w:r>
          </w:p>
          <w:p w14:paraId="2C0D8CC6">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Cs w:val="21"/>
                <w:highlight w:val="none"/>
                <w:lang w:val="en-US" w:eastAsia="zh-CN" w:bidi="ar"/>
              </w:rPr>
              <w:t>4、</w:t>
            </w:r>
            <w:r>
              <w:rPr>
                <w:rFonts w:hint="eastAsia" w:ascii="宋体" w:hAnsi="宋体" w:eastAsia="宋体" w:cs="宋体"/>
                <w:i w:val="0"/>
                <w:iCs w:val="0"/>
                <w:caps w:val="0"/>
                <w:color w:val="auto"/>
                <w:spacing w:val="0"/>
                <w:kern w:val="0"/>
                <w:sz w:val="21"/>
                <w:szCs w:val="21"/>
                <w:highlight w:val="none"/>
                <w:shd w:val="clear"/>
                <w:lang w:bidi="ar"/>
              </w:rPr>
              <w:t>柜门配置</w:t>
            </w:r>
            <w:r>
              <w:rPr>
                <w:rFonts w:hint="eastAsia" w:ascii="宋体" w:hAnsi="宋体" w:eastAsia="宋体" w:cs="宋体"/>
                <w:b w:val="0"/>
                <w:bCs w:val="0"/>
                <w:i w:val="0"/>
                <w:iCs w:val="0"/>
                <w:caps w:val="0"/>
                <w:color w:val="auto"/>
                <w:spacing w:val="0"/>
                <w:kern w:val="0"/>
                <w:sz w:val="21"/>
                <w:szCs w:val="21"/>
                <w:highlight w:val="none"/>
                <w:shd w:val="clear"/>
                <w:lang w:bidi="ar"/>
              </w:rPr>
              <w:t>铝合金闪电锁</w:t>
            </w:r>
            <w:r>
              <w:rPr>
                <w:rFonts w:hint="eastAsia" w:ascii="宋体" w:hAnsi="宋体" w:eastAsia="宋体" w:cs="宋体"/>
                <w:i w:val="0"/>
                <w:iCs w:val="0"/>
                <w:caps w:val="0"/>
                <w:color w:val="auto"/>
                <w:spacing w:val="0"/>
                <w:kern w:val="0"/>
                <w:sz w:val="21"/>
                <w:szCs w:val="21"/>
                <w:highlight w:val="none"/>
                <w:shd w:val="clear"/>
                <w:lang w:bidi="ar"/>
              </w:rPr>
              <w:t>（或称碰锁/弹跳锁），锁体材质为</w:t>
            </w:r>
            <w:r>
              <w:rPr>
                <w:rFonts w:hint="eastAsia" w:ascii="宋体" w:hAnsi="宋体" w:eastAsia="宋体" w:cs="宋体"/>
                <w:b w:val="0"/>
                <w:bCs w:val="0"/>
                <w:i w:val="0"/>
                <w:iCs w:val="0"/>
                <w:caps w:val="0"/>
                <w:color w:val="auto"/>
                <w:spacing w:val="0"/>
                <w:kern w:val="0"/>
                <w:sz w:val="21"/>
                <w:szCs w:val="21"/>
                <w:highlight w:val="none"/>
                <w:shd w:val="clear"/>
                <w:lang w:bidi="ar"/>
              </w:rPr>
              <w:t>锌合金或铝合金</w:t>
            </w:r>
            <w:r>
              <w:rPr>
                <w:rFonts w:hint="eastAsia" w:ascii="宋体" w:hAnsi="宋体" w:eastAsia="宋体" w:cs="宋体"/>
                <w:i w:val="0"/>
                <w:iCs w:val="0"/>
                <w:caps w:val="0"/>
                <w:color w:val="auto"/>
                <w:spacing w:val="0"/>
                <w:kern w:val="0"/>
                <w:sz w:val="21"/>
                <w:szCs w:val="21"/>
                <w:highlight w:val="none"/>
                <w:shd w:val="clear"/>
                <w:lang w:bidi="ar"/>
              </w:rPr>
              <w:t>外壳，锁芯为铜质或不锈钢材质，钥匙为通用型</w:t>
            </w:r>
            <w:r>
              <w:rPr>
                <w:rFonts w:hint="eastAsia" w:ascii="宋体" w:hAnsi="宋体" w:eastAsia="宋体" w:cs="宋体"/>
                <w:i w:val="0"/>
                <w:iCs w:val="0"/>
                <w:caps w:val="0"/>
                <w:color w:val="auto"/>
                <w:spacing w:val="0"/>
                <w:kern w:val="0"/>
                <w:sz w:val="21"/>
                <w:szCs w:val="21"/>
                <w:highlight w:val="none"/>
                <w:shd w:val="clear"/>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w:t>
            </w:r>
            <w:r>
              <w:rPr>
                <w:rFonts w:hint="eastAsia" w:ascii="宋体" w:hAnsi="宋体" w:eastAsia="宋体" w:cs="宋体"/>
                <w:i w:val="0"/>
                <w:iCs w:val="0"/>
                <w:caps w:val="0"/>
                <w:color w:val="auto"/>
                <w:spacing w:val="0"/>
                <w:kern w:val="0"/>
                <w:sz w:val="21"/>
                <w:szCs w:val="21"/>
                <w:highlight w:val="none"/>
                <w:shd w:val="clear"/>
                <w:lang w:bidi="ar"/>
              </w:rPr>
              <w:t>门铰采用</w:t>
            </w:r>
            <w:r>
              <w:rPr>
                <w:rFonts w:hint="eastAsia" w:ascii="宋体" w:hAnsi="宋体" w:eastAsia="宋体" w:cs="宋体"/>
                <w:b w:val="0"/>
                <w:bCs w:val="0"/>
                <w:i w:val="0"/>
                <w:iCs w:val="0"/>
                <w:caps w:val="0"/>
                <w:color w:val="auto"/>
                <w:spacing w:val="0"/>
                <w:kern w:val="0"/>
                <w:sz w:val="21"/>
                <w:szCs w:val="21"/>
                <w:highlight w:val="none"/>
                <w:shd w:val="clear"/>
                <w:lang w:bidi="ar"/>
              </w:rPr>
              <w:t>S30408不锈钢</w:t>
            </w:r>
            <w:r>
              <w:rPr>
                <w:rFonts w:hint="eastAsia" w:ascii="宋体" w:hAnsi="宋体" w:eastAsia="宋体" w:cs="宋体"/>
                <w:i w:val="0"/>
                <w:iCs w:val="0"/>
                <w:caps w:val="0"/>
                <w:color w:val="auto"/>
                <w:spacing w:val="0"/>
                <w:kern w:val="0"/>
                <w:sz w:val="21"/>
                <w:szCs w:val="21"/>
                <w:highlight w:val="none"/>
                <w:shd w:val="clear"/>
                <w:lang w:bidi="ar"/>
              </w:rPr>
              <w:t>材质，厚度≥</w:t>
            </w:r>
            <w:r>
              <w:rPr>
                <w:rFonts w:hint="eastAsia" w:ascii="宋体" w:hAnsi="宋体" w:eastAsia="宋体" w:cs="宋体"/>
                <w:b w:val="0"/>
                <w:bCs w:val="0"/>
                <w:i w:val="0"/>
                <w:iCs w:val="0"/>
                <w:caps w:val="0"/>
                <w:color w:val="auto"/>
                <w:spacing w:val="0"/>
                <w:kern w:val="0"/>
                <w:sz w:val="21"/>
                <w:szCs w:val="21"/>
                <w:highlight w:val="none"/>
                <w:shd w:val="clear"/>
                <w:lang w:bidi="ar"/>
              </w:rPr>
              <w:t>2.0mm（实厚）</w:t>
            </w:r>
            <w:r>
              <w:rPr>
                <w:rFonts w:hint="eastAsia" w:ascii="宋体" w:hAnsi="宋体" w:eastAsia="宋体" w:cs="宋体"/>
                <w:i w:val="0"/>
                <w:iCs w:val="0"/>
                <w:caps w:val="0"/>
                <w:color w:val="auto"/>
                <w:spacing w:val="0"/>
                <w:kern w:val="0"/>
                <w:sz w:val="21"/>
                <w:szCs w:val="21"/>
                <w:highlight w:val="none"/>
                <w:shd w:val="clear"/>
                <w:lang w:bidi="ar"/>
              </w:rPr>
              <w:t>，表面拉丝处理</w:t>
            </w:r>
            <w:r>
              <w:rPr>
                <w:rFonts w:hint="eastAsia" w:ascii="宋体" w:hAnsi="宋体" w:eastAsia="宋体" w:cs="宋体"/>
                <w:i w:val="0"/>
                <w:iCs w:val="0"/>
                <w:caps w:val="0"/>
                <w:color w:val="auto"/>
                <w:spacing w:val="0"/>
                <w:kern w:val="0"/>
                <w:sz w:val="21"/>
                <w:szCs w:val="21"/>
                <w:highlight w:val="none"/>
                <w:shd w:val="clear"/>
                <w:lang w:eastAsia="zh-CN" w:bidi="ar"/>
              </w:rPr>
              <w:t>；</w:t>
            </w:r>
            <w:r>
              <w:rPr>
                <w:rFonts w:hint="eastAsia" w:ascii="宋体" w:hAnsi="宋体" w:eastAsia="宋体" w:cs="宋体"/>
                <w:i w:val="0"/>
                <w:iCs w:val="0"/>
                <w:caps w:val="0"/>
                <w:color w:val="auto"/>
                <w:spacing w:val="0"/>
                <w:kern w:val="0"/>
                <w:sz w:val="21"/>
                <w:szCs w:val="21"/>
                <w:highlight w:val="none"/>
                <w:shd w:val="clear"/>
                <w:lang w:bidi="ar"/>
              </w:rPr>
              <w:t>每个柜门配置不少于</w:t>
            </w:r>
            <w:r>
              <w:rPr>
                <w:rFonts w:hint="eastAsia" w:ascii="宋体" w:hAnsi="宋体" w:eastAsia="宋体" w:cs="宋体"/>
                <w:b w:val="0"/>
                <w:bCs w:val="0"/>
                <w:i w:val="0"/>
                <w:iCs w:val="0"/>
                <w:caps w:val="0"/>
                <w:color w:val="auto"/>
                <w:spacing w:val="0"/>
                <w:kern w:val="0"/>
                <w:sz w:val="21"/>
                <w:szCs w:val="21"/>
                <w:highlight w:val="none"/>
                <w:shd w:val="clear"/>
                <w:lang w:bidi="ar"/>
              </w:rPr>
              <w:t>2个</w:t>
            </w:r>
            <w:r>
              <w:rPr>
                <w:rFonts w:hint="eastAsia" w:ascii="宋体" w:hAnsi="宋体" w:eastAsia="宋体" w:cs="宋体"/>
                <w:i w:val="0"/>
                <w:iCs w:val="0"/>
                <w:caps w:val="0"/>
                <w:color w:val="auto"/>
                <w:spacing w:val="0"/>
                <w:kern w:val="0"/>
                <w:sz w:val="21"/>
                <w:szCs w:val="21"/>
                <w:highlight w:val="none"/>
                <w:shd w:val="clear"/>
                <w:lang w:bidi="ar"/>
              </w:rPr>
              <w:t>不锈钢门铰，门铰须经</w:t>
            </w:r>
            <w:r>
              <w:rPr>
                <w:rFonts w:hint="eastAsia" w:ascii="宋体" w:hAnsi="宋体" w:eastAsia="宋体" w:cs="宋体"/>
                <w:b w:val="0"/>
                <w:bCs w:val="0"/>
                <w:i w:val="0"/>
                <w:iCs w:val="0"/>
                <w:caps w:val="0"/>
                <w:color w:val="auto"/>
                <w:spacing w:val="0"/>
                <w:kern w:val="0"/>
                <w:sz w:val="21"/>
                <w:szCs w:val="21"/>
                <w:highlight w:val="none"/>
                <w:shd w:val="clear"/>
                <w:lang w:bidi="ar"/>
              </w:rPr>
              <w:t>开合寿命测试≥50000次</w:t>
            </w:r>
            <w:r>
              <w:rPr>
                <w:rFonts w:hint="eastAsia" w:ascii="宋体" w:hAnsi="宋体" w:eastAsia="宋体" w:cs="宋体"/>
                <w:i w:val="0"/>
                <w:iCs w:val="0"/>
                <w:caps w:val="0"/>
                <w:color w:val="auto"/>
                <w:spacing w:val="0"/>
                <w:kern w:val="0"/>
                <w:sz w:val="21"/>
                <w:szCs w:val="21"/>
                <w:highlight w:val="none"/>
                <w:shd w:val="clear"/>
                <w:lang w:bidi="ar"/>
              </w:rPr>
              <w:t>无损坏</w:t>
            </w:r>
            <w:r>
              <w:rPr>
                <w:rFonts w:hint="eastAsia" w:ascii="宋体" w:hAnsi="宋体" w:eastAsia="宋体" w:cs="宋体"/>
                <w:i w:val="0"/>
                <w:iCs w:val="0"/>
                <w:caps w:val="0"/>
                <w:color w:val="auto"/>
                <w:spacing w:val="0"/>
                <w:kern w:val="0"/>
                <w:sz w:val="21"/>
                <w:szCs w:val="21"/>
                <w:highlight w:val="none"/>
                <w:shd w:val="clear"/>
                <w:lang w:eastAsia="zh-CN" w:bidi="ar"/>
              </w:rPr>
              <w:t>；</w:t>
            </w:r>
            <w:r>
              <w:rPr>
                <w:rFonts w:hint="eastAsia" w:ascii="宋体" w:hAnsi="宋体" w:eastAsia="宋体" w:cs="宋体"/>
                <w:i w:val="0"/>
                <w:iCs w:val="0"/>
                <w:caps w:val="0"/>
                <w:color w:val="auto"/>
                <w:spacing w:val="0"/>
                <w:kern w:val="0"/>
                <w:sz w:val="21"/>
                <w:szCs w:val="21"/>
                <w:highlight w:val="none"/>
                <w:shd w:val="clear"/>
                <w:lang w:bidi="ar"/>
              </w:rPr>
              <w:t>门铰安装螺丝须为</w:t>
            </w:r>
            <w:r>
              <w:rPr>
                <w:rFonts w:hint="eastAsia" w:ascii="宋体" w:hAnsi="宋体" w:eastAsia="宋体" w:cs="宋体"/>
                <w:b w:val="0"/>
                <w:bCs w:val="0"/>
                <w:i w:val="0"/>
                <w:iCs w:val="0"/>
                <w:caps w:val="0"/>
                <w:color w:val="auto"/>
                <w:spacing w:val="0"/>
                <w:kern w:val="0"/>
                <w:sz w:val="21"/>
                <w:szCs w:val="21"/>
                <w:highlight w:val="none"/>
                <w:shd w:val="clear"/>
                <w:lang w:bidi="ar"/>
              </w:rPr>
              <w:t>不锈钢沉头螺钉</w:t>
            </w:r>
            <w:r>
              <w:rPr>
                <w:rFonts w:hint="eastAsia" w:ascii="宋体" w:hAnsi="宋体" w:eastAsia="宋体" w:cs="宋体"/>
                <w:i w:val="0"/>
                <w:iCs w:val="0"/>
                <w:caps w:val="0"/>
                <w:color w:val="auto"/>
                <w:spacing w:val="0"/>
                <w:kern w:val="0"/>
                <w:sz w:val="21"/>
                <w:szCs w:val="21"/>
                <w:highlight w:val="none"/>
                <w:shd w:val="clear"/>
                <w:lang w:bidi="ar"/>
              </w:rPr>
              <w:t>，不得使用普通碳钢螺丝。</w:t>
            </w:r>
          </w:p>
        </w:tc>
        <w:tc>
          <w:tcPr>
            <w:tcW w:w="338" w:type="pct"/>
            <w:shd w:val="clear" w:color="auto" w:fill="auto"/>
            <w:vAlign w:val="center"/>
          </w:tcPr>
          <w:p w14:paraId="2FDE9AC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431B4B7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7</w:t>
            </w:r>
          </w:p>
        </w:tc>
      </w:tr>
      <w:tr w14:paraId="0447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2" w:hRule="atLeast"/>
        </w:trPr>
        <w:tc>
          <w:tcPr>
            <w:tcW w:w="384" w:type="pct"/>
            <w:shd w:val="clear" w:color="auto" w:fill="auto"/>
            <w:noWrap/>
            <w:vAlign w:val="center"/>
          </w:tcPr>
          <w:p w14:paraId="610FF3D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84</w:t>
            </w:r>
          </w:p>
        </w:tc>
        <w:tc>
          <w:tcPr>
            <w:tcW w:w="381" w:type="pct"/>
            <w:shd w:val="clear" w:color="auto" w:fill="auto"/>
            <w:vAlign w:val="center"/>
          </w:tcPr>
          <w:p w14:paraId="27177CA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仪器台1</w:t>
            </w:r>
          </w:p>
        </w:tc>
        <w:tc>
          <w:tcPr>
            <w:tcW w:w="783" w:type="pct"/>
            <w:shd w:val="clear" w:color="auto" w:fill="auto"/>
            <w:vAlign w:val="center"/>
          </w:tcPr>
          <w:p w14:paraId="300A47C4">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18515" cy="655955"/>
                  <wp:effectExtent l="0" t="0" r="8255" b="10795"/>
                  <wp:docPr id="98" name="图片 98" descr="仪器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仪器台"/>
                          <pic:cNvPicPr>
                            <a:picLocks noChangeAspect="1"/>
                          </pic:cNvPicPr>
                        </pic:nvPicPr>
                        <pic:blipFill>
                          <a:blip r:embed="rId31"/>
                          <a:stretch>
                            <a:fillRect/>
                          </a:stretch>
                        </pic:blipFill>
                        <pic:spPr>
                          <a:xfrm>
                            <a:off x="0" y="0"/>
                            <a:ext cx="818515" cy="655955"/>
                          </a:xfrm>
                          <a:prstGeom prst="rect">
                            <a:avLst/>
                          </a:prstGeom>
                        </pic:spPr>
                      </pic:pic>
                    </a:graphicData>
                  </a:graphic>
                </wp:inline>
              </w:drawing>
            </w:r>
          </w:p>
        </w:tc>
        <w:tc>
          <w:tcPr>
            <w:tcW w:w="2826" w:type="pct"/>
            <w:shd w:val="clear" w:color="auto" w:fill="auto"/>
            <w:vAlign w:val="center"/>
          </w:tcPr>
          <w:p w14:paraId="214A6E2E">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4500*900*850</w:t>
            </w:r>
            <w:r>
              <w:rPr>
                <w:rFonts w:hint="eastAsia" w:ascii="宋体" w:hAnsi="宋体" w:eastAsia="宋体" w:cs="宋体"/>
                <w:color w:val="auto"/>
                <w:kern w:val="0"/>
                <w:sz w:val="21"/>
                <w:szCs w:val="21"/>
                <w:highlight w:val="none"/>
                <w:lang w:val="en-US" w:eastAsia="zh-CN" w:bidi="ar"/>
              </w:rPr>
              <w:t>mm</w:t>
            </w:r>
          </w:p>
          <w:p w14:paraId="4F505C7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仪器台实芯理化板台面板：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台面采用厚度≥20mm耐腐蚀实芯理化板，耐酸碱耐冲击。</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Cs w:val="21"/>
                <w:highlight w:val="none"/>
                <w:lang w:bidi="ar"/>
              </w:rPr>
              <w:t>台面表面聚氨酯丙烯酸防护涂层，</w:t>
            </w:r>
            <w:r>
              <w:rPr>
                <w:rFonts w:hint="eastAsia" w:ascii="宋体" w:hAnsi="宋体" w:eastAsia="宋体" w:cs="宋体"/>
                <w:color w:val="auto"/>
                <w:kern w:val="0"/>
                <w:szCs w:val="21"/>
                <w:highlight w:val="none"/>
                <w:lang w:bidi="ar"/>
              </w:rPr>
              <w:t>成品性能符合GB/T 7911</w:t>
            </w:r>
            <w:r>
              <w:rPr>
                <w:rFonts w:hint="eastAsia" w:ascii="宋体" w:hAnsi="宋体" w:eastAsia="宋体" w:cs="宋体"/>
                <w:color w:val="auto"/>
                <w:kern w:val="0"/>
                <w:szCs w:val="21"/>
                <w:highlight w:val="none"/>
                <w:lang w:val="en-US" w:eastAsia="zh-CN" w:bidi="ar"/>
              </w:rPr>
              <w:t>-</w:t>
            </w:r>
            <w:r>
              <w:rPr>
                <w:rFonts w:hint="eastAsia" w:ascii="宋体" w:hAnsi="宋体" w:eastAsia="宋体" w:cs="宋体"/>
                <w:color w:val="auto"/>
                <w:kern w:val="0"/>
                <w:szCs w:val="21"/>
                <w:highlight w:val="none"/>
                <w:lang w:bidi="ar"/>
              </w:rPr>
              <w:t>2024《热固性树脂浸渍纸高压装饰层积板 (HPL)》要求</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val="en-US" w:eastAsia="zh-CN" w:bidi="ar"/>
              </w:rPr>
              <w:t>根据</w:t>
            </w:r>
            <w:r>
              <w:rPr>
                <w:rFonts w:hint="eastAsia" w:ascii="宋体" w:hAnsi="宋体" w:eastAsia="宋体" w:cs="宋体"/>
                <w:color w:val="auto"/>
                <w:kern w:val="0"/>
                <w:szCs w:val="21"/>
                <w:highlight w:val="none"/>
                <w:lang w:bidi="ar"/>
              </w:rPr>
              <w:t>GB/T 17657</w:t>
            </w:r>
            <w:r>
              <w:rPr>
                <w:rFonts w:hint="eastAsia" w:ascii="宋体" w:hAnsi="宋体" w:eastAsia="宋体" w:cs="宋体"/>
                <w:color w:val="auto"/>
                <w:kern w:val="0"/>
                <w:szCs w:val="21"/>
                <w:highlight w:val="none"/>
                <w:lang w:val="en-US" w:eastAsia="zh-CN" w:bidi="ar"/>
              </w:rPr>
              <w:t>-</w:t>
            </w:r>
            <w:r>
              <w:rPr>
                <w:rFonts w:hint="eastAsia" w:ascii="宋体" w:hAnsi="宋体" w:eastAsia="宋体" w:cs="宋体"/>
                <w:color w:val="auto"/>
                <w:kern w:val="0"/>
                <w:szCs w:val="21"/>
                <w:highlight w:val="none"/>
                <w:lang w:bidi="ar"/>
              </w:rPr>
              <w:t>2022开展耐干热性能测试</w:t>
            </w:r>
            <w:r>
              <w:rPr>
                <w:rFonts w:hint="eastAsia" w:ascii="宋体" w:hAnsi="宋体" w:eastAsia="宋体" w:cs="宋体"/>
                <w:color w:val="auto"/>
                <w:kern w:val="0"/>
                <w:szCs w:val="21"/>
                <w:highlight w:val="none"/>
                <w:lang w:bidi="ar"/>
              </w:rPr>
              <w:t>，试验条件高温，持续 20 min，试验后表面无开裂、鼓泡、变色、明显压痕等异常现象；板材成型热压压力不低于 7.5 MPa。</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★2、台面理化性能参照进行化学性能测试(根据GB/T17657-2022)，通过65%硝酸，85%磷酸，40%氢氧化钠，98%硫酸，99%醋酸，40%氢氟酸</w:t>
            </w:r>
            <w:r>
              <w:rPr>
                <w:rFonts w:hint="eastAsia" w:ascii="宋体" w:hAnsi="宋体" w:eastAsia="宋体" w:cs="宋体"/>
                <w:color w:val="auto"/>
                <w:kern w:val="0"/>
                <w:sz w:val="21"/>
                <w:szCs w:val="21"/>
                <w:highlight w:val="none"/>
                <w:lang w:val="en-US" w:eastAsia="zh-CN" w:bidi="ar"/>
              </w:rPr>
              <w:t>6项</w:t>
            </w:r>
            <w:r>
              <w:rPr>
                <w:rFonts w:hint="eastAsia" w:ascii="宋体" w:hAnsi="宋体" w:eastAsia="宋体" w:cs="宋体"/>
                <w:color w:val="auto"/>
                <w:kern w:val="0"/>
                <w:sz w:val="21"/>
                <w:szCs w:val="21"/>
                <w:highlight w:val="none"/>
                <w:lang w:bidi="ar"/>
              </w:rPr>
              <w:t>项实验室常用化学试剂浓度且在室温24h测试条件下覆盖及不覆盖玻板进行测试，检验结果均为“无明显变化”。</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、台面物理特性如下：</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1）面板的拉伸强度:≥</w:t>
            </w:r>
            <w:r>
              <w:rPr>
                <w:rFonts w:hint="eastAsia" w:ascii="宋体" w:hAnsi="宋体" w:eastAsia="宋体" w:cs="宋体"/>
                <w:color w:val="auto"/>
                <w:kern w:val="0"/>
                <w:sz w:val="21"/>
                <w:szCs w:val="21"/>
                <w:highlight w:val="none"/>
                <w:lang w:val="en-US" w:eastAsia="zh-CN" w:bidi="ar"/>
              </w:rPr>
              <w:t>69.9</w:t>
            </w:r>
            <w:r>
              <w:rPr>
                <w:rFonts w:hint="eastAsia" w:ascii="宋体" w:hAnsi="宋体" w:eastAsia="宋体" w:cs="宋体"/>
                <w:color w:val="auto"/>
                <w:kern w:val="0"/>
                <w:sz w:val="21"/>
                <w:szCs w:val="21"/>
                <w:highlight w:val="none"/>
                <w:lang w:bidi="ar"/>
              </w:rPr>
              <w:t>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抗弯强度:≥136兆帕(根据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2）弯曲弹性模量≥1.71X10(4次方)兆帕(根据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3）抗冲击性能(0.324kg，1m)压痕直径</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5.40mm无破损(根据GB/T17657-2022)表观密度:≥1.45克/立方厘米（根据GB/T17657-2022）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4）表面耐高温性能为:表面无裂纹(根据GB/T17657-2022)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5）表面耐干热:5级无变化(根据GB/T17657-2022)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6）表面耐龟裂性:5级用6倍放大镜观察表面无裂纹(根据GB/T17657-2022)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7）表面耐污染性能：5级无变化(根据GB/T17657-2022)。</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bidi="ar"/>
              </w:rPr>
              <w:t>、表面易清洁，抑制霉菌生长，</w:t>
            </w:r>
            <w:r>
              <w:rPr>
                <w:rFonts w:hint="eastAsia" w:ascii="宋体" w:hAnsi="宋体" w:eastAsia="宋体" w:cs="宋体"/>
                <w:color w:val="auto"/>
                <w:kern w:val="0"/>
                <w:szCs w:val="21"/>
                <w:highlight w:val="none"/>
                <w:lang w:bidi="ar"/>
              </w:rPr>
              <w:t>应符合 GB/T 24128-2018 标准要求</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 w:val="21"/>
                <w:szCs w:val="21"/>
                <w:highlight w:val="none"/>
                <w:lang w:bidi="ar"/>
              </w:rPr>
              <w:t>通过以下6种霉菌的防霉菌性能效果测试，均到达0级</w:t>
            </w:r>
            <w:r>
              <w:rPr>
                <w:rFonts w:hint="eastAsia" w:ascii="宋体" w:hAnsi="宋体" w:eastAsia="宋体" w:cs="宋体"/>
                <w:color w:val="auto"/>
                <w:kern w:val="0"/>
                <w:szCs w:val="21"/>
                <w:highlight w:val="none"/>
                <w:lang w:bidi="ar"/>
              </w:rPr>
              <w:t>（无可见生长）</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Cs w:val="21"/>
                <w:highlight w:val="none"/>
                <w:lang w:bidi="ar"/>
              </w:rPr>
              <w:t>黑曲霉</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球毛壳霉</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宛氏拟青霉</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绳状青霉</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出芽短梗霉</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土曲霉</w:t>
            </w:r>
            <w:r>
              <w:rPr>
                <w:rFonts w:hint="eastAsia" w:ascii="宋体" w:hAnsi="宋体" w:eastAsia="宋体" w:cs="宋体"/>
                <w:color w:val="auto"/>
                <w:kern w:val="0"/>
                <w:szCs w:val="21"/>
                <w:highlight w:val="none"/>
                <w:lang w:eastAsia="zh-CN" w:bidi="ar"/>
              </w:rPr>
              <w:t>。</w:t>
            </w:r>
          </w:p>
          <w:p w14:paraId="42063D4C">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Cs w:val="21"/>
                <w:highlight w:val="none"/>
                <w:lang w:eastAsia="zh-CN" w:bidi="ar"/>
              </w:rPr>
              <w:t>甲醛释放量符合E0级限量要求（甲醛释放量≤0.050mg/m³）。耐磨性能符合</w:t>
            </w:r>
            <w:r>
              <w:rPr>
                <w:rFonts w:hint="eastAsia" w:ascii="宋体" w:hAnsi="宋体" w:eastAsia="宋体" w:cs="宋体"/>
                <w:color w:val="auto"/>
                <w:kern w:val="0"/>
                <w:szCs w:val="21"/>
                <w:highlight w:val="none"/>
                <w:lang w:eastAsia="zh-CN" w:bidi="ar"/>
              </w:rPr>
              <w:t>GB/T17657-2022标准</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bidi="ar"/>
              </w:rPr>
              <w:t>、</w:t>
            </w:r>
            <w:r>
              <w:rPr>
                <w:rFonts w:hint="eastAsia"/>
                <w:color w:val="auto"/>
                <w:highlight w:val="none"/>
                <w:lang w:eastAsia="zh-CN"/>
              </w:rPr>
              <w:t>投标时提供</w:t>
            </w:r>
            <w:r>
              <w:rPr>
                <w:rFonts w:hint="eastAsia" w:ascii="宋体" w:hAnsi="宋体" w:eastAsia="宋体" w:cs="宋体"/>
                <w:color w:val="auto"/>
                <w:kern w:val="0"/>
                <w:sz w:val="21"/>
                <w:szCs w:val="21"/>
                <w:highlight w:val="none"/>
                <w:lang w:bidi="ar"/>
              </w:rPr>
              <w:t>台面10年质保书</w:t>
            </w:r>
            <w:r>
              <w:rPr>
                <w:rFonts w:hint="eastAsia" w:ascii="宋体" w:hAnsi="宋体" w:eastAsia="宋体" w:cs="宋体"/>
                <w:color w:val="auto"/>
                <w:kern w:val="0"/>
                <w:sz w:val="21"/>
                <w:szCs w:val="21"/>
                <w:highlight w:val="none"/>
                <w:lang w:eastAsia="zh-CN" w:bidi="ar"/>
              </w:rPr>
              <w:t>原件</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二、桌身结构规格：</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1、采用90*90*1.5mm优质冷轧扇形钢管，60*30*1.5mm优质冷轧方形钢管，框架连接处采用激光切割榫卯卡扣，扣压拼装的方式。整体框架结构合理，稳定性及承重能力强；</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2、前梁：前梁采用</w:t>
            </w:r>
            <w:r>
              <w:rPr>
                <w:rFonts w:hint="eastAsia" w:ascii="宋体" w:hAnsi="宋体" w:eastAsia="宋体" w:cs="宋体"/>
                <w:color w:val="auto"/>
                <w:kern w:val="0"/>
                <w:sz w:val="21"/>
                <w:szCs w:val="21"/>
                <w:highlight w:val="none"/>
                <w:lang w:eastAsia="zh-CN" w:bidi="ar"/>
              </w:rPr>
              <w:t>90*90*1.5mm</w:t>
            </w:r>
            <w:r>
              <w:rPr>
                <w:rFonts w:hint="eastAsia" w:ascii="宋体" w:hAnsi="宋体" w:eastAsia="宋体" w:cs="宋体"/>
                <w:color w:val="auto"/>
                <w:kern w:val="0"/>
                <w:sz w:val="21"/>
                <w:szCs w:val="21"/>
                <w:highlight w:val="none"/>
                <w:lang w:bidi="ar"/>
              </w:rPr>
              <w:t>优质冷轧扇形钢管，表面酸洗、磷化及高压静电喷涂环氧树脂粉末防护层作耐酸碱耐腐蚀表面处理，其保护层厚度为≥75μm。圆弧设计，安全美观。采用榫卯卡扣的安装方式，安装便捷</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w:t>
            </w:r>
            <w:r>
              <w:rPr>
                <w:rFonts w:hint="eastAsia" w:ascii="宋体" w:hAnsi="宋体" w:eastAsia="宋体" w:cs="宋体"/>
                <w:color w:val="auto"/>
                <w:kern w:val="0"/>
                <w:sz w:val="21"/>
                <w:szCs w:val="21"/>
                <w:highlight w:val="none"/>
                <w:lang w:eastAsia="zh-CN" w:bidi="ar"/>
              </w:rPr>
              <w:t>水分</w:t>
            </w:r>
            <w:r>
              <w:rPr>
                <w:rFonts w:hint="eastAsia" w:ascii="宋体" w:hAnsi="宋体" w:eastAsia="宋体" w:cs="宋体"/>
                <w:color w:val="auto"/>
                <w:kern w:val="0"/>
                <w:sz w:val="21"/>
                <w:szCs w:val="21"/>
                <w:highlight w:val="none"/>
                <w:lang w:bidi="ar"/>
              </w:rPr>
              <w:t>或者试剂渗漏进接缝后出现腐蚀生锈。提高了产品的使用寿命。提高安装效率和实验台的稳定性及承重能力。</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4、活动背板：采用≥1.0mm高品质</w:t>
            </w:r>
            <w:r>
              <w:rPr>
                <w:rFonts w:hint="eastAsia" w:ascii="宋体" w:hAnsi="宋体" w:eastAsia="宋体" w:cs="宋体"/>
                <w:color w:val="auto"/>
                <w:kern w:val="0"/>
                <w:sz w:val="21"/>
                <w:szCs w:val="21"/>
                <w:highlight w:val="none"/>
                <w:lang w:eastAsia="zh-CN" w:bidi="ar"/>
              </w:rPr>
              <w:t>一级冷轧钢板</w:t>
            </w:r>
            <w:r>
              <w:rPr>
                <w:rFonts w:hint="eastAsia" w:ascii="宋体" w:hAnsi="宋体" w:eastAsia="宋体" w:cs="宋体"/>
                <w:color w:val="auto"/>
                <w:kern w:val="0"/>
                <w:sz w:val="21"/>
                <w:szCs w:val="21"/>
                <w:highlight w:val="none"/>
                <w:lang w:bidi="ar"/>
              </w:rPr>
              <w:t>，表面经酸洗、磷化防锈及静电处理，并喷涂≧75μm厚环氧树脂粉末。采用卡扣的便捷安装方式，拆卸安装方便。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承重最低</w:t>
            </w:r>
            <w:r>
              <w:rPr>
                <w:rFonts w:hint="eastAsia" w:ascii="宋体" w:hAnsi="宋体" w:eastAsia="宋体" w:cs="宋体"/>
                <w:color w:val="auto"/>
                <w:kern w:val="0"/>
                <w:sz w:val="21"/>
                <w:szCs w:val="21"/>
                <w:highlight w:val="none"/>
                <w:lang w:eastAsia="zh-CN" w:bidi="ar"/>
              </w:rPr>
              <w:t>5</w:t>
            </w:r>
            <w:r>
              <w:rPr>
                <w:rFonts w:hint="eastAsia" w:ascii="宋体" w:hAnsi="宋体" w:eastAsia="宋体" w:cs="宋体"/>
                <w:color w:val="auto"/>
                <w:kern w:val="0"/>
                <w:sz w:val="21"/>
                <w:szCs w:val="21"/>
                <w:highlight w:val="none"/>
                <w:lang w:val="en-US" w:eastAsia="zh-CN" w:bidi="ar"/>
              </w:rPr>
              <w:t>00</w:t>
            </w:r>
            <w:r>
              <w:rPr>
                <w:rFonts w:hint="eastAsia" w:ascii="宋体" w:hAnsi="宋体" w:eastAsia="宋体" w:cs="宋体"/>
                <w:color w:val="auto"/>
                <w:kern w:val="0"/>
                <w:sz w:val="21"/>
                <w:szCs w:val="21"/>
                <w:highlight w:val="none"/>
                <w:lang w:bidi="ar"/>
              </w:rPr>
              <w:t>公斤。</w:t>
            </w:r>
          </w:p>
        </w:tc>
        <w:tc>
          <w:tcPr>
            <w:tcW w:w="338" w:type="pct"/>
            <w:shd w:val="clear" w:color="auto" w:fill="auto"/>
            <w:vAlign w:val="center"/>
          </w:tcPr>
          <w:p w14:paraId="1AFCD2E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07C6ADC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24</w:t>
            </w:r>
          </w:p>
        </w:tc>
      </w:tr>
      <w:tr w14:paraId="1F65F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384" w:type="pct"/>
            <w:shd w:val="clear" w:color="auto" w:fill="auto"/>
            <w:noWrap/>
            <w:vAlign w:val="center"/>
          </w:tcPr>
          <w:p w14:paraId="3E4A6DD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85</w:t>
            </w:r>
          </w:p>
        </w:tc>
        <w:tc>
          <w:tcPr>
            <w:tcW w:w="381" w:type="pct"/>
            <w:shd w:val="clear" w:color="auto" w:fill="auto"/>
            <w:vAlign w:val="center"/>
          </w:tcPr>
          <w:p w14:paraId="62D4E20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仪器台2</w:t>
            </w:r>
          </w:p>
        </w:tc>
        <w:tc>
          <w:tcPr>
            <w:tcW w:w="783" w:type="pct"/>
            <w:shd w:val="clear" w:color="auto" w:fill="auto"/>
            <w:vAlign w:val="center"/>
          </w:tcPr>
          <w:p w14:paraId="1D3FAB9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20704" behindDoc="0" locked="0" layoutInCell="1" allowOverlap="1">
                  <wp:simplePos x="0" y="0"/>
                  <wp:positionH relativeFrom="column">
                    <wp:posOffset>19050</wp:posOffset>
                  </wp:positionH>
                  <wp:positionV relativeFrom="paragraph">
                    <wp:posOffset>2155825</wp:posOffset>
                  </wp:positionV>
                  <wp:extent cx="818515" cy="655955"/>
                  <wp:effectExtent l="0" t="0" r="8255" b="10795"/>
                  <wp:wrapSquare wrapText="bothSides"/>
                  <wp:docPr id="99" name="图片 99" descr="仪器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仪器台"/>
                          <pic:cNvPicPr>
                            <a:picLocks noChangeAspect="1"/>
                          </pic:cNvPicPr>
                        </pic:nvPicPr>
                        <pic:blipFill>
                          <a:blip r:embed="rId31"/>
                          <a:stretch>
                            <a:fillRect/>
                          </a:stretch>
                        </pic:blipFill>
                        <pic:spPr>
                          <a:xfrm>
                            <a:off x="0" y="0"/>
                            <a:ext cx="818515" cy="655955"/>
                          </a:xfrm>
                          <a:prstGeom prst="rect">
                            <a:avLst/>
                          </a:prstGeom>
                        </pic:spPr>
                      </pic:pic>
                    </a:graphicData>
                  </a:graphic>
                </wp:anchor>
              </w:drawing>
            </w:r>
          </w:p>
        </w:tc>
        <w:tc>
          <w:tcPr>
            <w:tcW w:w="2826" w:type="pct"/>
            <w:shd w:val="clear" w:color="auto" w:fill="auto"/>
            <w:vAlign w:val="center"/>
          </w:tcPr>
          <w:p w14:paraId="00E8EB8C">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2350*900*850</w:t>
            </w:r>
            <w:r>
              <w:rPr>
                <w:rFonts w:hint="eastAsia" w:ascii="宋体" w:hAnsi="宋体" w:eastAsia="宋体" w:cs="宋体"/>
                <w:color w:val="auto"/>
                <w:kern w:val="0"/>
                <w:sz w:val="21"/>
                <w:szCs w:val="21"/>
                <w:highlight w:val="none"/>
                <w:lang w:val="en-US" w:eastAsia="zh-CN" w:bidi="ar"/>
              </w:rPr>
              <w:t>mm</w:t>
            </w:r>
          </w:p>
          <w:p w14:paraId="1203E796">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仪器台实芯理化板台面板：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台面采用厚度≥20mm耐腐蚀实芯理化板，耐酸碱耐冲击。</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Cs w:val="21"/>
                <w:highlight w:val="none"/>
                <w:lang w:bidi="ar"/>
              </w:rPr>
              <w:t>台面表面聚氨酯丙烯酸防护涂层</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成品性能符合GB/T 7911-2024《热固性树脂浸渍纸高压装饰层积板 (HPL)》要求。根据GB/T 17657-2022开展耐干热性能测试</w:t>
            </w:r>
            <w:r>
              <w:rPr>
                <w:rFonts w:hint="eastAsia" w:ascii="宋体" w:hAnsi="宋体" w:eastAsia="宋体" w:cs="宋体"/>
                <w:color w:val="auto"/>
                <w:kern w:val="0"/>
                <w:szCs w:val="21"/>
                <w:highlight w:val="none"/>
                <w:lang w:bidi="ar"/>
              </w:rPr>
              <w:t>，试验条件高温，持续 20 min，试验后表面无开裂、鼓泡、变色、明显压痕等异常现象；板材成型热压压力不低于 7.5 MPa。</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2、台面理化性能参照进行化学性能测试(根据GB/T17657-2022)，通过65%硝酸，85%磷酸，40%氢氧化钠，98%硫酸，99%醋酸，40%氢氟酸6项项实验室常用化学试剂浓度且在室温24h测试条件下覆盖及不覆盖玻板进行测试，检验结果均为“无明显变化”。</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、台面物理特性如下：</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1）面板的拉伸强度:≥</w:t>
            </w:r>
            <w:r>
              <w:rPr>
                <w:rFonts w:hint="eastAsia" w:ascii="宋体" w:hAnsi="宋体" w:eastAsia="宋体" w:cs="宋体"/>
                <w:color w:val="auto"/>
                <w:kern w:val="0"/>
                <w:sz w:val="21"/>
                <w:szCs w:val="21"/>
                <w:highlight w:val="none"/>
                <w:lang w:val="en-US" w:eastAsia="zh-CN" w:bidi="ar"/>
              </w:rPr>
              <w:t>69.9</w:t>
            </w:r>
            <w:r>
              <w:rPr>
                <w:rFonts w:hint="eastAsia" w:ascii="宋体" w:hAnsi="宋体" w:eastAsia="宋体" w:cs="宋体"/>
                <w:color w:val="auto"/>
                <w:kern w:val="0"/>
                <w:sz w:val="21"/>
                <w:szCs w:val="21"/>
                <w:highlight w:val="none"/>
                <w:lang w:bidi="ar"/>
              </w:rPr>
              <w:t>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抗弯强度:≥136兆帕(根据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2）弯曲弹性模量≥1.71X10(4次方)兆帕(根据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3）抗冲击性能(0.324kg，1m)压痕直径≤5.40mm无破损(根据GB/T17657-2022)表观密度:≥1.45克/立方厘米（根据GB/T17657-2022）；</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4）表面耐高温性能为:表面无裂纹(根据GB/T17657-2022)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5）表面耐干热:5级无变化(根据GB/T17657-2022)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6）表面耐龟裂性:5级用6倍放大镜观察表面无裂纹(根据GB/T17657-2022)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7）表面耐污染性能：5级无变化(根据GB/T17657-2022)。</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★4、表面易清洁，抑制霉菌生长，应符合 GB/T 24128-2018 标准要求，通过以下6种霉菌的防霉菌性能效果测试，均到达0级（无可见生长）:黑曲霉，球毛壳霉，宛氏拟青霉，绳状青霉，出芽短梗霉，土曲霉。</w:t>
            </w:r>
          </w:p>
          <w:p w14:paraId="76259447">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5、甲醛释放量符合E0级限量要求（甲醛释放量≤0.050mg/m³）。耐磨性能符合</w:t>
            </w:r>
            <w:r>
              <w:rPr>
                <w:rFonts w:hint="eastAsia" w:ascii="宋体" w:hAnsi="宋体" w:eastAsia="宋体" w:cs="宋体"/>
                <w:color w:val="auto"/>
                <w:kern w:val="0"/>
                <w:sz w:val="21"/>
                <w:szCs w:val="21"/>
                <w:highlight w:val="none"/>
                <w:lang w:val="en-US" w:eastAsia="zh-CN" w:bidi="ar"/>
              </w:rPr>
              <w:t>GB/T17657-2022标准。</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bidi="ar"/>
              </w:rPr>
              <w:t>、</w:t>
            </w:r>
            <w:r>
              <w:rPr>
                <w:rFonts w:hint="eastAsia"/>
                <w:color w:val="auto"/>
                <w:highlight w:val="none"/>
                <w:lang w:eastAsia="zh-CN"/>
              </w:rPr>
              <w:t>投标时提供</w:t>
            </w:r>
            <w:r>
              <w:rPr>
                <w:rFonts w:hint="eastAsia" w:ascii="宋体" w:hAnsi="宋体" w:eastAsia="宋体" w:cs="宋体"/>
                <w:color w:val="auto"/>
                <w:kern w:val="0"/>
                <w:sz w:val="21"/>
                <w:szCs w:val="21"/>
                <w:highlight w:val="none"/>
                <w:lang w:bidi="ar"/>
              </w:rPr>
              <w:t>台面10年质保书</w:t>
            </w:r>
            <w:r>
              <w:rPr>
                <w:rFonts w:hint="eastAsia" w:ascii="宋体" w:hAnsi="宋体" w:eastAsia="宋体" w:cs="宋体"/>
                <w:color w:val="auto"/>
                <w:kern w:val="0"/>
                <w:sz w:val="21"/>
                <w:szCs w:val="21"/>
                <w:highlight w:val="none"/>
                <w:lang w:eastAsia="zh-CN" w:bidi="ar"/>
              </w:rPr>
              <w:t>原件</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二、桌身结构规格：</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1、采用90*90*1.5mm优质冷轧扇形钢管，60*30*1.5mm优质冷轧方形钢管，框架连接处采用激光切割榫卯卡扣，扣压拼装的方式。整体框架结构合理，稳定性及承重能力强；</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2、前梁：前梁采用</w:t>
            </w:r>
            <w:r>
              <w:rPr>
                <w:rFonts w:hint="eastAsia" w:ascii="宋体" w:hAnsi="宋体" w:eastAsia="宋体" w:cs="宋体"/>
                <w:color w:val="auto"/>
                <w:kern w:val="0"/>
                <w:sz w:val="21"/>
                <w:szCs w:val="21"/>
                <w:highlight w:val="none"/>
                <w:lang w:eastAsia="zh-CN" w:bidi="ar"/>
              </w:rPr>
              <w:t>90*90*1.5mm</w:t>
            </w:r>
            <w:r>
              <w:rPr>
                <w:rFonts w:hint="eastAsia" w:ascii="宋体" w:hAnsi="宋体" w:eastAsia="宋体" w:cs="宋体"/>
                <w:color w:val="auto"/>
                <w:kern w:val="0"/>
                <w:sz w:val="21"/>
                <w:szCs w:val="21"/>
                <w:highlight w:val="none"/>
                <w:lang w:bidi="ar"/>
              </w:rPr>
              <w:t>优质冷轧扇形钢管，表面酸洗、磷化及高压静电喷涂环氧树脂粉末防护层作耐酸碱耐腐蚀表面处理，其保护层厚度为≥75μm。圆弧设计，安全美观。采用榫卯卡扣的安装方式，安装便捷</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w:t>
            </w:r>
            <w:r>
              <w:rPr>
                <w:rFonts w:hint="eastAsia" w:ascii="宋体" w:hAnsi="宋体" w:eastAsia="宋体" w:cs="宋体"/>
                <w:color w:val="auto"/>
                <w:kern w:val="0"/>
                <w:sz w:val="21"/>
                <w:szCs w:val="21"/>
                <w:highlight w:val="none"/>
                <w:lang w:eastAsia="zh-CN" w:bidi="ar"/>
              </w:rPr>
              <w:t>水分</w:t>
            </w:r>
            <w:r>
              <w:rPr>
                <w:rFonts w:hint="eastAsia" w:ascii="宋体" w:hAnsi="宋体" w:eastAsia="宋体" w:cs="宋体"/>
                <w:color w:val="auto"/>
                <w:kern w:val="0"/>
                <w:sz w:val="21"/>
                <w:szCs w:val="21"/>
                <w:highlight w:val="none"/>
                <w:lang w:bidi="ar"/>
              </w:rPr>
              <w:t>或者试剂渗漏进接缝后出现腐蚀生锈。提高了产品的使用寿命。提高安装效率和实验台的稳定性及承重能力。</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4、活动背板：采用≥1.0mm高品质</w:t>
            </w:r>
            <w:r>
              <w:rPr>
                <w:rFonts w:hint="eastAsia" w:ascii="宋体" w:hAnsi="宋体" w:eastAsia="宋体" w:cs="宋体"/>
                <w:color w:val="auto"/>
                <w:kern w:val="0"/>
                <w:sz w:val="21"/>
                <w:szCs w:val="21"/>
                <w:highlight w:val="none"/>
                <w:lang w:eastAsia="zh-CN" w:bidi="ar"/>
              </w:rPr>
              <w:t>一级冷轧钢板</w:t>
            </w:r>
            <w:r>
              <w:rPr>
                <w:rFonts w:hint="eastAsia" w:ascii="宋体" w:hAnsi="宋体" w:eastAsia="宋体" w:cs="宋体"/>
                <w:color w:val="auto"/>
                <w:kern w:val="0"/>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1877230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37EE2AE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1EED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6" w:hRule="atLeast"/>
        </w:trPr>
        <w:tc>
          <w:tcPr>
            <w:tcW w:w="384" w:type="pct"/>
            <w:shd w:val="clear" w:color="auto" w:fill="auto"/>
            <w:noWrap/>
            <w:vAlign w:val="center"/>
          </w:tcPr>
          <w:p w14:paraId="7BF6582E">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86</w:t>
            </w:r>
          </w:p>
        </w:tc>
        <w:tc>
          <w:tcPr>
            <w:tcW w:w="381" w:type="pct"/>
            <w:shd w:val="clear" w:color="auto" w:fill="auto"/>
            <w:vAlign w:val="center"/>
          </w:tcPr>
          <w:p w14:paraId="461AD33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仪器台3</w:t>
            </w:r>
          </w:p>
        </w:tc>
        <w:tc>
          <w:tcPr>
            <w:tcW w:w="783" w:type="pct"/>
            <w:shd w:val="clear" w:color="auto" w:fill="auto"/>
            <w:vAlign w:val="center"/>
          </w:tcPr>
          <w:p w14:paraId="037987CD">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21728" behindDoc="0" locked="0" layoutInCell="1" allowOverlap="1">
                  <wp:simplePos x="0" y="0"/>
                  <wp:positionH relativeFrom="column">
                    <wp:posOffset>57150</wp:posOffset>
                  </wp:positionH>
                  <wp:positionV relativeFrom="paragraph">
                    <wp:posOffset>4108450</wp:posOffset>
                  </wp:positionV>
                  <wp:extent cx="818515" cy="655955"/>
                  <wp:effectExtent l="0" t="0" r="8255" b="10795"/>
                  <wp:wrapSquare wrapText="bothSides"/>
                  <wp:docPr id="100" name="图片 100" descr="仪器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仪器台"/>
                          <pic:cNvPicPr>
                            <a:picLocks noChangeAspect="1"/>
                          </pic:cNvPicPr>
                        </pic:nvPicPr>
                        <pic:blipFill>
                          <a:blip r:embed="rId31"/>
                          <a:stretch>
                            <a:fillRect/>
                          </a:stretch>
                        </pic:blipFill>
                        <pic:spPr>
                          <a:xfrm>
                            <a:off x="0" y="0"/>
                            <a:ext cx="818515" cy="655955"/>
                          </a:xfrm>
                          <a:prstGeom prst="rect">
                            <a:avLst/>
                          </a:prstGeom>
                        </pic:spPr>
                      </pic:pic>
                    </a:graphicData>
                  </a:graphic>
                </wp:anchor>
              </w:drawing>
            </w:r>
          </w:p>
        </w:tc>
        <w:tc>
          <w:tcPr>
            <w:tcW w:w="2826" w:type="pct"/>
            <w:shd w:val="clear" w:color="auto" w:fill="auto"/>
            <w:vAlign w:val="center"/>
          </w:tcPr>
          <w:p w14:paraId="47EF70A9">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2950*900*850</w:t>
            </w:r>
            <w:r>
              <w:rPr>
                <w:rFonts w:hint="eastAsia" w:ascii="宋体" w:hAnsi="宋体" w:eastAsia="宋体" w:cs="宋体"/>
                <w:color w:val="auto"/>
                <w:kern w:val="0"/>
                <w:sz w:val="21"/>
                <w:szCs w:val="21"/>
                <w:highlight w:val="none"/>
                <w:lang w:val="en-US" w:eastAsia="zh-CN" w:bidi="ar"/>
              </w:rPr>
              <w:t>mm</w:t>
            </w:r>
          </w:p>
          <w:p w14:paraId="446ED24F">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仪器台实芯理化板台面板：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台面采用厚度≥20mm耐腐蚀实芯理化板，耐酸碱耐冲击。</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Cs w:val="21"/>
                <w:highlight w:val="none"/>
                <w:lang w:bidi="ar"/>
              </w:rPr>
              <w:t>台面表面聚氨酯丙烯酸防护涂层，</w:t>
            </w:r>
            <w:r>
              <w:rPr>
                <w:rFonts w:hint="eastAsia" w:ascii="宋体" w:hAnsi="宋体" w:eastAsia="宋体" w:cs="宋体"/>
                <w:color w:val="auto"/>
                <w:kern w:val="0"/>
                <w:szCs w:val="21"/>
                <w:highlight w:val="none"/>
                <w:lang w:eastAsia="zh-CN" w:bidi="ar"/>
              </w:rPr>
              <w:t>成品性能符合GB/T 7911-2024《热固性树脂浸渍纸高压装饰层积板 (HPL)》要求。根据GB/T 17657-2022开展耐干热性能测试</w:t>
            </w:r>
            <w:r>
              <w:rPr>
                <w:rFonts w:hint="eastAsia" w:ascii="宋体" w:hAnsi="宋体" w:eastAsia="宋体" w:cs="宋体"/>
                <w:color w:val="auto"/>
                <w:kern w:val="0"/>
                <w:szCs w:val="21"/>
                <w:highlight w:val="none"/>
                <w:lang w:bidi="ar"/>
              </w:rPr>
              <w:t>，试验条件高温，持续 20 min，试验后表面无开裂、鼓泡、变色、明显压痕等异常现象；板材成型热压压力不低于 7.5 MPa。</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2、台面理化性能参照进行化学性能测试(根据GB/T17657-2022)，通过65%硝酸，85%磷酸，40%氢氧化钠，98%硫酸，99%醋酸，40%氢氟酸6项项实验室常用化学试剂浓度且在室温24h测试条件下覆盖及不覆盖玻板进行测试，检验结果均为“无明显变化”。</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、台面物理特性如下：</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1）面板的拉伸强度:≥</w:t>
            </w:r>
            <w:r>
              <w:rPr>
                <w:rFonts w:hint="eastAsia" w:ascii="宋体" w:hAnsi="宋体" w:eastAsia="宋体" w:cs="宋体"/>
                <w:color w:val="auto"/>
                <w:kern w:val="0"/>
                <w:sz w:val="21"/>
                <w:szCs w:val="21"/>
                <w:highlight w:val="none"/>
                <w:lang w:val="en-US" w:eastAsia="zh-CN" w:bidi="ar"/>
              </w:rPr>
              <w:t>69.9</w:t>
            </w:r>
            <w:r>
              <w:rPr>
                <w:rFonts w:hint="eastAsia" w:ascii="宋体" w:hAnsi="宋体" w:eastAsia="宋体" w:cs="宋体"/>
                <w:color w:val="auto"/>
                <w:kern w:val="0"/>
                <w:sz w:val="21"/>
                <w:szCs w:val="21"/>
                <w:highlight w:val="none"/>
                <w:lang w:bidi="ar"/>
              </w:rPr>
              <w:t>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抗弯强度:≥136兆帕(根据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2）弯曲弹性模量≥1.71X10(4次方)兆帕(根据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3）抗冲击性能(0.324kg，1m)压痕直径≤5.40mm无破损(根据GB/T17657-2022)表观密度:≥1.45克/立方厘米（根据GB/T17657-2022）；</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4）表面耐高温性能为:表面无裂纹(根据GB/T17657-2022)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5）表面耐干热:5级无变化(根据GB/T17657-2022)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6）表面耐龟裂性:5级用6倍放大镜观察表面无裂纹(根据GB/T17657-2022)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7）表面耐污染性能：5级无变化(根据GB/T17657-2022)。</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★4、表面易清洁，抑制霉菌生长，应符合 GB/T 24128-2018 标准要求，通过以下6种霉菌的防霉菌性能效果测试，均到达0级（无可见生长）:黑曲霉，球毛壳霉，宛氏拟青霉，绳状青霉，出芽短梗霉，土曲霉。</w:t>
            </w:r>
          </w:p>
          <w:p w14:paraId="795C58D7">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5、甲醛释放量符合E0级限量要求（甲醛释放量≤0.050mg/m³）。耐磨性能符合GB/T17657-2022标准。</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bidi="ar"/>
              </w:rPr>
              <w:t>、</w:t>
            </w:r>
            <w:r>
              <w:rPr>
                <w:rFonts w:hint="eastAsia"/>
                <w:color w:val="auto"/>
                <w:highlight w:val="none"/>
                <w:lang w:eastAsia="zh-CN"/>
              </w:rPr>
              <w:t>投标时提供</w:t>
            </w:r>
            <w:r>
              <w:rPr>
                <w:rFonts w:hint="eastAsia" w:ascii="宋体" w:hAnsi="宋体" w:eastAsia="宋体" w:cs="宋体"/>
                <w:color w:val="auto"/>
                <w:kern w:val="0"/>
                <w:sz w:val="21"/>
                <w:szCs w:val="21"/>
                <w:highlight w:val="none"/>
                <w:lang w:bidi="ar"/>
              </w:rPr>
              <w:t>台面10年质保书</w:t>
            </w:r>
            <w:r>
              <w:rPr>
                <w:rFonts w:hint="eastAsia" w:ascii="宋体" w:hAnsi="宋体" w:eastAsia="宋体" w:cs="宋体"/>
                <w:color w:val="auto"/>
                <w:kern w:val="0"/>
                <w:sz w:val="21"/>
                <w:szCs w:val="21"/>
                <w:highlight w:val="none"/>
                <w:lang w:eastAsia="zh-CN" w:bidi="ar"/>
              </w:rPr>
              <w:t>原件</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二、桌身结构规格：</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1、采用90*90*1.5mm优质冷轧扇形钢管，60*30*1.5mm优质冷轧方形钢管，框架连接处采用激光切割榫卯卡扣，扣压拼装的方式。整体框架结构合理，稳定性及承重能力强；</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2、前梁：前梁采用</w:t>
            </w:r>
            <w:r>
              <w:rPr>
                <w:rFonts w:hint="eastAsia" w:ascii="宋体" w:hAnsi="宋体" w:eastAsia="宋体" w:cs="宋体"/>
                <w:color w:val="auto"/>
                <w:kern w:val="0"/>
                <w:sz w:val="21"/>
                <w:szCs w:val="21"/>
                <w:highlight w:val="none"/>
                <w:lang w:eastAsia="zh-CN" w:bidi="ar"/>
              </w:rPr>
              <w:t>90*90*1.5mm</w:t>
            </w:r>
            <w:r>
              <w:rPr>
                <w:rFonts w:hint="eastAsia" w:ascii="宋体" w:hAnsi="宋体" w:eastAsia="宋体" w:cs="宋体"/>
                <w:color w:val="auto"/>
                <w:kern w:val="0"/>
                <w:sz w:val="21"/>
                <w:szCs w:val="21"/>
                <w:highlight w:val="none"/>
                <w:lang w:bidi="ar"/>
              </w:rPr>
              <w:t>优质冷轧扇形钢管，表面酸洗、磷化及高压静电喷涂环氧树脂粉末防护层作耐酸碱耐腐蚀表面处理，其保护层厚度为≥75μm。圆弧设计，安全美观。采用榫卯卡扣的安装方式，安装便捷</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w:t>
            </w:r>
            <w:r>
              <w:rPr>
                <w:rFonts w:hint="eastAsia" w:ascii="宋体" w:hAnsi="宋体" w:eastAsia="宋体" w:cs="宋体"/>
                <w:color w:val="auto"/>
                <w:kern w:val="0"/>
                <w:sz w:val="21"/>
                <w:szCs w:val="21"/>
                <w:highlight w:val="none"/>
                <w:lang w:eastAsia="zh-CN" w:bidi="ar"/>
              </w:rPr>
              <w:t>水分</w:t>
            </w:r>
            <w:r>
              <w:rPr>
                <w:rFonts w:hint="eastAsia" w:ascii="宋体" w:hAnsi="宋体" w:eastAsia="宋体" w:cs="宋体"/>
                <w:color w:val="auto"/>
                <w:kern w:val="0"/>
                <w:sz w:val="21"/>
                <w:szCs w:val="21"/>
                <w:highlight w:val="none"/>
                <w:lang w:bidi="ar"/>
              </w:rPr>
              <w:t>或者试剂渗漏进接缝后出现腐蚀生锈。提高了产品的使用寿命。提高安装效率和实验台的稳定性及承重能力。</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4、活动背板：采用≥1.0mm高品质</w:t>
            </w:r>
            <w:r>
              <w:rPr>
                <w:rFonts w:hint="eastAsia" w:ascii="宋体" w:hAnsi="宋体" w:eastAsia="宋体" w:cs="宋体"/>
                <w:color w:val="auto"/>
                <w:kern w:val="0"/>
                <w:sz w:val="21"/>
                <w:szCs w:val="21"/>
                <w:highlight w:val="none"/>
                <w:lang w:eastAsia="zh-CN" w:bidi="ar"/>
              </w:rPr>
              <w:t>一级冷轧钢板</w:t>
            </w:r>
            <w:r>
              <w:rPr>
                <w:rFonts w:hint="eastAsia" w:ascii="宋体" w:hAnsi="宋体" w:eastAsia="宋体" w:cs="宋体"/>
                <w:color w:val="auto"/>
                <w:kern w:val="0"/>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115C175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4FA766B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26B37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4" w:type="pct"/>
            <w:shd w:val="clear" w:color="auto" w:fill="auto"/>
            <w:noWrap/>
            <w:vAlign w:val="center"/>
          </w:tcPr>
          <w:p w14:paraId="717678FB">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87</w:t>
            </w:r>
          </w:p>
        </w:tc>
        <w:tc>
          <w:tcPr>
            <w:tcW w:w="381" w:type="pct"/>
            <w:shd w:val="clear" w:color="auto" w:fill="auto"/>
            <w:vAlign w:val="center"/>
          </w:tcPr>
          <w:p w14:paraId="4EA4341C">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仪器台4</w:t>
            </w:r>
          </w:p>
        </w:tc>
        <w:tc>
          <w:tcPr>
            <w:tcW w:w="783" w:type="pct"/>
            <w:shd w:val="clear" w:color="auto" w:fill="auto"/>
            <w:vAlign w:val="center"/>
          </w:tcPr>
          <w:p w14:paraId="1E57308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22752" behindDoc="0" locked="0" layoutInCell="1" allowOverlap="1">
                  <wp:simplePos x="0" y="0"/>
                  <wp:positionH relativeFrom="column">
                    <wp:posOffset>-28575</wp:posOffset>
                  </wp:positionH>
                  <wp:positionV relativeFrom="paragraph">
                    <wp:posOffset>2136775</wp:posOffset>
                  </wp:positionV>
                  <wp:extent cx="818515" cy="655955"/>
                  <wp:effectExtent l="0" t="0" r="8255" b="10795"/>
                  <wp:wrapSquare wrapText="bothSides"/>
                  <wp:docPr id="101" name="图片 101" descr="仪器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仪器台"/>
                          <pic:cNvPicPr>
                            <a:picLocks noChangeAspect="1"/>
                          </pic:cNvPicPr>
                        </pic:nvPicPr>
                        <pic:blipFill>
                          <a:blip r:embed="rId31"/>
                          <a:stretch>
                            <a:fillRect/>
                          </a:stretch>
                        </pic:blipFill>
                        <pic:spPr>
                          <a:xfrm>
                            <a:off x="0" y="0"/>
                            <a:ext cx="818515" cy="655955"/>
                          </a:xfrm>
                          <a:prstGeom prst="rect">
                            <a:avLst/>
                          </a:prstGeom>
                        </pic:spPr>
                      </pic:pic>
                    </a:graphicData>
                  </a:graphic>
                </wp:anchor>
              </w:drawing>
            </w:r>
          </w:p>
        </w:tc>
        <w:tc>
          <w:tcPr>
            <w:tcW w:w="2826" w:type="pct"/>
            <w:shd w:val="clear" w:color="auto" w:fill="auto"/>
            <w:vAlign w:val="center"/>
          </w:tcPr>
          <w:p w14:paraId="314D34ED">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2400*900*850</w:t>
            </w:r>
            <w:r>
              <w:rPr>
                <w:rFonts w:hint="eastAsia" w:ascii="宋体" w:hAnsi="宋体" w:eastAsia="宋体" w:cs="宋体"/>
                <w:color w:val="auto"/>
                <w:kern w:val="0"/>
                <w:sz w:val="21"/>
                <w:szCs w:val="21"/>
                <w:highlight w:val="none"/>
                <w:lang w:val="en-US" w:eastAsia="zh-CN" w:bidi="ar"/>
              </w:rPr>
              <w:t>mm</w:t>
            </w:r>
          </w:p>
          <w:p w14:paraId="4F21B8D6">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仪器台实芯理化板台面板：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台面采用厚度≥20mm耐腐蚀实芯理化板，耐酸碱耐冲击。</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Cs w:val="21"/>
                <w:highlight w:val="none"/>
                <w:lang w:bidi="ar"/>
              </w:rPr>
              <w:t>台面表面聚氨酯丙烯酸防护涂层，</w:t>
            </w:r>
            <w:r>
              <w:rPr>
                <w:rFonts w:hint="eastAsia" w:ascii="宋体" w:hAnsi="宋体" w:eastAsia="宋体" w:cs="宋体"/>
                <w:color w:val="auto"/>
                <w:kern w:val="0"/>
                <w:szCs w:val="21"/>
                <w:highlight w:val="none"/>
                <w:lang w:eastAsia="zh-CN" w:bidi="ar"/>
              </w:rPr>
              <w:t>成品性能符合GB/T 7911-2024《热固性树脂浸渍纸高压装饰层积板 (HPL)》要求。根据GB/T 17657-2022开展耐干热性能测试</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试验条件高温，持续 20 min，试验后表面无开裂、鼓泡、变色、明显压痕等异常现象；板材成型热压压力不低于 7.5 MPa。</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2、台面理化性能参照进行化学性能测试(根据GB/T17657-2022)，通过65%硝酸，85%磷酸，40%氢氧化钠，98%硫酸，99%醋酸，40%氢氟酸6项项实验室常用化学试剂浓度且在室温24h测试条件下覆盖及不覆盖玻板进行测试，检验结果均为“无明显变化”。</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、台面物理特性如下：</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1）面板的拉伸强度:≥</w:t>
            </w:r>
            <w:r>
              <w:rPr>
                <w:rFonts w:hint="eastAsia" w:ascii="宋体" w:hAnsi="宋体" w:eastAsia="宋体" w:cs="宋体"/>
                <w:color w:val="auto"/>
                <w:kern w:val="0"/>
                <w:sz w:val="21"/>
                <w:szCs w:val="21"/>
                <w:highlight w:val="none"/>
                <w:lang w:val="en-US" w:eastAsia="zh-CN" w:bidi="ar"/>
              </w:rPr>
              <w:t>69.9</w:t>
            </w:r>
            <w:r>
              <w:rPr>
                <w:rFonts w:hint="eastAsia" w:ascii="宋体" w:hAnsi="宋体" w:eastAsia="宋体" w:cs="宋体"/>
                <w:color w:val="auto"/>
                <w:kern w:val="0"/>
                <w:sz w:val="21"/>
                <w:szCs w:val="21"/>
                <w:highlight w:val="none"/>
                <w:lang w:bidi="ar"/>
              </w:rPr>
              <w:t>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抗弯强度:≥136兆帕(根据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2）弯曲弹性模量≥1.71X10(4次方)兆帕(根据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3）抗冲击性能(0.324kg，1m)压痕直径≤5.40mm无破损(根据GB/T17657-2022)表观密度:≥1.45克/立方厘米（根据GB/T17657-2022）；</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4）表面耐高温性能为:表面无裂纹(根据GB/T17657-2022)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5）表面耐干热:5级无变化(根据GB/T17657-2022)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6）表面耐龟裂性:5级用6倍放大镜观察表面无裂纹(根据GB/T17657-2022)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7）表面耐污染性能：5级无变化(根据GB/T17657-2022)。</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★4、表面易清洁，抑制霉菌生长，应符合 GB/T 24128-2018 标准要求，通过以下6种霉菌的防霉菌性能效果测试，均到达0级（无可见生长）:黑曲霉，球毛壳霉，宛氏拟青霉，绳状青霉，出芽短梗霉，土曲霉。</w:t>
            </w:r>
          </w:p>
          <w:p w14:paraId="21E1E8D6">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5、甲醛释放量符合E0级限量要求（甲醛释放量≤0.050mg/m³）。耐磨性能符合</w:t>
            </w:r>
            <w:r>
              <w:rPr>
                <w:rFonts w:hint="eastAsia" w:ascii="宋体" w:hAnsi="宋体" w:eastAsia="宋体" w:cs="宋体"/>
                <w:color w:val="auto"/>
                <w:kern w:val="0"/>
                <w:sz w:val="21"/>
                <w:szCs w:val="21"/>
                <w:highlight w:val="none"/>
                <w:lang w:val="en-US" w:eastAsia="zh-CN" w:bidi="ar"/>
              </w:rPr>
              <w:t>GB/T17657-2022标准</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bidi="ar"/>
              </w:rPr>
              <w:t>、</w:t>
            </w:r>
            <w:r>
              <w:rPr>
                <w:rFonts w:hint="eastAsia"/>
                <w:color w:val="auto"/>
                <w:highlight w:val="none"/>
                <w:lang w:eastAsia="zh-CN"/>
              </w:rPr>
              <w:t>投标时提供</w:t>
            </w:r>
            <w:r>
              <w:rPr>
                <w:rFonts w:hint="eastAsia" w:ascii="宋体" w:hAnsi="宋体" w:eastAsia="宋体" w:cs="宋体"/>
                <w:color w:val="auto"/>
                <w:kern w:val="0"/>
                <w:sz w:val="21"/>
                <w:szCs w:val="21"/>
                <w:highlight w:val="none"/>
                <w:lang w:bidi="ar"/>
              </w:rPr>
              <w:t>台面10年质保书</w:t>
            </w:r>
            <w:r>
              <w:rPr>
                <w:rFonts w:hint="eastAsia" w:ascii="宋体" w:hAnsi="宋体" w:eastAsia="宋体" w:cs="宋体"/>
                <w:color w:val="auto"/>
                <w:kern w:val="0"/>
                <w:sz w:val="21"/>
                <w:szCs w:val="21"/>
                <w:highlight w:val="none"/>
                <w:lang w:eastAsia="zh-CN" w:bidi="ar"/>
              </w:rPr>
              <w:t>原件</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二、桌身结构规格：</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1、采用90*90*1.5mm优质冷轧扇形钢管，60*30*1.5mm优质冷轧方形钢管，框架连接处采用激光切割榫卯卡扣，扣压拼装的方式。整体框架结构合理，稳定性及承重能力强；</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2、前梁：前梁采用</w:t>
            </w:r>
            <w:r>
              <w:rPr>
                <w:rFonts w:hint="eastAsia" w:ascii="宋体" w:hAnsi="宋体" w:eastAsia="宋体" w:cs="宋体"/>
                <w:color w:val="auto"/>
                <w:kern w:val="0"/>
                <w:sz w:val="21"/>
                <w:szCs w:val="21"/>
                <w:highlight w:val="none"/>
                <w:lang w:eastAsia="zh-CN" w:bidi="ar"/>
              </w:rPr>
              <w:t>90*90*1.5mm</w:t>
            </w:r>
            <w:r>
              <w:rPr>
                <w:rFonts w:hint="eastAsia" w:ascii="宋体" w:hAnsi="宋体" w:eastAsia="宋体" w:cs="宋体"/>
                <w:color w:val="auto"/>
                <w:kern w:val="0"/>
                <w:sz w:val="21"/>
                <w:szCs w:val="21"/>
                <w:highlight w:val="none"/>
                <w:lang w:bidi="ar"/>
              </w:rPr>
              <w:t>优质冷轧扇形钢管，表面酸洗、磷化及高压静电喷涂环氧树脂粉末防护层作耐酸碱耐腐蚀表面处理，其保护层厚度为≥75μm。圆弧设计，安全美观。采用榫卯卡扣的安装方式，安装便捷</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w:t>
            </w:r>
            <w:r>
              <w:rPr>
                <w:rFonts w:hint="eastAsia" w:ascii="宋体" w:hAnsi="宋体" w:eastAsia="宋体" w:cs="宋体"/>
                <w:color w:val="auto"/>
                <w:kern w:val="0"/>
                <w:sz w:val="21"/>
                <w:szCs w:val="21"/>
                <w:highlight w:val="none"/>
                <w:lang w:eastAsia="zh-CN" w:bidi="ar"/>
              </w:rPr>
              <w:t>水分</w:t>
            </w:r>
            <w:r>
              <w:rPr>
                <w:rFonts w:hint="eastAsia" w:ascii="宋体" w:hAnsi="宋体" w:eastAsia="宋体" w:cs="宋体"/>
                <w:color w:val="auto"/>
                <w:kern w:val="0"/>
                <w:sz w:val="21"/>
                <w:szCs w:val="21"/>
                <w:highlight w:val="none"/>
                <w:lang w:bidi="ar"/>
              </w:rPr>
              <w:t>或者试剂渗漏进接缝后出现腐蚀生锈。提高了产品的使用寿命。提高安装效率和实验台的稳定性及承重能力。</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4、活动背板：采用≥1.0mm高品质</w:t>
            </w:r>
            <w:r>
              <w:rPr>
                <w:rFonts w:hint="eastAsia" w:ascii="宋体" w:hAnsi="宋体" w:eastAsia="宋体" w:cs="宋体"/>
                <w:color w:val="auto"/>
                <w:kern w:val="0"/>
                <w:sz w:val="21"/>
                <w:szCs w:val="21"/>
                <w:highlight w:val="none"/>
                <w:lang w:eastAsia="zh-CN" w:bidi="ar"/>
              </w:rPr>
              <w:t>一级冷轧钢板</w:t>
            </w:r>
            <w:r>
              <w:rPr>
                <w:rFonts w:hint="eastAsia" w:ascii="宋体" w:hAnsi="宋体" w:eastAsia="宋体" w:cs="宋体"/>
                <w:color w:val="auto"/>
                <w:kern w:val="0"/>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1C33855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5C97EDF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1225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4" w:type="pct"/>
            <w:shd w:val="clear" w:color="auto" w:fill="auto"/>
            <w:noWrap/>
            <w:vAlign w:val="center"/>
          </w:tcPr>
          <w:p w14:paraId="36C475BB">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88</w:t>
            </w:r>
          </w:p>
        </w:tc>
        <w:tc>
          <w:tcPr>
            <w:tcW w:w="381" w:type="pct"/>
            <w:shd w:val="clear" w:color="auto" w:fill="auto"/>
            <w:vAlign w:val="center"/>
          </w:tcPr>
          <w:p w14:paraId="5DDD44B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仪器台5</w:t>
            </w:r>
          </w:p>
        </w:tc>
        <w:tc>
          <w:tcPr>
            <w:tcW w:w="783" w:type="pct"/>
            <w:shd w:val="clear" w:color="auto" w:fill="auto"/>
            <w:vAlign w:val="center"/>
          </w:tcPr>
          <w:p w14:paraId="0CA7786D">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23776" behindDoc="0" locked="0" layoutInCell="1" allowOverlap="1">
                  <wp:simplePos x="0" y="0"/>
                  <wp:positionH relativeFrom="column">
                    <wp:posOffset>133350</wp:posOffset>
                  </wp:positionH>
                  <wp:positionV relativeFrom="paragraph">
                    <wp:posOffset>669925</wp:posOffset>
                  </wp:positionV>
                  <wp:extent cx="818515" cy="655955"/>
                  <wp:effectExtent l="0" t="0" r="8255" b="10795"/>
                  <wp:wrapSquare wrapText="bothSides"/>
                  <wp:docPr id="102" name="图片 102" descr="仪器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仪器台"/>
                          <pic:cNvPicPr>
                            <a:picLocks noChangeAspect="1"/>
                          </pic:cNvPicPr>
                        </pic:nvPicPr>
                        <pic:blipFill>
                          <a:blip r:embed="rId31"/>
                          <a:stretch>
                            <a:fillRect/>
                          </a:stretch>
                        </pic:blipFill>
                        <pic:spPr>
                          <a:xfrm>
                            <a:off x="0" y="0"/>
                            <a:ext cx="818515" cy="655955"/>
                          </a:xfrm>
                          <a:prstGeom prst="rect">
                            <a:avLst/>
                          </a:prstGeom>
                        </pic:spPr>
                      </pic:pic>
                    </a:graphicData>
                  </a:graphic>
                </wp:anchor>
              </w:drawing>
            </w:r>
          </w:p>
        </w:tc>
        <w:tc>
          <w:tcPr>
            <w:tcW w:w="2826" w:type="pct"/>
            <w:shd w:val="clear" w:color="auto" w:fill="auto"/>
            <w:vAlign w:val="center"/>
          </w:tcPr>
          <w:p w14:paraId="54C56404">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3000*900*850</w:t>
            </w:r>
            <w:r>
              <w:rPr>
                <w:rFonts w:hint="eastAsia" w:ascii="宋体" w:hAnsi="宋体" w:eastAsia="宋体" w:cs="宋体"/>
                <w:color w:val="auto"/>
                <w:kern w:val="0"/>
                <w:sz w:val="21"/>
                <w:szCs w:val="21"/>
                <w:highlight w:val="none"/>
                <w:lang w:val="en-US" w:eastAsia="zh-CN" w:bidi="ar"/>
              </w:rPr>
              <w:t>mm</w:t>
            </w:r>
          </w:p>
          <w:p w14:paraId="758F26D3">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仪器台实芯理化板台面板：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台面采用厚度≥20mm耐腐蚀实芯理化板，耐酸碱耐冲击。</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Cs w:val="21"/>
                <w:highlight w:val="none"/>
                <w:lang w:bidi="ar"/>
              </w:rPr>
              <w:t>台面表面聚氨酯丙烯酸防护涂层，</w:t>
            </w:r>
            <w:r>
              <w:rPr>
                <w:rFonts w:hint="eastAsia" w:ascii="宋体" w:hAnsi="宋体" w:eastAsia="宋体" w:cs="宋体"/>
                <w:color w:val="auto"/>
                <w:kern w:val="0"/>
                <w:szCs w:val="21"/>
                <w:highlight w:val="none"/>
                <w:lang w:eastAsia="zh-CN" w:bidi="ar"/>
              </w:rPr>
              <w:t>成品性能符合GB/T 7911-2024《热固性树脂浸渍纸高压装饰层积板 (HPL)》要求。根据GB/T 17657-2022开展耐干热性能测试</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试验条件高温，持续 20 min，试验后表面无开裂、鼓泡、变色、明显压痕等异常现象；板材成型热压压力不低于 7.5 MPa。</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2、台面理化性能参照进行化学性能测试(根据GB/T17657-2022)，通过65%硝酸，85%磷酸，40%氢氧化钠，98%硫酸，99%醋酸，40%氢氟酸6项项实验室常用化学试剂浓度且在室温24h测试条件下覆盖及不覆盖玻板进行测试，检验结果均为“无明显变化”。</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、台面物理特性如下：</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1）面板的拉伸强度:≥</w:t>
            </w:r>
            <w:r>
              <w:rPr>
                <w:rFonts w:hint="eastAsia" w:ascii="宋体" w:hAnsi="宋体" w:eastAsia="宋体" w:cs="宋体"/>
                <w:color w:val="auto"/>
                <w:kern w:val="0"/>
                <w:sz w:val="21"/>
                <w:szCs w:val="21"/>
                <w:highlight w:val="none"/>
                <w:lang w:val="en-US" w:eastAsia="zh-CN" w:bidi="ar"/>
              </w:rPr>
              <w:t>69.9</w:t>
            </w:r>
            <w:r>
              <w:rPr>
                <w:rFonts w:hint="eastAsia" w:ascii="宋体" w:hAnsi="宋体" w:eastAsia="宋体" w:cs="宋体"/>
                <w:color w:val="auto"/>
                <w:kern w:val="0"/>
                <w:sz w:val="21"/>
                <w:szCs w:val="21"/>
                <w:highlight w:val="none"/>
                <w:lang w:bidi="ar"/>
              </w:rPr>
              <w:t>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抗弯强度:≥136兆帕(根据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2）弯曲弹性模量≥1.71X10(4次方)兆帕(根据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3）抗冲击性能(0.324kg，1m)压痕直径≤5.40mm无破损(根据GB/T17657-2022)表观密度:≥1.45克/立方厘米（根据GB/T17657-2022）；</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4）表面耐高温性能为:表面无裂纹(根据GB/T17657-2022)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5）表面耐干热:5级无变化(根据GB/T17657-2022)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6）表面耐龟裂性:5级用6倍放大镜观察表面无裂纹(根据GB/T17657-2022)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7）表面耐污染性能：5级无变化(根据GB/T17657-2022)。</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★4、表面易清洁，抑制霉菌生长，应符合 GB/T 24128-2018 标准要求，通过以下6种霉菌的防霉菌性能效果测试，均到达0级（无可见生长）:黑曲霉，球毛壳霉，宛氏拟青霉，绳状青霉，出芽短梗霉，土曲霉。</w:t>
            </w:r>
          </w:p>
          <w:p w14:paraId="2B1E769F">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5、甲醛释放量符合E0级限量要求（甲醛释放量≤0.050mg/m³）。耐磨性能符合</w:t>
            </w:r>
            <w:r>
              <w:rPr>
                <w:rFonts w:hint="eastAsia" w:ascii="宋体" w:hAnsi="宋体" w:eastAsia="宋体" w:cs="宋体"/>
                <w:color w:val="auto"/>
                <w:kern w:val="0"/>
                <w:sz w:val="21"/>
                <w:szCs w:val="21"/>
                <w:highlight w:val="none"/>
                <w:lang w:val="en-US" w:eastAsia="zh-CN" w:bidi="ar"/>
              </w:rPr>
              <w:t>GB/T17657-2022标准。</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bidi="ar"/>
              </w:rPr>
              <w:t>、</w:t>
            </w:r>
            <w:r>
              <w:rPr>
                <w:rFonts w:hint="eastAsia"/>
                <w:color w:val="auto"/>
                <w:highlight w:val="none"/>
                <w:lang w:eastAsia="zh-CN"/>
              </w:rPr>
              <w:t>投标时提供</w:t>
            </w:r>
            <w:r>
              <w:rPr>
                <w:rFonts w:hint="eastAsia" w:ascii="宋体" w:hAnsi="宋体" w:eastAsia="宋体" w:cs="宋体"/>
                <w:color w:val="auto"/>
                <w:kern w:val="0"/>
                <w:sz w:val="21"/>
                <w:szCs w:val="21"/>
                <w:highlight w:val="none"/>
                <w:lang w:bidi="ar"/>
              </w:rPr>
              <w:t>台面10年质保书</w:t>
            </w:r>
            <w:r>
              <w:rPr>
                <w:rFonts w:hint="eastAsia" w:ascii="宋体" w:hAnsi="宋体" w:eastAsia="宋体" w:cs="宋体"/>
                <w:color w:val="auto"/>
                <w:kern w:val="0"/>
                <w:sz w:val="21"/>
                <w:szCs w:val="21"/>
                <w:highlight w:val="none"/>
                <w:lang w:eastAsia="zh-CN" w:bidi="ar"/>
              </w:rPr>
              <w:t>原件</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二、桌身结构规格：</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1、采用90*90*1.5mm优质冷轧扇形钢管，60*30*1.5mm优质冷轧方形钢管，框架连接处采用激光切割榫卯卡扣，扣压拼装的方式。整体框架结构合理，稳定性及承重能力强；</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2、前梁：前梁采用</w:t>
            </w:r>
            <w:r>
              <w:rPr>
                <w:rFonts w:hint="eastAsia" w:ascii="宋体" w:hAnsi="宋体" w:eastAsia="宋体" w:cs="宋体"/>
                <w:color w:val="auto"/>
                <w:kern w:val="0"/>
                <w:sz w:val="21"/>
                <w:szCs w:val="21"/>
                <w:highlight w:val="none"/>
                <w:lang w:eastAsia="zh-CN" w:bidi="ar"/>
              </w:rPr>
              <w:t>90*90*1.5mm</w:t>
            </w:r>
            <w:r>
              <w:rPr>
                <w:rFonts w:hint="eastAsia" w:ascii="宋体" w:hAnsi="宋体" w:eastAsia="宋体" w:cs="宋体"/>
                <w:color w:val="auto"/>
                <w:kern w:val="0"/>
                <w:sz w:val="21"/>
                <w:szCs w:val="21"/>
                <w:highlight w:val="none"/>
                <w:lang w:bidi="ar"/>
              </w:rPr>
              <w:t>优质冷轧扇形钢管，表面酸洗、磷化及高压静电喷涂环氧树脂粉末防护层作耐酸碱耐腐蚀表面处理，其保护层厚度为≥75μm。圆弧设计，安全美观。采用榫卯卡扣的安装方式，安装便捷</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w:t>
            </w:r>
            <w:r>
              <w:rPr>
                <w:rFonts w:hint="eastAsia" w:ascii="宋体" w:hAnsi="宋体" w:eastAsia="宋体" w:cs="宋体"/>
                <w:color w:val="auto"/>
                <w:kern w:val="0"/>
                <w:sz w:val="21"/>
                <w:szCs w:val="21"/>
                <w:highlight w:val="none"/>
                <w:lang w:eastAsia="zh-CN" w:bidi="ar"/>
              </w:rPr>
              <w:t>水分</w:t>
            </w:r>
            <w:r>
              <w:rPr>
                <w:rFonts w:hint="eastAsia" w:ascii="宋体" w:hAnsi="宋体" w:eastAsia="宋体" w:cs="宋体"/>
                <w:color w:val="auto"/>
                <w:kern w:val="0"/>
                <w:sz w:val="21"/>
                <w:szCs w:val="21"/>
                <w:highlight w:val="none"/>
                <w:lang w:bidi="ar"/>
              </w:rPr>
              <w:t>或者试剂渗漏进接缝后出现腐蚀生锈。提高了产品的使用寿命。提高安装效率和实验台的稳定性及承重能力。</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4、活动背板：采用≥1.0mm高品质</w:t>
            </w:r>
            <w:r>
              <w:rPr>
                <w:rFonts w:hint="eastAsia" w:ascii="宋体" w:hAnsi="宋体" w:eastAsia="宋体" w:cs="宋体"/>
                <w:color w:val="auto"/>
                <w:kern w:val="0"/>
                <w:sz w:val="21"/>
                <w:szCs w:val="21"/>
                <w:highlight w:val="none"/>
                <w:lang w:eastAsia="zh-CN" w:bidi="ar"/>
              </w:rPr>
              <w:t>一级冷轧钢板</w:t>
            </w:r>
            <w:r>
              <w:rPr>
                <w:rFonts w:hint="eastAsia" w:ascii="宋体" w:hAnsi="宋体" w:eastAsia="宋体" w:cs="宋体"/>
                <w:color w:val="auto"/>
                <w:kern w:val="0"/>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6FD38087">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6060DB36">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424C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2" w:hRule="atLeast"/>
        </w:trPr>
        <w:tc>
          <w:tcPr>
            <w:tcW w:w="384" w:type="pct"/>
            <w:shd w:val="clear" w:color="auto" w:fill="auto"/>
            <w:noWrap/>
            <w:vAlign w:val="center"/>
          </w:tcPr>
          <w:p w14:paraId="70E4F113">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89</w:t>
            </w:r>
          </w:p>
        </w:tc>
        <w:tc>
          <w:tcPr>
            <w:tcW w:w="381" w:type="pct"/>
            <w:shd w:val="clear" w:color="auto" w:fill="auto"/>
            <w:vAlign w:val="center"/>
          </w:tcPr>
          <w:p w14:paraId="0B09A17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仪器台6</w:t>
            </w:r>
          </w:p>
        </w:tc>
        <w:tc>
          <w:tcPr>
            <w:tcW w:w="783" w:type="pct"/>
            <w:shd w:val="clear" w:color="auto" w:fill="auto"/>
            <w:vAlign w:val="center"/>
          </w:tcPr>
          <w:p w14:paraId="473C0AB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24800" behindDoc="0" locked="0" layoutInCell="1" allowOverlap="1">
                  <wp:simplePos x="0" y="0"/>
                  <wp:positionH relativeFrom="column">
                    <wp:posOffset>47625</wp:posOffset>
                  </wp:positionH>
                  <wp:positionV relativeFrom="paragraph">
                    <wp:posOffset>3605530</wp:posOffset>
                  </wp:positionV>
                  <wp:extent cx="818515" cy="655955"/>
                  <wp:effectExtent l="0" t="0" r="8255" b="10795"/>
                  <wp:wrapSquare wrapText="bothSides"/>
                  <wp:docPr id="103" name="图片 103" descr="仪器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仪器台"/>
                          <pic:cNvPicPr>
                            <a:picLocks noChangeAspect="1"/>
                          </pic:cNvPicPr>
                        </pic:nvPicPr>
                        <pic:blipFill>
                          <a:blip r:embed="rId31"/>
                          <a:stretch>
                            <a:fillRect/>
                          </a:stretch>
                        </pic:blipFill>
                        <pic:spPr>
                          <a:xfrm>
                            <a:off x="0" y="0"/>
                            <a:ext cx="818515" cy="655955"/>
                          </a:xfrm>
                          <a:prstGeom prst="rect">
                            <a:avLst/>
                          </a:prstGeom>
                        </pic:spPr>
                      </pic:pic>
                    </a:graphicData>
                  </a:graphic>
                </wp:anchor>
              </w:drawing>
            </w:r>
          </w:p>
        </w:tc>
        <w:tc>
          <w:tcPr>
            <w:tcW w:w="2826" w:type="pct"/>
            <w:shd w:val="clear" w:color="auto" w:fill="auto"/>
            <w:vAlign w:val="center"/>
          </w:tcPr>
          <w:p w14:paraId="2C4101A9">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4200*900*850</w:t>
            </w:r>
            <w:r>
              <w:rPr>
                <w:rFonts w:hint="eastAsia" w:ascii="宋体" w:hAnsi="宋体" w:eastAsia="宋体" w:cs="宋体"/>
                <w:color w:val="auto"/>
                <w:kern w:val="0"/>
                <w:sz w:val="21"/>
                <w:szCs w:val="21"/>
                <w:highlight w:val="none"/>
                <w:lang w:val="en-US" w:eastAsia="zh-CN" w:bidi="ar"/>
              </w:rPr>
              <w:t>mm</w:t>
            </w:r>
          </w:p>
          <w:p w14:paraId="5CCD9ED1">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仪器台实芯理化板台面板：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台面采用厚度≥20mm耐腐蚀实芯理化板，耐酸碱耐冲击。</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Cs w:val="21"/>
                <w:highlight w:val="none"/>
                <w:lang w:bidi="ar"/>
              </w:rPr>
              <w:t>台面表面聚氨酯丙烯酸防护涂层，</w:t>
            </w:r>
            <w:r>
              <w:rPr>
                <w:rFonts w:hint="eastAsia" w:ascii="宋体" w:hAnsi="宋体" w:eastAsia="宋体" w:cs="宋体"/>
                <w:color w:val="auto"/>
                <w:kern w:val="0"/>
                <w:szCs w:val="21"/>
                <w:highlight w:val="none"/>
                <w:lang w:eastAsia="zh-CN" w:bidi="ar"/>
              </w:rPr>
              <w:t>成品性能符合GB/T 7911-2024《热固性树脂浸渍纸高压装饰层积板 (HPL)》要求。根据GB/T 17657-2022开展耐干热性能测试</w:t>
            </w:r>
            <w:r>
              <w:rPr>
                <w:rFonts w:hint="eastAsia" w:ascii="宋体" w:hAnsi="宋体" w:eastAsia="宋体" w:cs="宋体"/>
                <w:color w:val="auto"/>
                <w:kern w:val="0"/>
                <w:szCs w:val="21"/>
                <w:highlight w:val="none"/>
                <w:lang w:bidi="ar"/>
              </w:rPr>
              <w:t>，试验条件高温，持续 20 min，试验后表面无开裂、鼓泡、变色、明显压痕等异常现象；板材成型热压压力不低于 7.5 MPa。</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2、台面理化性能参照进行化学性能测试(根据GB/T17657-2022)，通过65%硝酸，85%磷酸，40%氢氧化钠，98%硫酸，99%醋酸，40%氢氟酸6项项实验室常用化学试剂浓度且在室温24h测试条件下覆盖及不覆盖玻板进行测试，检验结果均为“无明显变化”。</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、台面物理特性如下：</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1）面板的拉伸强度:≥</w:t>
            </w:r>
            <w:r>
              <w:rPr>
                <w:rFonts w:hint="eastAsia" w:ascii="宋体" w:hAnsi="宋体" w:eastAsia="宋体" w:cs="宋体"/>
                <w:color w:val="auto"/>
                <w:kern w:val="0"/>
                <w:sz w:val="21"/>
                <w:szCs w:val="21"/>
                <w:highlight w:val="none"/>
                <w:lang w:val="en-US" w:eastAsia="zh-CN" w:bidi="ar"/>
              </w:rPr>
              <w:t>69.9</w:t>
            </w:r>
            <w:r>
              <w:rPr>
                <w:rFonts w:hint="eastAsia" w:ascii="宋体" w:hAnsi="宋体" w:eastAsia="宋体" w:cs="宋体"/>
                <w:color w:val="auto"/>
                <w:kern w:val="0"/>
                <w:sz w:val="21"/>
                <w:szCs w:val="21"/>
                <w:highlight w:val="none"/>
                <w:lang w:bidi="ar"/>
              </w:rPr>
              <w:t>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抗弯强度:≥136兆帕(根据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2）弯曲弹性模量≥1.71X10(4次方)兆帕(根据</w:t>
            </w:r>
            <w:r>
              <w:rPr>
                <w:rFonts w:hint="eastAsia" w:ascii="宋体" w:hAnsi="宋体" w:eastAsia="宋体" w:cs="宋体"/>
                <w:color w:val="auto"/>
                <w:kern w:val="0"/>
                <w:szCs w:val="21"/>
                <w:highlight w:val="none"/>
                <w:lang w:bidi="ar"/>
              </w:rPr>
              <w:t>GB/T 17657-2022</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3）抗冲击性能(0.324kg，1m)压痕直径≤5.40mm无破损(根据GB/T17657-2022)表观密度:≥1.45克/立方厘米（根据GB/T17657-2022）；</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4）表面耐高温性能为:表面无裂纹(根据GB/T17657-2022)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5）表面耐干热:5级无变化(根据GB/T17657-2022)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6）表面耐龟裂性:5级用6倍放大镜观察表面无裂纹(根据GB/T17657-2022)</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7）表面耐污染性能：5级无变化(根据GB/T17657-2022)。</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★4、表面易清洁，抑制霉菌生长，应符合 GB/T 24128-2018 标准要求，通过以下6种霉菌的防霉菌性能效果测试，均到达0级（无可见生长）:黑曲霉，球毛壳霉，宛氏拟青霉，绳状青霉，出芽短梗霉，土曲霉。</w:t>
            </w:r>
          </w:p>
          <w:p w14:paraId="7354C2C0">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5、甲醛释放量符合E0级限量要求（甲醛释放量≤0.050mg/m³）。耐磨性能符合</w:t>
            </w:r>
            <w:r>
              <w:rPr>
                <w:rFonts w:hint="eastAsia" w:ascii="宋体" w:hAnsi="宋体" w:eastAsia="宋体" w:cs="宋体"/>
                <w:color w:val="auto"/>
                <w:kern w:val="0"/>
                <w:sz w:val="21"/>
                <w:szCs w:val="21"/>
                <w:highlight w:val="none"/>
                <w:lang w:val="en-US" w:eastAsia="zh-CN" w:bidi="ar"/>
              </w:rPr>
              <w:t>GB/T17657-2022标准</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bidi="ar"/>
              </w:rPr>
              <w:t>、</w:t>
            </w:r>
            <w:r>
              <w:rPr>
                <w:rFonts w:hint="eastAsia"/>
                <w:color w:val="auto"/>
                <w:highlight w:val="none"/>
                <w:lang w:eastAsia="zh-CN"/>
              </w:rPr>
              <w:t>投标时提供</w:t>
            </w:r>
            <w:r>
              <w:rPr>
                <w:rFonts w:hint="eastAsia" w:ascii="宋体" w:hAnsi="宋体" w:eastAsia="宋体" w:cs="宋体"/>
                <w:color w:val="auto"/>
                <w:kern w:val="0"/>
                <w:sz w:val="21"/>
                <w:szCs w:val="21"/>
                <w:highlight w:val="none"/>
                <w:lang w:bidi="ar"/>
              </w:rPr>
              <w:t>台面10年质保书</w:t>
            </w:r>
            <w:r>
              <w:rPr>
                <w:rFonts w:hint="eastAsia" w:ascii="宋体" w:hAnsi="宋体" w:eastAsia="宋体" w:cs="宋体"/>
                <w:color w:val="auto"/>
                <w:kern w:val="0"/>
                <w:sz w:val="21"/>
                <w:szCs w:val="21"/>
                <w:highlight w:val="none"/>
                <w:lang w:eastAsia="zh-CN" w:bidi="ar"/>
              </w:rPr>
              <w:t>原件</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二、桌身结构规格：</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eastAsia="zh-CN" w:bidi="ar"/>
              </w:rPr>
              <w:t>1、采用90*90*1.5mm优质冷轧扇形钢管，60*30*1.5mm优质冷轧方形钢管，框架连接处采用激光切割榫卯卡扣，扣压拼装的方式。整体框架结构合理，稳定性及承重能力强；</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2、前梁：前梁采用</w:t>
            </w:r>
            <w:r>
              <w:rPr>
                <w:rFonts w:hint="eastAsia" w:ascii="宋体" w:hAnsi="宋体" w:eastAsia="宋体" w:cs="宋体"/>
                <w:color w:val="auto"/>
                <w:kern w:val="0"/>
                <w:sz w:val="21"/>
                <w:szCs w:val="21"/>
                <w:highlight w:val="none"/>
                <w:lang w:eastAsia="zh-CN" w:bidi="ar"/>
              </w:rPr>
              <w:t>90*90*1.5mm</w:t>
            </w:r>
            <w:r>
              <w:rPr>
                <w:rFonts w:hint="eastAsia" w:ascii="宋体" w:hAnsi="宋体" w:eastAsia="宋体" w:cs="宋体"/>
                <w:color w:val="auto"/>
                <w:kern w:val="0"/>
                <w:sz w:val="21"/>
                <w:szCs w:val="21"/>
                <w:highlight w:val="none"/>
                <w:lang w:bidi="ar"/>
              </w:rPr>
              <w:t>优质冷轧扇形钢管，表面酸洗、磷化及高压静电喷涂环氧树脂粉末防护层作耐酸碱耐腐蚀表面处理，其保护层厚度为≥75μm。圆弧设计，安全美观。采用榫卯卡扣的安装方式，安装便捷</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w:t>
            </w:r>
            <w:r>
              <w:rPr>
                <w:rFonts w:hint="eastAsia" w:ascii="宋体" w:hAnsi="宋体" w:eastAsia="宋体" w:cs="宋体"/>
                <w:color w:val="auto"/>
                <w:kern w:val="0"/>
                <w:sz w:val="21"/>
                <w:szCs w:val="21"/>
                <w:highlight w:val="none"/>
                <w:lang w:eastAsia="zh-CN" w:bidi="ar"/>
              </w:rPr>
              <w:t>水分</w:t>
            </w:r>
            <w:r>
              <w:rPr>
                <w:rFonts w:hint="eastAsia" w:ascii="宋体" w:hAnsi="宋体" w:eastAsia="宋体" w:cs="宋体"/>
                <w:color w:val="auto"/>
                <w:kern w:val="0"/>
                <w:sz w:val="21"/>
                <w:szCs w:val="21"/>
                <w:highlight w:val="none"/>
                <w:lang w:bidi="ar"/>
              </w:rPr>
              <w:t>或者试剂渗漏进接缝后出现腐蚀生锈。提高了产品的使用寿命。提高安装效率和实验台的稳定性及承重能力。</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4、活动背板：采用≥1.0mm高品质</w:t>
            </w:r>
            <w:r>
              <w:rPr>
                <w:rFonts w:hint="eastAsia" w:ascii="宋体" w:hAnsi="宋体" w:eastAsia="宋体" w:cs="宋体"/>
                <w:color w:val="auto"/>
                <w:kern w:val="0"/>
                <w:sz w:val="21"/>
                <w:szCs w:val="21"/>
                <w:highlight w:val="none"/>
                <w:lang w:eastAsia="zh-CN" w:bidi="ar"/>
              </w:rPr>
              <w:t>一级冷轧钢板</w:t>
            </w:r>
            <w:r>
              <w:rPr>
                <w:rFonts w:hint="eastAsia" w:ascii="宋体" w:hAnsi="宋体" w:eastAsia="宋体" w:cs="宋体"/>
                <w:color w:val="auto"/>
                <w:kern w:val="0"/>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4747E674">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74D392C4">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14:paraId="1DEEB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384" w:type="pct"/>
            <w:shd w:val="clear" w:color="auto" w:fill="auto"/>
            <w:noWrap/>
            <w:vAlign w:val="center"/>
          </w:tcPr>
          <w:p w14:paraId="5850B9C1">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90</w:t>
            </w:r>
          </w:p>
        </w:tc>
        <w:tc>
          <w:tcPr>
            <w:tcW w:w="381" w:type="pct"/>
            <w:shd w:val="clear" w:color="auto" w:fill="auto"/>
            <w:vAlign w:val="center"/>
          </w:tcPr>
          <w:p w14:paraId="3C94024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仪器台收纳柜1</w:t>
            </w:r>
          </w:p>
        </w:tc>
        <w:tc>
          <w:tcPr>
            <w:tcW w:w="783" w:type="pct"/>
            <w:shd w:val="clear" w:color="auto" w:fill="auto"/>
            <w:vAlign w:val="center"/>
          </w:tcPr>
          <w:p w14:paraId="2DFACC42">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17880" cy="721360"/>
                  <wp:effectExtent l="0" t="0" r="8890" b="12065"/>
                  <wp:docPr id="104" name="图片 104" descr="仪器台收纳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仪器台收纳柜"/>
                          <pic:cNvPicPr>
                            <a:picLocks noChangeAspect="1"/>
                          </pic:cNvPicPr>
                        </pic:nvPicPr>
                        <pic:blipFill>
                          <a:blip r:embed="rId32"/>
                          <a:stretch>
                            <a:fillRect/>
                          </a:stretch>
                        </pic:blipFill>
                        <pic:spPr>
                          <a:xfrm>
                            <a:off x="0" y="0"/>
                            <a:ext cx="817880" cy="721360"/>
                          </a:xfrm>
                          <a:prstGeom prst="rect">
                            <a:avLst/>
                          </a:prstGeom>
                        </pic:spPr>
                      </pic:pic>
                    </a:graphicData>
                  </a:graphic>
                </wp:inline>
              </w:drawing>
            </w:r>
          </w:p>
        </w:tc>
        <w:tc>
          <w:tcPr>
            <w:tcW w:w="2826" w:type="pct"/>
            <w:shd w:val="clear" w:color="auto" w:fill="auto"/>
            <w:vAlign w:val="center"/>
          </w:tcPr>
          <w:p w14:paraId="3943D37D">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4500*250*800</w:t>
            </w:r>
            <w:r>
              <w:rPr>
                <w:rFonts w:hint="eastAsia" w:ascii="宋体" w:hAnsi="宋体" w:eastAsia="宋体" w:cs="宋体"/>
                <w:color w:val="auto"/>
                <w:kern w:val="0"/>
                <w:sz w:val="21"/>
                <w:szCs w:val="21"/>
                <w:highlight w:val="none"/>
                <w:lang w:val="en-US" w:eastAsia="zh-CN" w:bidi="ar"/>
              </w:rPr>
              <w:t>mm</w:t>
            </w:r>
          </w:p>
          <w:p w14:paraId="10DE314D">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1、整体采用1.0mm厚度</w:t>
            </w:r>
            <w:r>
              <w:rPr>
                <w:rFonts w:hint="eastAsia" w:ascii="宋体" w:hAnsi="宋体" w:eastAsia="宋体" w:cs="宋体"/>
                <w:color w:val="auto"/>
                <w:kern w:val="0"/>
                <w:sz w:val="21"/>
                <w:szCs w:val="21"/>
                <w:highlight w:val="none"/>
                <w:lang w:eastAsia="zh-CN" w:bidi="ar"/>
              </w:rPr>
              <w:t>一级冷轧钢</w:t>
            </w:r>
            <w:r>
              <w:rPr>
                <w:rFonts w:hint="eastAsia" w:ascii="宋体" w:hAnsi="宋体" w:eastAsia="宋体" w:cs="宋体"/>
                <w:color w:val="auto"/>
                <w:kern w:val="0"/>
                <w:sz w:val="21"/>
                <w:szCs w:val="21"/>
                <w:highlight w:val="none"/>
                <w:lang w:bidi="ar"/>
              </w:rPr>
              <w:t>经数控剪板，数控冲压，数控折弯，焊接等一系列程序成型，表面经酸洗磷化后喷涂环氧树脂粉末</w:t>
            </w:r>
            <w:r>
              <w:rPr>
                <w:rFonts w:hint="eastAsia" w:ascii="宋体" w:hAnsi="宋体" w:eastAsia="宋体" w:cs="宋体"/>
                <w:color w:val="auto"/>
                <w:kern w:val="0"/>
                <w:sz w:val="21"/>
                <w:szCs w:val="21"/>
                <w:highlight w:val="none"/>
                <w:lang w:eastAsia="zh-CN" w:bidi="ar"/>
              </w:rPr>
              <w:t>。</w:t>
            </w:r>
          </w:p>
        </w:tc>
        <w:tc>
          <w:tcPr>
            <w:tcW w:w="338" w:type="pct"/>
            <w:shd w:val="clear" w:color="auto" w:fill="auto"/>
            <w:vAlign w:val="center"/>
          </w:tcPr>
          <w:p w14:paraId="20D2275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5C047D3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24</w:t>
            </w:r>
          </w:p>
        </w:tc>
      </w:tr>
      <w:tr w14:paraId="0700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4" w:type="pct"/>
            <w:shd w:val="clear" w:color="auto" w:fill="auto"/>
            <w:noWrap/>
            <w:vAlign w:val="center"/>
          </w:tcPr>
          <w:p w14:paraId="2B7E5ECD">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91</w:t>
            </w:r>
          </w:p>
        </w:tc>
        <w:tc>
          <w:tcPr>
            <w:tcW w:w="381" w:type="pct"/>
            <w:shd w:val="clear" w:color="auto" w:fill="auto"/>
            <w:vAlign w:val="center"/>
          </w:tcPr>
          <w:p w14:paraId="5889499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仪器台收纳柜2</w:t>
            </w:r>
          </w:p>
        </w:tc>
        <w:tc>
          <w:tcPr>
            <w:tcW w:w="783" w:type="pct"/>
            <w:shd w:val="clear" w:color="auto" w:fill="auto"/>
            <w:vAlign w:val="center"/>
          </w:tcPr>
          <w:p w14:paraId="4CE9750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25824" behindDoc="0" locked="0" layoutInCell="1" allowOverlap="1">
                  <wp:simplePos x="0" y="0"/>
                  <wp:positionH relativeFrom="column">
                    <wp:posOffset>0</wp:posOffset>
                  </wp:positionH>
                  <wp:positionV relativeFrom="paragraph">
                    <wp:posOffset>3810</wp:posOffset>
                  </wp:positionV>
                  <wp:extent cx="817880" cy="721360"/>
                  <wp:effectExtent l="0" t="0" r="8890" b="12065"/>
                  <wp:wrapSquare wrapText="bothSides"/>
                  <wp:docPr id="105" name="图片 105" descr="仪器台收纳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仪器台收纳柜"/>
                          <pic:cNvPicPr>
                            <a:picLocks noChangeAspect="1"/>
                          </pic:cNvPicPr>
                        </pic:nvPicPr>
                        <pic:blipFill>
                          <a:blip r:embed="rId32"/>
                          <a:stretch>
                            <a:fillRect/>
                          </a:stretch>
                        </pic:blipFill>
                        <pic:spPr>
                          <a:xfrm>
                            <a:off x="0" y="0"/>
                            <a:ext cx="817880" cy="721360"/>
                          </a:xfrm>
                          <a:prstGeom prst="rect">
                            <a:avLst/>
                          </a:prstGeom>
                        </pic:spPr>
                      </pic:pic>
                    </a:graphicData>
                  </a:graphic>
                </wp:anchor>
              </w:drawing>
            </w:r>
          </w:p>
        </w:tc>
        <w:tc>
          <w:tcPr>
            <w:tcW w:w="2826" w:type="pct"/>
            <w:shd w:val="clear" w:color="auto" w:fill="auto"/>
            <w:vAlign w:val="center"/>
          </w:tcPr>
          <w:p w14:paraId="4E7F91D8">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2350*250*800</w:t>
            </w:r>
            <w:r>
              <w:rPr>
                <w:rFonts w:hint="eastAsia" w:ascii="宋体" w:hAnsi="宋体" w:eastAsia="宋体" w:cs="宋体"/>
                <w:color w:val="auto"/>
                <w:kern w:val="0"/>
                <w:sz w:val="21"/>
                <w:szCs w:val="21"/>
                <w:highlight w:val="none"/>
                <w:lang w:val="en-US" w:eastAsia="zh-CN" w:bidi="ar"/>
              </w:rPr>
              <w:t>mm</w:t>
            </w:r>
          </w:p>
          <w:p w14:paraId="0A69165A">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1、整体采用1.0mm厚度</w:t>
            </w:r>
            <w:r>
              <w:rPr>
                <w:rFonts w:hint="eastAsia" w:ascii="宋体" w:hAnsi="宋体" w:eastAsia="宋体" w:cs="宋体"/>
                <w:color w:val="auto"/>
                <w:kern w:val="0"/>
                <w:sz w:val="21"/>
                <w:szCs w:val="21"/>
                <w:highlight w:val="none"/>
                <w:lang w:eastAsia="zh-CN" w:bidi="ar"/>
              </w:rPr>
              <w:t>一级冷轧钢</w:t>
            </w:r>
            <w:r>
              <w:rPr>
                <w:rFonts w:hint="eastAsia" w:ascii="宋体" w:hAnsi="宋体" w:eastAsia="宋体" w:cs="宋体"/>
                <w:color w:val="auto"/>
                <w:kern w:val="0"/>
                <w:sz w:val="21"/>
                <w:szCs w:val="21"/>
                <w:highlight w:val="none"/>
                <w:lang w:bidi="ar"/>
              </w:rPr>
              <w:t>经数控剪板，数控冲压，数控折弯，焊接等一系列程序成型，表面经酸洗磷化后喷涂环氧树脂粉末</w:t>
            </w:r>
            <w:r>
              <w:rPr>
                <w:rFonts w:hint="eastAsia" w:ascii="宋体" w:hAnsi="宋体" w:eastAsia="宋体" w:cs="宋体"/>
                <w:color w:val="auto"/>
                <w:kern w:val="0"/>
                <w:sz w:val="21"/>
                <w:szCs w:val="21"/>
                <w:highlight w:val="none"/>
                <w:lang w:eastAsia="zh-CN" w:bidi="ar"/>
              </w:rPr>
              <w:t>。</w:t>
            </w:r>
          </w:p>
        </w:tc>
        <w:tc>
          <w:tcPr>
            <w:tcW w:w="338" w:type="pct"/>
            <w:shd w:val="clear" w:color="auto" w:fill="auto"/>
            <w:vAlign w:val="center"/>
          </w:tcPr>
          <w:p w14:paraId="5369EF14">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1184F14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268F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384" w:type="pct"/>
            <w:shd w:val="clear" w:color="auto" w:fill="auto"/>
            <w:noWrap/>
            <w:vAlign w:val="center"/>
          </w:tcPr>
          <w:p w14:paraId="48EAD70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92</w:t>
            </w:r>
          </w:p>
        </w:tc>
        <w:tc>
          <w:tcPr>
            <w:tcW w:w="381" w:type="pct"/>
            <w:shd w:val="clear" w:color="auto" w:fill="auto"/>
            <w:vAlign w:val="center"/>
          </w:tcPr>
          <w:p w14:paraId="0A11F13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仪器台收纳柜3</w:t>
            </w:r>
          </w:p>
        </w:tc>
        <w:tc>
          <w:tcPr>
            <w:tcW w:w="783" w:type="pct"/>
            <w:shd w:val="clear" w:color="auto" w:fill="auto"/>
            <w:vAlign w:val="center"/>
          </w:tcPr>
          <w:p w14:paraId="0C9F9C6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26848" behindDoc="0" locked="0" layoutInCell="1" allowOverlap="1">
                  <wp:simplePos x="0" y="0"/>
                  <wp:positionH relativeFrom="column">
                    <wp:posOffset>0</wp:posOffset>
                  </wp:positionH>
                  <wp:positionV relativeFrom="paragraph">
                    <wp:posOffset>-100330</wp:posOffset>
                  </wp:positionV>
                  <wp:extent cx="817880" cy="721360"/>
                  <wp:effectExtent l="0" t="0" r="8890" b="12065"/>
                  <wp:wrapSquare wrapText="bothSides"/>
                  <wp:docPr id="108" name="图片 108" descr="仪器台收纳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仪器台收纳柜"/>
                          <pic:cNvPicPr>
                            <a:picLocks noChangeAspect="1"/>
                          </pic:cNvPicPr>
                        </pic:nvPicPr>
                        <pic:blipFill>
                          <a:blip r:embed="rId32"/>
                          <a:stretch>
                            <a:fillRect/>
                          </a:stretch>
                        </pic:blipFill>
                        <pic:spPr>
                          <a:xfrm>
                            <a:off x="0" y="0"/>
                            <a:ext cx="817880" cy="721360"/>
                          </a:xfrm>
                          <a:prstGeom prst="rect">
                            <a:avLst/>
                          </a:prstGeom>
                        </pic:spPr>
                      </pic:pic>
                    </a:graphicData>
                  </a:graphic>
                </wp:anchor>
              </w:drawing>
            </w:r>
          </w:p>
        </w:tc>
        <w:tc>
          <w:tcPr>
            <w:tcW w:w="2826" w:type="pct"/>
            <w:shd w:val="clear" w:color="auto" w:fill="auto"/>
            <w:vAlign w:val="center"/>
          </w:tcPr>
          <w:p w14:paraId="017D92AF">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2950*250*800</w:t>
            </w:r>
            <w:r>
              <w:rPr>
                <w:rFonts w:hint="eastAsia" w:ascii="宋体" w:hAnsi="宋体" w:eastAsia="宋体" w:cs="宋体"/>
                <w:color w:val="auto"/>
                <w:kern w:val="0"/>
                <w:sz w:val="21"/>
                <w:szCs w:val="21"/>
                <w:highlight w:val="none"/>
                <w:lang w:val="en-US" w:eastAsia="zh-CN" w:bidi="ar"/>
              </w:rPr>
              <w:t>mm</w:t>
            </w:r>
          </w:p>
          <w:p w14:paraId="78441C82">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1、整体采用1.0mm厚度</w:t>
            </w:r>
            <w:r>
              <w:rPr>
                <w:rFonts w:hint="eastAsia" w:ascii="宋体" w:hAnsi="宋体" w:eastAsia="宋体" w:cs="宋体"/>
                <w:color w:val="auto"/>
                <w:kern w:val="0"/>
                <w:sz w:val="21"/>
                <w:szCs w:val="21"/>
                <w:highlight w:val="none"/>
                <w:lang w:eastAsia="zh-CN" w:bidi="ar"/>
              </w:rPr>
              <w:t>一级冷轧钢</w:t>
            </w:r>
            <w:r>
              <w:rPr>
                <w:rFonts w:hint="eastAsia" w:ascii="宋体" w:hAnsi="宋体" w:eastAsia="宋体" w:cs="宋体"/>
                <w:color w:val="auto"/>
                <w:kern w:val="0"/>
                <w:sz w:val="21"/>
                <w:szCs w:val="21"/>
                <w:highlight w:val="none"/>
                <w:lang w:bidi="ar"/>
              </w:rPr>
              <w:t>经数控剪板，数控冲压，数控折弯，焊接等一系列程序成型，表面经酸洗磷化后喷涂环氧树脂粉末</w:t>
            </w:r>
            <w:r>
              <w:rPr>
                <w:rFonts w:hint="eastAsia" w:ascii="宋体" w:hAnsi="宋体" w:eastAsia="宋体" w:cs="宋体"/>
                <w:color w:val="auto"/>
                <w:kern w:val="0"/>
                <w:sz w:val="21"/>
                <w:szCs w:val="21"/>
                <w:highlight w:val="none"/>
                <w:lang w:eastAsia="zh-CN" w:bidi="ar"/>
              </w:rPr>
              <w:t>。</w:t>
            </w:r>
          </w:p>
        </w:tc>
        <w:tc>
          <w:tcPr>
            <w:tcW w:w="338" w:type="pct"/>
            <w:shd w:val="clear" w:color="auto" w:fill="auto"/>
            <w:vAlign w:val="center"/>
          </w:tcPr>
          <w:p w14:paraId="207D511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2793DE3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2B8FE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4" w:type="pct"/>
            <w:shd w:val="clear" w:color="auto" w:fill="auto"/>
            <w:noWrap/>
            <w:vAlign w:val="center"/>
          </w:tcPr>
          <w:p w14:paraId="5A583956">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93</w:t>
            </w:r>
          </w:p>
        </w:tc>
        <w:tc>
          <w:tcPr>
            <w:tcW w:w="381" w:type="pct"/>
            <w:shd w:val="clear" w:color="auto" w:fill="auto"/>
            <w:vAlign w:val="center"/>
          </w:tcPr>
          <w:p w14:paraId="5922FC3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仪器台收纳柜4</w:t>
            </w:r>
          </w:p>
        </w:tc>
        <w:tc>
          <w:tcPr>
            <w:tcW w:w="783" w:type="pct"/>
            <w:shd w:val="clear" w:color="auto" w:fill="auto"/>
            <w:vAlign w:val="center"/>
          </w:tcPr>
          <w:p w14:paraId="63F3FC6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27872" behindDoc="0" locked="0" layoutInCell="1" allowOverlap="1">
                  <wp:simplePos x="0" y="0"/>
                  <wp:positionH relativeFrom="column">
                    <wp:posOffset>0</wp:posOffset>
                  </wp:positionH>
                  <wp:positionV relativeFrom="paragraph">
                    <wp:posOffset>-1062990</wp:posOffset>
                  </wp:positionV>
                  <wp:extent cx="817880" cy="721360"/>
                  <wp:effectExtent l="0" t="0" r="8890" b="12065"/>
                  <wp:wrapSquare wrapText="bothSides"/>
                  <wp:docPr id="109" name="图片 109" descr="仪器台收纳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仪器台收纳柜"/>
                          <pic:cNvPicPr>
                            <a:picLocks noChangeAspect="1"/>
                          </pic:cNvPicPr>
                        </pic:nvPicPr>
                        <pic:blipFill>
                          <a:blip r:embed="rId32"/>
                          <a:stretch>
                            <a:fillRect/>
                          </a:stretch>
                        </pic:blipFill>
                        <pic:spPr>
                          <a:xfrm>
                            <a:off x="0" y="0"/>
                            <a:ext cx="817880" cy="721360"/>
                          </a:xfrm>
                          <a:prstGeom prst="rect">
                            <a:avLst/>
                          </a:prstGeom>
                        </pic:spPr>
                      </pic:pic>
                    </a:graphicData>
                  </a:graphic>
                </wp:anchor>
              </w:drawing>
            </w:r>
          </w:p>
        </w:tc>
        <w:tc>
          <w:tcPr>
            <w:tcW w:w="2826" w:type="pct"/>
            <w:shd w:val="clear" w:color="auto" w:fill="auto"/>
            <w:vAlign w:val="center"/>
          </w:tcPr>
          <w:p w14:paraId="4EF0784C">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2400*250*800</w:t>
            </w:r>
            <w:r>
              <w:rPr>
                <w:rFonts w:hint="eastAsia" w:ascii="宋体" w:hAnsi="宋体" w:eastAsia="宋体" w:cs="宋体"/>
                <w:color w:val="auto"/>
                <w:kern w:val="0"/>
                <w:sz w:val="21"/>
                <w:szCs w:val="21"/>
                <w:highlight w:val="none"/>
                <w:lang w:val="en-US" w:eastAsia="zh-CN" w:bidi="ar"/>
              </w:rPr>
              <w:t>mm</w:t>
            </w:r>
          </w:p>
          <w:p w14:paraId="3FDF3E39">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1、整体采用1.0mm厚度</w:t>
            </w:r>
            <w:r>
              <w:rPr>
                <w:rFonts w:hint="eastAsia" w:ascii="宋体" w:hAnsi="宋体" w:eastAsia="宋体" w:cs="宋体"/>
                <w:color w:val="auto"/>
                <w:kern w:val="0"/>
                <w:sz w:val="21"/>
                <w:szCs w:val="21"/>
                <w:highlight w:val="none"/>
                <w:lang w:eastAsia="zh-CN" w:bidi="ar"/>
              </w:rPr>
              <w:t>一级冷轧钢</w:t>
            </w:r>
            <w:r>
              <w:rPr>
                <w:rFonts w:hint="eastAsia" w:ascii="宋体" w:hAnsi="宋体" w:eastAsia="宋体" w:cs="宋体"/>
                <w:color w:val="auto"/>
                <w:kern w:val="0"/>
                <w:sz w:val="21"/>
                <w:szCs w:val="21"/>
                <w:highlight w:val="none"/>
                <w:lang w:bidi="ar"/>
              </w:rPr>
              <w:t>经数控剪板，数控冲压，数控折弯，焊接等一系列程序成型，表面经酸洗磷化后喷涂环氧树脂粉末</w:t>
            </w:r>
            <w:r>
              <w:rPr>
                <w:rFonts w:hint="eastAsia" w:ascii="宋体" w:hAnsi="宋体" w:eastAsia="宋体" w:cs="宋体"/>
                <w:color w:val="auto"/>
                <w:kern w:val="0"/>
                <w:sz w:val="21"/>
                <w:szCs w:val="21"/>
                <w:highlight w:val="none"/>
                <w:lang w:eastAsia="zh-CN" w:bidi="ar"/>
              </w:rPr>
              <w:t>。</w:t>
            </w:r>
          </w:p>
        </w:tc>
        <w:tc>
          <w:tcPr>
            <w:tcW w:w="338" w:type="pct"/>
            <w:shd w:val="clear" w:color="auto" w:fill="auto"/>
            <w:vAlign w:val="center"/>
          </w:tcPr>
          <w:p w14:paraId="2F41131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33F23BF4">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4EE9F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384" w:type="pct"/>
            <w:shd w:val="clear" w:color="auto" w:fill="auto"/>
            <w:noWrap/>
            <w:vAlign w:val="center"/>
          </w:tcPr>
          <w:p w14:paraId="0E382BC8">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94</w:t>
            </w:r>
          </w:p>
        </w:tc>
        <w:tc>
          <w:tcPr>
            <w:tcW w:w="381" w:type="pct"/>
            <w:shd w:val="clear" w:color="auto" w:fill="auto"/>
            <w:vAlign w:val="center"/>
          </w:tcPr>
          <w:p w14:paraId="1CF67D8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仪器台收纳柜5</w:t>
            </w:r>
          </w:p>
        </w:tc>
        <w:tc>
          <w:tcPr>
            <w:tcW w:w="783" w:type="pct"/>
            <w:shd w:val="clear" w:color="auto" w:fill="auto"/>
            <w:vAlign w:val="center"/>
          </w:tcPr>
          <w:p w14:paraId="0716FE0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28896" behindDoc="0" locked="0" layoutInCell="1" allowOverlap="1">
                  <wp:simplePos x="0" y="0"/>
                  <wp:positionH relativeFrom="column">
                    <wp:posOffset>-10795</wp:posOffset>
                  </wp:positionH>
                  <wp:positionV relativeFrom="paragraph">
                    <wp:posOffset>293370</wp:posOffset>
                  </wp:positionV>
                  <wp:extent cx="817880" cy="721360"/>
                  <wp:effectExtent l="0" t="0" r="8890" b="12065"/>
                  <wp:wrapSquare wrapText="bothSides"/>
                  <wp:docPr id="111" name="图片 111" descr="仪器台收纳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仪器台收纳柜"/>
                          <pic:cNvPicPr>
                            <a:picLocks noChangeAspect="1"/>
                          </pic:cNvPicPr>
                        </pic:nvPicPr>
                        <pic:blipFill>
                          <a:blip r:embed="rId32"/>
                          <a:stretch>
                            <a:fillRect/>
                          </a:stretch>
                        </pic:blipFill>
                        <pic:spPr>
                          <a:xfrm>
                            <a:off x="0" y="0"/>
                            <a:ext cx="817880" cy="721360"/>
                          </a:xfrm>
                          <a:prstGeom prst="rect">
                            <a:avLst/>
                          </a:prstGeom>
                        </pic:spPr>
                      </pic:pic>
                    </a:graphicData>
                  </a:graphic>
                </wp:anchor>
              </w:drawing>
            </w:r>
          </w:p>
        </w:tc>
        <w:tc>
          <w:tcPr>
            <w:tcW w:w="2826" w:type="pct"/>
            <w:shd w:val="clear" w:color="auto" w:fill="auto"/>
            <w:vAlign w:val="center"/>
          </w:tcPr>
          <w:p w14:paraId="1804E4A3">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3000*250*800</w:t>
            </w:r>
            <w:r>
              <w:rPr>
                <w:rFonts w:hint="eastAsia" w:ascii="宋体" w:hAnsi="宋体" w:eastAsia="宋体" w:cs="宋体"/>
                <w:color w:val="auto"/>
                <w:kern w:val="0"/>
                <w:sz w:val="21"/>
                <w:szCs w:val="21"/>
                <w:highlight w:val="none"/>
                <w:lang w:val="en-US" w:eastAsia="zh-CN" w:bidi="ar"/>
              </w:rPr>
              <w:t>mm</w:t>
            </w:r>
          </w:p>
          <w:p w14:paraId="6ECD871D">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1、整体采用1.0mm厚度</w:t>
            </w:r>
            <w:r>
              <w:rPr>
                <w:rFonts w:hint="eastAsia" w:ascii="宋体" w:hAnsi="宋体" w:eastAsia="宋体" w:cs="宋体"/>
                <w:color w:val="auto"/>
                <w:kern w:val="0"/>
                <w:sz w:val="21"/>
                <w:szCs w:val="21"/>
                <w:highlight w:val="none"/>
                <w:lang w:eastAsia="zh-CN" w:bidi="ar"/>
              </w:rPr>
              <w:t>一级冷轧钢</w:t>
            </w:r>
            <w:r>
              <w:rPr>
                <w:rFonts w:hint="eastAsia" w:ascii="宋体" w:hAnsi="宋体" w:eastAsia="宋体" w:cs="宋体"/>
                <w:color w:val="auto"/>
                <w:kern w:val="0"/>
                <w:sz w:val="21"/>
                <w:szCs w:val="21"/>
                <w:highlight w:val="none"/>
                <w:lang w:bidi="ar"/>
              </w:rPr>
              <w:t>经数控剪板，数控冲压，数控折弯，焊接等一系列程序成型，表面经酸洗磷化后喷涂环氧树脂粉末</w:t>
            </w:r>
            <w:r>
              <w:rPr>
                <w:rFonts w:hint="eastAsia" w:ascii="宋体" w:hAnsi="宋体" w:eastAsia="宋体" w:cs="宋体"/>
                <w:color w:val="auto"/>
                <w:kern w:val="0"/>
                <w:sz w:val="21"/>
                <w:szCs w:val="21"/>
                <w:highlight w:val="none"/>
                <w:lang w:eastAsia="zh-CN" w:bidi="ar"/>
              </w:rPr>
              <w:t>。</w:t>
            </w:r>
          </w:p>
        </w:tc>
        <w:tc>
          <w:tcPr>
            <w:tcW w:w="338" w:type="pct"/>
            <w:shd w:val="clear" w:color="auto" w:fill="auto"/>
            <w:vAlign w:val="center"/>
          </w:tcPr>
          <w:p w14:paraId="27B8E7E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36D5D01E">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14:paraId="2AC43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4" w:type="pct"/>
            <w:shd w:val="clear" w:color="auto" w:fill="auto"/>
            <w:noWrap/>
            <w:vAlign w:val="center"/>
          </w:tcPr>
          <w:p w14:paraId="401B3B02">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95</w:t>
            </w:r>
          </w:p>
        </w:tc>
        <w:tc>
          <w:tcPr>
            <w:tcW w:w="381" w:type="pct"/>
            <w:shd w:val="clear" w:color="auto" w:fill="auto"/>
            <w:vAlign w:val="center"/>
          </w:tcPr>
          <w:p w14:paraId="4080FC7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仪器台收纳柜6</w:t>
            </w:r>
          </w:p>
        </w:tc>
        <w:tc>
          <w:tcPr>
            <w:tcW w:w="783" w:type="pct"/>
            <w:shd w:val="clear" w:color="auto" w:fill="auto"/>
            <w:vAlign w:val="center"/>
          </w:tcPr>
          <w:p w14:paraId="43C1ABCB">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29920" behindDoc="0" locked="0" layoutInCell="1" allowOverlap="1">
                  <wp:simplePos x="0" y="0"/>
                  <wp:positionH relativeFrom="column">
                    <wp:posOffset>-13970</wp:posOffset>
                  </wp:positionH>
                  <wp:positionV relativeFrom="paragraph">
                    <wp:posOffset>520065</wp:posOffset>
                  </wp:positionV>
                  <wp:extent cx="817880" cy="721360"/>
                  <wp:effectExtent l="0" t="0" r="8890" b="12065"/>
                  <wp:wrapSquare wrapText="bothSides"/>
                  <wp:docPr id="112" name="图片 112" descr="仪器台收纳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仪器台收纳柜"/>
                          <pic:cNvPicPr>
                            <a:picLocks noChangeAspect="1"/>
                          </pic:cNvPicPr>
                        </pic:nvPicPr>
                        <pic:blipFill>
                          <a:blip r:embed="rId32"/>
                          <a:stretch>
                            <a:fillRect/>
                          </a:stretch>
                        </pic:blipFill>
                        <pic:spPr>
                          <a:xfrm>
                            <a:off x="0" y="0"/>
                            <a:ext cx="817880" cy="721360"/>
                          </a:xfrm>
                          <a:prstGeom prst="rect">
                            <a:avLst/>
                          </a:prstGeom>
                        </pic:spPr>
                      </pic:pic>
                    </a:graphicData>
                  </a:graphic>
                </wp:anchor>
              </w:drawing>
            </w:r>
          </w:p>
        </w:tc>
        <w:tc>
          <w:tcPr>
            <w:tcW w:w="2826" w:type="pct"/>
            <w:shd w:val="clear" w:color="auto" w:fill="auto"/>
            <w:vAlign w:val="center"/>
          </w:tcPr>
          <w:p w14:paraId="7C5DA07C">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4200*250*800</w:t>
            </w:r>
            <w:r>
              <w:rPr>
                <w:rFonts w:hint="eastAsia" w:ascii="宋体" w:hAnsi="宋体" w:eastAsia="宋体" w:cs="宋体"/>
                <w:color w:val="auto"/>
                <w:kern w:val="0"/>
                <w:sz w:val="21"/>
                <w:szCs w:val="21"/>
                <w:highlight w:val="none"/>
                <w:lang w:val="en-US" w:eastAsia="zh-CN" w:bidi="ar"/>
              </w:rPr>
              <w:t>mm</w:t>
            </w:r>
          </w:p>
          <w:p w14:paraId="67C3B76F">
            <w:pPr>
              <w:keepNext w:val="0"/>
              <w:keepLines w:val="0"/>
              <w:pageBreakBefore w:val="0"/>
              <w:widowControl/>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1、整体采用1.0mm厚度</w:t>
            </w:r>
            <w:r>
              <w:rPr>
                <w:rFonts w:hint="eastAsia" w:ascii="宋体" w:hAnsi="宋体" w:eastAsia="宋体" w:cs="宋体"/>
                <w:color w:val="auto"/>
                <w:kern w:val="0"/>
                <w:sz w:val="21"/>
                <w:szCs w:val="21"/>
                <w:highlight w:val="none"/>
                <w:lang w:eastAsia="zh-CN" w:bidi="ar"/>
              </w:rPr>
              <w:t>一级冷轧钢</w:t>
            </w:r>
            <w:r>
              <w:rPr>
                <w:rFonts w:hint="eastAsia" w:ascii="宋体" w:hAnsi="宋体" w:eastAsia="宋体" w:cs="宋体"/>
                <w:color w:val="auto"/>
                <w:kern w:val="0"/>
                <w:sz w:val="21"/>
                <w:szCs w:val="21"/>
                <w:highlight w:val="none"/>
                <w:lang w:bidi="ar"/>
              </w:rPr>
              <w:t>经数控剪板，数控冲压，数控折弯，焊接等一系列程序成型，表面经酸洗磷化后喷涂环氧树脂粉末</w:t>
            </w:r>
            <w:r>
              <w:rPr>
                <w:rFonts w:hint="eastAsia" w:ascii="宋体" w:hAnsi="宋体" w:eastAsia="宋体" w:cs="宋体"/>
                <w:color w:val="auto"/>
                <w:kern w:val="0"/>
                <w:sz w:val="21"/>
                <w:szCs w:val="21"/>
                <w:highlight w:val="none"/>
                <w:lang w:eastAsia="zh-CN" w:bidi="ar"/>
              </w:rPr>
              <w:t>。</w:t>
            </w:r>
          </w:p>
        </w:tc>
        <w:tc>
          <w:tcPr>
            <w:tcW w:w="338" w:type="pct"/>
            <w:shd w:val="clear" w:color="auto" w:fill="auto"/>
            <w:vAlign w:val="center"/>
          </w:tcPr>
          <w:p w14:paraId="4963820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1BDB8F1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14:paraId="3D56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384" w:type="pct"/>
            <w:shd w:val="clear" w:color="auto" w:fill="auto"/>
            <w:noWrap/>
            <w:vAlign w:val="center"/>
          </w:tcPr>
          <w:p w14:paraId="6F417F5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96</w:t>
            </w:r>
          </w:p>
        </w:tc>
        <w:tc>
          <w:tcPr>
            <w:tcW w:w="381" w:type="pct"/>
            <w:shd w:val="clear" w:color="auto" w:fill="auto"/>
            <w:vAlign w:val="center"/>
          </w:tcPr>
          <w:p w14:paraId="2F167D7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原子吸收罩</w:t>
            </w:r>
          </w:p>
        </w:tc>
        <w:tc>
          <w:tcPr>
            <w:tcW w:w="783" w:type="pct"/>
            <w:shd w:val="clear" w:color="auto" w:fill="auto"/>
            <w:vAlign w:val="center"/>
          </w:tcPr>
          <w:p w14:paraId="3D8D45FB">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22325" cy="1644650"/>
                  <wp:effectExtent l="0" t="0" r="4445" b="8890"/>
                  <wp:docPr id="113" name="图片 113" descr="原子吸收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原子吸收罩"/>
                          <pic:cNvPicPr>
                            <a:picLocks noChangeAspect="1"/>
                          </pic:cNvPicPr>
                        </pic:nvPicPr>
                        <pic:blipFill>
                          <a:blip r:embed="rId33"/>
                          <a:stretch>
                            <a:fillRect/>
                          </a:stretch>
                        </pic:blipFill>
                        <pic:spPr>
                          <a:xfrm>
                            <a:off x="0" y="0"/>
                            <a:ext cx="822325" cy="1644650"/>
                          </a:xfrm>
                          <a:prstGeom prst="rect">
                            <a:avLst/>
                          </a:prstGeom>
                        </pic:spPr>
                      </pic:pic>
                    </a:graphicData>
                  </a:graphic>
                </wp:inline>
              </w:drawing>
            </w:r>
          </w:p>
        </w:tc>
        <w:tc>
          <w:tcPr>
            <w:tcW w:w="2826" w:type="pct"/>
            <w:shd w:val="clear" w:color="auto" w:fill="auto"/>
            <w:vAlign w:val="center"/>
          </w:tcPr>
          <w:p w14:paraId="35F87561">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600*600*1500</w:t>
            </w:r>
            <w:r>
              <w:rPr>
                <w:rFonts w:hint="eastAsia" w:ascii="宋体" w:hAnsi="宋体" w:eastAsia="宋体" w:cs="宋体"/>
                <w:color w:val="auto"/>
                <w:kern w:val="0"/>
                <w:sz w:val="21"/>
                <w:szCs w:val="21"/>
                <w:highlight w:val="none"/>
                <w:lang w:val="en-US" w:eastAsia="zh-CN" w:bidi="ar"/>
              </w:rPr>
              <w:t>mm</w:t>
            </w:r>
          </w:p>
          <w:p w14:paraId="0645DF5F">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Cs w:val="21"/>
                <w:highlight w:val="none"/>
                <w:lang w:bidi="ar"/>
              </w:rPr>
              <w:t>材质与表面处理</w:t>
            </w:r>
            <w:r>
              <w:rPr>
                <w:rFonts w:hint="eastAsia" w:ascii="宋体" w:hAnsi="宋体" w:eastAsia="宋体" w:cs="宋体"/>
                <w:color w:val="auto"/>
                <w:kern w:val="0"/>
                <w:szCs w:val="21"/>
                <w:highlight w:val="none"/>
                <w:lang w:eastAsia="zh-CN" w:bidi="ar"/>
              </w:rPr>
              <w:t>：</w:t>
            </w:r>
            <w:r>
              <w:rPr>
                <w:rFonts w:hint="eastAsia" w:ascii="宋体" w:hAnsi="宋体" w:eastAsia="宋体" w:cs="宋体"/>
                <w:i w:val="0"/>
                <w:iCs w:val="0"/>
                <w:caps w:val="0"/>
                <w:color w:val="auto"/>
                <w:spacing w:val="0"/>
                <w:kern w:val="0"/>
                <w:sz w:val="21"/>
                <w:szCs w:val="21"/>
                <w:highlight w:val="none"/>
                <w:shd w:val="clear" w:fill="auto"/>
                <w:lang w:bidi="ar"/>
              </w:rPr>
              <w:t>罩体</w:t>
            </w:r>
            <w:r>
              <w:rPr>
                <w:rFonts w:hint="eastAsia" w:ascii="宋体" w:hAnsi="宋体" w:eastAsia="宋体" w:cs="宋体"/>
                <w:color w:val="auto"/>
                <w:kern w:val="0"/>
                <w:szCs w:val="21"/>
                <w:highlight w:val="none"/>
                <w:lang w:bidi="ar"/>
              </w:rPr>
              <w:t>、导流管、底座、调节阀、排风口及所有外露金属部件均采用 SUS304奥氏体不锈钢制造</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罩体板材实测厚度 ≥</w:t>
            </w:r>
            <w:r>
              <w:rPr>
                <w:rFonts w:hint="eastAsia" w:ascii="宋体" w:hAnsi="宋体" w:eastAsia="宋体" w:cs="宋体"/>
                <w:color w:val="auto"/>
                <w:kern w:val="0"/>
                <w:szCs w:val="21"/>
                <w:highlight w:val="none"/>
                <w:lang w:eastAsia="zh-CN" w:bidi="ar"/>
              </w:rPr>
              <w:t>1</w:t>
            </w:r>
            <w:r>
              <w:rPr>
                <w:rFonts w:hint="eastAsia" w:ascii="宋体" w:hAnsi="宋体" w:eastAsia="宋体" w:cs="宋体"/>
                <w:color w:val="auto"/>
                <w:kern w:val="0"/>
                <w:szCs w:val="21"/>
                <w:highlight w:val="none"/>
                <w:lang w:val="en-US" w:eastAsia="zh-CN" w:bidi="ar"/>
              </w:rPr>
              <w:t>.5</w:t>
            </w:r>
            <w:r>
              <w:rPr>
                <w:rFonts w:hint="eastAsia" w:ascii="宋体" w:hAnsi="宋体" w:eastAsia="宋体" w:cs="宋体"/>
                <w:color w:val="auto"/>
                <w:kern w:val="0"/>
                <w:szCs w:val="21"/>
                <w:highlight w:val="none"/>
                <w:lang w:bidi="ar"/>
              </w:rPr>
              <w:t>mm，管道及调节阀阀板壁厚 ≥1.0mm</w:t>
            </w:r>
            <w:r>
              <w:rPr>
                <w:rFonts w:hint="eastAsia" w:ascii="宋体" w:hAnsi="宋体" w:eastAsia="宋体" w:cs="宋体"/>
                <w:color w:val="auto"/>
                <w:kern w:val="0"/>
                <w:szCs w:val="21"/>
                <w:highlight w:val="none"/>
                <w:lang w:eastAsia="zh-CN" w:bidi="ar"/>
              </w:rPr>
              <w:t>。</w:t>
            </w:r>
          </w:p>
          <w:p w14:paraId="7B363060">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color w:val="auto"/>
                <w:kern w:val="0"/>
                <w:szCs w:val="21"/>
                <w:highlight w:val="none"/>
                <w:lang w:bidi="ar"/>
              </w:rPr>
              <w:t>结构组成与功能要求</w:t>
            </w:r>
          </w:p>
          <w:p w14:paraId="7C100D00">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val="en-US" w:eastAsia="zh-CN" w:bidi="ar"/>
              </w:rPr>
              <w:t>1</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罩体：采用一体冲压或折弯焊接成型结构，焊缝须连续、平整，焊接后须经酸洗钝化处理，无气孔、夹渣及焊瘤。</w:t>
            </w:r>
          </w:p>
          <w:p w14:paraId="12025D11">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val="en-US" w:eastAsia="zh-CN" w:bidi="ar"/>
              </w:rPr>
              <w:t>2</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导流管（伸缩管） ：须具备垂直升降功能，升降行程 ≥300mm，升降过程阻尼均匀、无卡顿、无偏摆；在任意高度位置应能自锁定位，不得因重力或微小外力发生自然下滑。</w:t>
            </w:r>
          </w:p>
          <w:p w14:paraId="74157F4D">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val="en-US" w:eastAsia="zh-CN" w:bidi="ar"/>
              </w:rPr>
              <w:t>3</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手动调节阀：采用不锈钢蝶阀，开度0~90°无级可调，阀体须设有开度刻度指示盘或指示标识，以便操作人员准确重复设定风量。</w:t>
            </w:r>
          </w:p>
          <w:p w14:paraId="5D7FA71F">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val="en-US" w:eastAsia="zh-CN" w:bidi="ar"/>
              </w:rPr>
              <w:t>4</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防漏板：设于罩体底部或操作面下方，须有效防止冷凝液滴落污染实验台面。</w:t>
            </w:r>
          </w:p>
          <w:p w14:paraId="4CA3B0E5">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Cs w:val="21"/>
                <w:highlight w:val="none"/>
                <w:lang w:bidi="ar"/>
              </w:rPr>
              <w:t>管道及密封</w:t>
            </w:r>
            <w:r>
              <w:rPr>
                <w:rFonts w:hint="eastAsia" w:ascii="宋体" w:hAnsi="宋体" w:eastAsia="宋体" w:cs="宋体"/>
                <w:color w:val="auto"/>
                <w:kern w:val="0"/>
                <w:szCs w:val="21"/>
                <w:highlight w:val="none"/>
                <w:lang w:eastAsia="zh-CN" w:bidi="ar"/>
              </w:rPr>
              <w:t>：</w:t>
            </w:r>
            <w:r>
              <w:rPr>
                <w:rFonts w:hint="eastAsia" w:ascii="宋体" w:hAnsi="宋体" w:eastAsia="宋体" w:cs="宋体"/>
                <w:i w:val="0"/>
                <w:iCs w:val="0"/>
                <w:caps w:val="0"/>
                <w:color w:val="auto"/>
                <w:spacing w:val="0"/>
                <w:kern w:val="0"/>
                <w:sz w:val="21"/>
                <w:szCs w:val="21"/>
                <w:highlight w:val="none"/>
                <w:shd w:val="clear" w:fill="auto"/>
                <w:lang w:bidi="ar"/>
              </w:rPr>
              <w:t>配备与罩体同材质的连接管道总长度 </w:t>
            </w:r>
            <w:r>
              <w:rPr>
                <w:rFonts w:hint="eastAsia" w:ascii="宋体" w:hAnsi="宋体" w:eastAsia="宋体" w:cs="宋体"/>
                <w:b w:val="0"/>
                <w:bCs w:val="0"/>
                <w:i w:val="0"/>
                <w:iCs w:val="0"/>
                <w:caps w:val="0"/>
                <w:color w:val="auto"/>
                <w:spacing w:val="0"/>
                <w:kern w:val="0"/>
                <w:sz w:val="21"/>
                <w:szCs w:val="21"/>
                <w:highlight w:val="none"/>
                <w:shd w:val="clear" w:fill="auto"/>
                <w:lang w:bidi="ar"/>
              </w:rPr>
              <w:t>≥1.5m</w:t>
            </w:r>
            <w:r>
              <w:rPr>
                <w:rFonts w:hint="eastAsia" w:ascii="宋体" w:hAnsi="宋体" w:eastAsia="宋体" w:cs="宋体"/>
                <w:i w:val="0"/>
                <w:iCs w:val="0"/>
                <w:caps w:val="0"/>
                <w:color w:val="auto"/>
                <w:spacing w:val="0"/>
                <w:kern w:val="0"/>
                <w:sz w:val="21"/>
                <w:szCs w:val="21"/>
                <w:highlight w:val="none"/>
                <w:shd w:val="clear" w:fill="auto"/>
                <w:lang w:bidi="ar"/>
              </w:rPr>
              <w:t>（含弯头、变径段），管壁厚度 </w:t>
            </w:r>
            <w:r>
              <w:rPr>
                <w:rFonts w:hint="eastAsia" w:ascii="宋体" w:hAnsi="宋体" w:eastAsia="宋体" w:cs="宋体"/>
                <w:b w:val="0"/>
                <w:bCs w:val="0"/>
                <w:i w:val="0"/>
                <w:iCs w:val="0"/>
                <w:caps w:val="0"/>
                <w:color w:val="auto"/>
                <w:spacing w:val="0"/>
                <w:kern w:val="0"/>
                <w:sz w:val="21"/>
                <w:szCs w:val="21"/>
                <w:highlight w:val="none"/>
                <w:shd w:val="clear" w:fill="auto"/>
                <w:lang w:bidi="ar"/>
              </w:rPr>
              <w:t>≥1.0mm</w:t>
            </w:r>
            <w:r>
              <w:rPr>
                <w:rFonts w:hint="eastAsia" w:ascii="宋体" w:hAnsi="宋体" w:eastAsia="宋体" w:cs="宋体"/>
                <w:b w:val="0"/>
                <w:bCs w:val="0"/>
                <w:i w:val="0"/>
                <w:iCs w:val="0"/>
                <w:caps w:val="0"/>
                <w:color w:val="auto"/>
                <w:spacing w:val="0"/>
                <w:kern w:val="0"/>
                <w:sz w:val="21"/>
                <w:szCs w:val="21"/>
                <w:highlight w:val="none"/>
                <w:shd w:val="clear" w:fill="auto"/>
                <w:lang w:eastAsia="zh-CN" w:bidi="ar"/>
              </w:rPr>
              <w:t>；</w:t>
            </w:r>
            <w:r>
              <w:rPr>
                <w:rFonts w:hint="eastAsia" w:ascii="宋体" w:hAnsi="宋体" w:eastAsia="宋体" w:cs="宋体"/>
                <w:color w:val="auto"/>
                <w:kern w:val="0"/>
                <w:szCs w:val="21"/>
                <w:highlight w:val="none"/>
                <w:lang w:bidi="ar"/>
              </w:rPr>
              <w:t>管道连接处须采用快装卡箍或法兰连接方式，并配有耐高温硅胶密封圈，密封圈耐温性能 ≥150℃，确保连接处无泄漏。</w:t>
            </w:r>
          </w:p>
          <w:p w14:paraId="093AED9D">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4、</w:t>
            </w:r>
            <w:r>
              <w:rPr>
                <w:rFonts w:hint="eastAsia" w:ascii="宋体" w:hAnsi="宋体" w:eastAsia="宋体" w:cs="宋体"/>
                <w:color w:val="auto"/>
                <w:kern w:val="0"/>
                <w:szCs w:val="21"/>
                <w:highlight w:val="none"/>
                <w:lang w:bidi="ar"/>
              </w:rPr>
              <w:t>面风速：在距罩口150mm的截面上，平均面风速须达到 0.5m/s ~ 0.8m/s（可调），且各测点风速不均匀度 ≤15%。</w:t>
            </w:r>
          </w:p>
          <w:p w14:paraId="52B64C03">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b w:val="0"/>
                <w:bCs w:val="0"/>
                <w:i w:val="0"/>
                <w:iCs w:val="0"/>
                <w:caps w:val="0"/>
                <w:color w:val="auto"/>
                <w:spacing w:val="0"/>
                <w:kern w:val="0"/>
                <w:sz w:val="21"/>
                <w:szCs w:val="21"/>
                <w:highlight w:val="none"/>
                <w:shd w:val="clear" w:fill="auto"/>
                <w:lang w:eastAsia="zh-CN" w:bidi="ar"/>
              </w:rPr>
            </w:pPr>
            <w:r>
              <w:rPr>
                <w:rFonts w:hint="eastAsia" w:ascii="宋体" w:hAnsi="宋体" w:eastAsia="宋体" w:cs="宋体"/>
                <w:color w:val="auto"/>
                <w:kern w:val="0"/>
                <w:szCs w:val="21"/>
                <w:highlight w:val="none"/>
                <w:lang w:val="en-US" w:eastAsia="zh-CN" w:bidi="ar"/>
              </w:rPr>
              <w:t>5、</w:t>
            </w:r>
            <w:r>
              <w:rPr>
                <w:rFonts w:hint="eastAsia" w:ascii="宋体" w:hAnsi="宋体" w:eastAsia="宋体" w:cs="宋体"/>
                <w:b w:val="0"/>
                <w:bCs w:val="0"/>
                <w:i w:val="0"/>
                <w:iCs w:val="0"/>
                <w:caps w:val="0"/>
                <w:color w:val="auto"/>
                <w:spacing w:val="0"/>
                <w:kern w:val="0"/>
                <w:sz w:val="21"/>
                <w:szCs w:val="21"/>
                <w:highlight w:val="none"/>
                <w:shd w:val="clear" w:fill="auto"/>
                <w:lang w:bidi="ar"/>
              </w:rPr>
              <w:t>运行噪声</w:t>
            </w:r>
            <w:r>
              <w:rPr>
                <w:rFonts w:hint="eastAsia" w:ascii="宋体" w:hAnsi="宋体" w:eastAsia="宋体" w:cs="宋体"/>
                <w:i w:val="0"/>
                <w:iCs w:val="0"/>
                <w:caps w:val="0"/>
                <w:color w:val="auto"/>
                <w:spacing w:val="0"/>
                <w:kern w:val="0"/>
                <w:sz w:val="21"/>
                <w:szCs w:val="21"/>
                <w:highlight w:val="none"/>
                <w:shd w:val="clear" w:fill="auto"/>
                <w:lang w:bidi="ar"/>
              </w:rPr>
              <w:t>：在额定风量、面风速为0.5m/s的条件下，整机运行噪声（距设备1m处测量）须</w:t>
            </w:r>
            <w:r>
              <w:rPr>
                <w:rFonts w:hint="eastAsia" w:ascii="宋体" w:hAnsi="宋体" w:eastAsia="宋体" w:cs="宋体"/>
                <w:b w:val="0"/>
                <w:bCs w:val="0"/>
                <w:i w:val="0"/>
                <w:iCs w:val="0"/>
                <w:caps w:val="0"/>
                <w:color w:val="auto"/>
                <w:spacing w:val="0"/>
                <w:kern w:val="0"/>
                <w:sz w:val="21"/>
                <w:szCs w:val="21"/>
                <w:highlight w:val="none"/>
                <w:shd w:val="clear" w:fill="auto"/>
                <w:lang w:bidi="ar"/>
              </w:rPr>
              <w:t>≤65dB（A）</w:t>
            </w:r>
            <w:r>
              <w:rPr>
                <w:rFonts w:hint="eastAsia" w:ascii="宋体" w:hAnsi="宋体" w:eastAsia="宋体" w:cs="宋体"/>
                <w:b w:val="0"/>
                <w:bCs w:val="0"/>
                <w:i w:val="0"/>
                <w:iCs w:val="0"/>
                <w:caps w:val="0"/>
                <w:color w:val="auto"/>
                <w:spacing w:val="0"/>
                <w:kern w:val="0"/>
                <w:sz w:val="21"/>
                <w:szCs w:val="21"/>
                <w:highlight w:val="none"/>
                <w:shd w:val="clear" w:fill="auto"/>
                <w:lang w:eastAsia="zh-CN" w:bidi="ar"/>
              </w:rPr>
              <w:t>。</w:t>
            </w:r>
          </w:p>
          <w:p w14:paraId="4461F424">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Cs w:val="21"/>
                <w:highlight w:val="none"/>
                <w:lang w:val="en-US" w:eastAsia="zh-CN" w:bidi="ar"/>
              </w:rPr>
              <w:t>6、</w:t>
            </w:r>
            <w:r>
              <w:rPr>
                <w:rFonts w:hint="eastAsia" w:ascii="宋体" w:hAnsi="宋体" w:eastAsia="宋体" w:cs="宋体"/>
                <w:color w:val="auto"/>
                <w:kern w:val="0"/>
                <w:szCs w:val="21"/>
                <w:highlight w:val="none"/>
                <w:lang w:bidi="ar"/>
              </w:rPr>
              <w:t>耐温性能：罩体在</w:t>
            </w:r>
            <w:r>
              <w:rPr>
                <w:rFonts w:hint="eastAsia" w:ascii="宋体" w:hAnsi="宋体" w:eastAsia="宋体" w:cs="宋体"/>
                <w:color w:val="auto"/>
                <w:kern w:val="0"/>
                <w:szCs w:val="21"/>
                <w:highlight w:val="none"/>
                <w:lang w:val="en-US" w:eastAsia="zh-CN" w:bidi="ar"/>
              </w:rPr>
              <w:t>高温</w:t>
            </w:r>
            <w:r>
              <w:rPr>
                <w:rFonts w:hint="eastAsia" w:ascii="宋体" w:hAnsi="宋体" w:eastAsia="宋体" w:cs="宋体"/>
                <w:color w:val="auto"/>
                <w:kern w:val="0"/>
                <w:szCs w:val="21"/>
                <w:highlight w:val="none"/>
                <w:lang w:bidi="ar"/>
              </w:rPr>
              <w:t>热烟气环境下连续工作2小时，应无变形、褪色及结构损坏。</w:t>
            </w:r>
          </w:p>
        </w:tc>
        <w:tc>
          <w:tcPr>
            <w:tcW w:w="338" w:type="pct"/>
            <w:shd w:val="clear" w:color="auto" w:fill="auto"/>
            <w:vAlign w:val="center"/>
          </w:tcPr>
          <w:p w14:paraId="47A03C3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1E4CDE90">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4</w:t>
            </w:r>
          </w:p>
        </w:tc>
      </w:tr>
      <w:tr w14:paraId="0B047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7" w:hRule="atLeast"/>
        </w:trPr>
        <w:tc>
          <w:tcPr>
            <w:tcW w:w="384" w:type="pct"/>
            <w:shd w:val="clear" w:color="auto" w:fill="auto"/>
            <w:noWrap/>
            <w:vAlign w:val="center"/>
          </w:tcPr>
          <w:p w14:paraId="131E711E">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97</w:t>
            </w:r>
          </w:p>
        </w:tc>
        <w:tc>
          <w:tcPr>
            <w:tcW w:w="381" w:type="pct"/>
            <w:shd w:val="clear" w:color="auto" w:fill="auto"/>
            <w:vAlign w:val="center"/>
          </w:tcPr>
          <w:p w14:paraId="78161B6A">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置物架</w:t>
            </w:r>
          </w:p>
        </w:tc>
        <w:tc>
          <w:tcPr>
            <w:tcW w:w="783" w:type="pct"/>
            <w:shd w:val="clear" w:color="auto" w:fill="auto"/>
            <w:vAlign w:val="center"/>
          </w:tcPr>
          <w:p w14:paraId="47265E07">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17245" cy="1096010"/>
                  <wp:effectExtent l="0" t="0" r="9525" b="10795"/>
                  <wp:docPr id="114" name="图片 114" descr="置物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置物架"/>
                          <pic:cNvPicPr>
                            <a:picLocks noChangeAspect="1"/>
                          </pic:cNvPicPr>
                        </pic:nvPicPr>
                        <pic:blipFill>
                          <a:blip r:embed="rId34"/>
                          <a:stretch>
                            <a:fillRect/>
                          </a:stretch>
                        </pic:blipFill>
                        <pic:spPr>
                          <a:xfrm>
                            <a:off x="0" y="0"/>
                            <a:ext cx="817245" cy="1096010"/>
                          </a:xfrm>
                          <a:prstGeom prst="rect">
                            <a:avLst/>
                          </a:prstGeom>
                        </pic:spPr>
                      </pic:pic>
                    </a:graphicData>
                  </a:graphic>
                </wp:inline>
              </w:drawing>
            </w:r>
          </w:p>
        </w:tc>
        <w:tc>
          <w:tcPr>
            <w:tcW w:w="2826" w:type="pct"/>
            <w:shd w:val="clear" w:color="auto" w:fill="auto"/>
            <w:vAlign w:val="center"/>
          </w:tcPr>
          <w:p w14:paraId="46BC1A4F">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900*450*1900</w:t>
            </w:r>
            <w:r>
              <w:rPr>
                <w:rFonts w:hint="eastAsia" w:ascii="宋体" w:hAnsi="宋体" w:eastAsia="宋体" w:cs="宋体"/>
                <w:color w:val="auto"/>
                <w:kern w:val="0"/>
                <w:sz w:val="21"/>
                <w:szCs w:val="21"/>
                <w:highlight w:val="none"/>
                <w:lang w:val="en-US" w:eastAsia="zh-CN" w:bidi="ar"/>
              </w:rPr>
              <w:t>mm</w:t>
            </w:r>
          </w:p>
          <w:p w14:paraId="17983E25">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1、全钢结构，整体可拆卸；</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2、实验室专用，采用1.5mm厚度</w:t>
            </w:r>
            <w:r>
              <w:rPr>
                <w:rFonts w:hint="eastAsia" w:ascii="宋体" w:hAnsi="宋体" w:eastAsia="宋体" w:cs="宋体"/>
                <w:color w:val="auto"/>
                <w:kern w:val="0"/>
                <w:sz w:val="21"/>
                <w:szCs w:val="21"/>
                <w:highlight w:val="none"/>
                <w:lang w:eastAsia="zh-CN" w:bidi="ar"/>
              </w:rPr>
              <w:t>一级冷轧钢</w:t>
            </w:r>
            <w:r>
              <w:rPr>
                <w:rFonts w:hint="eastAsia" w:ascii="宋体" w:hAnsi="宋体" w:eastAsia="宋体" w:cs="宋体"/>
                <w:color w:val="auto"/>
                <w:kern w:val="0"/>
                <w:sz w:val="21"/>
                <w:szCs w:val="21"/>
                <w:highlight w:val="none"/>
                <w:lang w:bidi="ar"/>
              </w:rPr>
              <w:t>经数控剪板、冲压、折弯、焊接等一系列程序成型，再经酸洗磷化后喷环氧树脂粉末高温固化；</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3、标配</w:t>
            </w:r>
            <w:r>
              <w:rPr>
                <w:rFonts w:hint="eastAsia" w:ascii="宋体" w:hAnsi="宋体" w:eastAsia="宋体" w:cs="宋体"/>
                <w:color w:val="auto"/>
                <w:kern w:val="0"/>
                <w:sz w:val="21"/>
                <w:szCs w:val="21"/>
                <w:highlight w:val="none"/>
                <w:lang w:eastAsia="zh-CN" w:bidi="ar"/>
              </w:rPr>
              <w:t>三</w:t>
            </w:r>
            <w:r>
              <w:rPr>
                <w:rFonts w:hint="eastAsia" w:ascii="宋体" w:hAnsi="宋体" w:eastAsia="宋体" w:cs="宋体"/>
                <w:color w:val="auto"/>
                <w:kern w:val="0"/>
                <w:sz w:val="21"/>
                <w:szCs w:val="21"/>
                <w:highlight w:val="none"/>
                <w:lang w:bidi="ar"/>
              </w:rPr>
              <w:t>层活动层板，层板托板采用1.2mm厚钢板制作，承重性强。</w:t>
            </w:r>
          </w:p>
        </w:tc>
        <w:tc>
          <w:tcPr>
            <w:tcW w:w="338" w:type="pct"/>
            <w:shd w:val="clear" w:color="auto" w:fill="auto"/>
            <w:vAlign w:val="center"/>
          </w:tcPr>
          <w:p w14:paraId="211F689F">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285" w:type="pct"/>
            <w:shd w:val="clear" w:color="auto" w:fill="auto"/>
            <w:vAlign w:val="center"/>
          </w:tcPr>
          <w:p w14:paraId="678CA1C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27</w:t>
            </w:r>
          </w:p>
        </w:tc>
      </w:tr>
      <w:tr w14:paraId="60833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84" w:type="pct"/>
            <w:shd w:val="clear" w:color="auto" w:fill="auto"/>
            <w:noWrap/>
            <w:vAlign w:val="center"/>
          </w:tcPr>
          <w:p w14:paraId="57BDFB91">
            <w:pPr>
              <w:keepNext w:val="0"/>
              <w:keepLines w:val="0"/>
              <w:widowControl/>
              <w:suppressLineNumbers w:val="0"/>
              <w:jc w:val="center"/>
              <w:textAlignment w:val="center"/>
              <w:rPr>
                <w:rFonts w:hint="default"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98</w:t>
            </w:r>
          </w:p>
        </w:tc>
        <w:tc>
          <w:tcPr>
            <w:tcW w:w="381" w:type="pct"/>
            <w:shd w:val="clear" w:color="auto" w:fill="auto"/>
            <w:vAlign w:val="center"/>
          </w:tcPr>
          <w:p w14:paraId="74407AB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中央台1</w:t>
            </w:r>
          </w:p>
        </w:tc>
        <w:tc>
          <w:tcPr>
            <w:tcW w:w="783" w:type="pct"/>
            <w:shd w:val="clear" w:color="auto" w:fill="auto"/>
            <w:vAlign w:val="center"/>
          </w:tcPr>
          <w:p w14:paraId="48C19E21">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15975" cy="633095"/>
                  <wp:effectExtent l="0" t="0" r="10795" b="6985"/>
                  <wp:docPr id="61" name="图片 61" descr="W中央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W中央台"/>
                          <pic:cNvPicPr>
                            <a:picLocks noChangeAspect="1"/>
                          </pic:cNvPicPr>
                        </pic:nvPicPr>
                        <pic:blipFill>
                          <a:blip r:embed="rId35"/>
                          <a:stretch>
                            <a:fillRect/>
                          </a:stretch>
                        </pic:blipFill>
                        <pic:spPr>
                          <a:xfrm>
                            <a:off x="0" y="0"/>
                            <a:ext cx="815975" cy="633095"/>
                          </a:xfrm>
                          <a:prstGeom prst="rect">
                            <a:avLst/>
                          </a:prstGeom>
                        </pic:spPr>
                      </pic:pic>
                    </a:graphicData>
                  </a:graphic>
                </wp:inline>
              </w:drawing>
            </w:r>
          </w:p>
        </w:tc>
        <w:tc>
          <w:tcPr>
            <w:tcW w:w="2826" w:type="pct"/>
            <w:shd w:val="clear" w:color="auto" w:fill="auto"/>
            <w:vAlign w:val="center"/>
          </w:tcPr>
          <w:p w14:paraId="2A8EA580">
            <w:pPr>
              <w:keepNext w:val="0"/>
              <w:keepLines w:val="0"/>
              <w:widowControl/>
              <w:wordWrap w:val="0"/>
              <w:spacing w:line="360" w:lineRule="exact"/>
              <w:textAlignment w:val="bottom"/>
              <w:rPr>
                <w:rFonts w:hint="eastAsia"/>
                <w:color w:val="auto"/>
                <w:highlight w:val="none"/>
                <w:lang w:val="en-US" w:eastAsia="zh-CN"/>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3000*1500*850</w:t>
            </w:r>
            <w:r>
              <w:rPr>
                <w:rFonts w:hint="eastAsia" w:ascii="宋体" w:hAnsi="宋体" w:eastAsia="宋体" w:cs="宋体"/>
                <w:color w:val="auto"/>
                <w:kern w:val="0"/>
                <w:sz w:val="21"/>
                <w:szCs w:val="21"/>
                <w:highlight w:val="none"/>
                <w:lang w:val="en-US" w:eastAsia="zh-CN" w:bidi="ar"/>
              </w:rPr>
              <w:t>mm</w:t>
            </w:r>
          </w:p>
          <w:p w14:paraId="3290F9BB">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0A8CA71B">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6EA89527">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6BC7857E">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032B65C2">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3CE7A50D">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6A426408">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7B361635">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4B1153C2">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13</w:t>
            </w:r>
          </w:p>
        </w:tc>
      </w:tr>
      <w:tr w14:paraId="639D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trPr>
        <w:tc>
          <w:tcPr>
            <w:tcW w:w="384" w:type="pct"/>
            <w:shd w:val="clear" w:color="auto" w:fill="auto"/>
            <w:noWrap/>
            <w:vAlign w:val="center"/>
          </w:tcPr>
          <w:p w14:paraId="61DFA23E">
            <w:pPr>
              <w:keepNext w:val="0"/>
              <w:keepLines w:val="0"/>
              <w:widowControl/>
              <w:suppressLineNumbers w:val="0"/>
              <w:jc w:val="center"/>
              <w:textAlignment w:val="center"/>
              <w:rPr>
                <w:rFonts w:hint="default"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99</w:t>
            </w:r>
          </w:p>
        </w:tc>
        <w:tc>
          <w:tcPr>
            <w:tcW w:w="381" w:type="pct"/>
            <w:shd w:val="clear" w:color="auto" w:fill="auto"/>
            <w:vAlign w:val="center"/>
          </w:tcPr>
          <w:p w14:paraId="0DD655D3">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Cs w:val="21"/>
                <w:highlight w:val="none"/>
                <w:lang w:bidi="ar"/>
              </w:rPr>
              <w:t>中央台2(带滴水架)</w:t>
            </w:r>
          </w:p>
        </w:tc>
        <w:tc>
          <w:tcPr>
            <w:tcW w:w="783" w:type="pct"/>
            <w:shd w:val="clear" w:color="auto" w:fill="auto"/>
            <w:vAlign w:val="center"/>
          </w:tcPr>
          <w:p w14:paraId="282AAD5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anchor distT="0" distB="0" distL="114300" distR="114300" simplePos="0" relativeHeight="251710464" behindDoc="0" locked="0" layoutInCell="1" allowOverlap="1">
                  <wp:simplePos x="0" y="0"/>
                  <wp:positionH relativeFrom="column">
                    <wp:posOffset>-19050</wp:posOffset>
                  </wp:positionH>
                  <wp:positionV relativeFrom="paragraph">
                    <wp:posOffset>1755775</wp:posOffset>
                  </wp:positionV>
                  <wp:extent cx="815975" cy="633095"/>
                  <wp:effectExtent l="0" t="0" r="10795" b="6985"/>
                  <wp:wrapSquare wrapText="bothSides"/>
                  <wp:docPr id="62" name="图片 62" descr="W中央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W中央台"/>
                          <pic:cNvPicPr>
                            <a:picLocks noChangeAspect="1"/>
                          </pic:cNvPicPr>
                        </pic:nvPicPr>
                        <pic:blipFill>
                          <a:blip r:embed="rId35"/>
                          <a:stretch>
                            <a:fillRect/>
                          </a:stretch>
                        </pic:blipFill>
                        <pic:spPr>
                          <a:xfrm>
                            <a:off x="0" y="0"/>
                            <a:ext cx="815975" cy="633095"/>
                          </a:xfrm>
                          <a:prstGeom prst="rect">
                            <a:avLst/>
                          </a:prstGeom>
                        </pic:spPr>
                      </pic:pic>
                    </a:graphicData>
                  </a:graphic>
                </wp:anchor>
              </w:drawing>
            </w:r>
          </w:p>
        </w:tc>
        <w:tc>
          <w:tcPr>
            <w:tcW w:w="2826" w:type="pct"/>
            <w:shd w:val="clear" w:color="auto" w:fill="auto"/>
            <w:vAlign w:val="center"/>
          </w:tcPr>
          <w:p w14:paraId="35E5D984">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3000*1500*850</w:t>
            </w:r>
            <w:r>
              <w:rPr>
                <w:rFonts w:hint="eastAsia" w:ascii="宋体" w:hAnsi="宋体" w:eastAsia="宋体" w:cs="宋体"/>
                <w:color w:val="auto"/>
                <w:kern w:val="0"/>
                <w:sz w:val="21"/>
                <w:szCs w:val="21"/>
                <w:highlight w:val="none"/>
                <w:lang w:val="en-US" w:eastAsia="zh-CN" w:bidi="ar"/>
              </w:rPr>
              <w:t>mm</w:t>
            </w:r>
          </w:p>
          <w:p w14:paraId="16566FFC">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bidi="ar"/>
              </w:rPr>
              <w:t>边台陶瓷台面板：</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kern w:val="0"/>
                <w:szCs w:val="21"/>
                <w:highlight w:val="none"/>
                <w:lang w:bidi="ar"/>
              </w:rPr>
              <w:t>性能需满足以下基本要求：</w:t>
            </w:r>
          </w:p>
          <w:p w14:paraId="40A4A7D2">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★1、陶瓷台面截面耐污性能要求：参照 GB/T24820-2024检测标准试件正面和截面（测试对象为同一块样品）污染物接触时间不低于48h，污染物至少包含二氯甲烷99.8%、丙酮99.5%及</w:t>
            </w:r>
            <w:r>
              <w:rPr>
                <w:rFonts w:hint="eastAsia" w:ascii="宋体" w:hAnsi="宋体" w:eastAsia="宋体" w:cs="宋体"/>
                <w:color w:val="auto"/>
                <w:kern w:val="0"/>
                <w:szCs w:val="21"/>
                <w:highlight w:val="none"/>
                <w:lang w:eastAsia="zh-CN" w:bidi="ar"/>
              </w:rPr>
              <w:t>碘伏（碘酒）</w:t>
            </w:r>
            <w:r>
              <w:rPr>
                <w:rFonts w:hint="eastAsia" w:ascii="宋体" w:hAnsi="宋体" w:eastAsia="宋体" w:cs="宋体"/>
                <w:color w:val="auto"/>
                <w:kern w:val="0"/>
                <w:szCs w:val="21"/>
                <w:highlight w:val="none"/>
                <w:lang w:bidi="ar"/>
              </w:rPr>
              <w:t>等检测项目，检测结果为5级，表面无明显变化。台面截面表面区域为台面四周可见截面或杯槽开孔截面。</w:t>
            </w:r>
          </w:p>
          <w:p w14:paraId="03AA76A6">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★2、陶瓷台面表面质量性能要求：参照GB/T3810.2-2016检验依据（委托抽样检验），表面质量至少98%以上的陶瓷台面主要区域无明显缺陷，以上检测结果：符合。</w:t>
            </w:r>
          </w:p>
          <w:p w14:paraId="028EED72">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★3、陶瓷台面安全性能要求:放射性核素限量须符合GB 6566-2010《建筑材料放射性核素限量》中A类装饰装修材料的要求，且内照射指数IRa≤1.0、外照射指数Ir≤1.3（为保证更高安全标准，本项目技术要求不低于：IRa≤0.4，Ir≤0.9。）。甲醛释放量符合E0级限量要求（甲醛释放量≤0.050mg/</w:t>
            </w:r>
            <w:r>
              <w:rPr>
                <w:rFonts w:hint="eastAsia" w:ascii="宋体" w:hAnsi="宋体" w:eastAsia="宋体" w:cs="宋体"/>
                <w:color w:val="auto"/>
                <w:kern w:val="0"/>
                <w:szCs w:val="21"/>
                <w:highlight w:val="none"/>
                <w:lang w:bidi="ar"/>
              </w:rPr>
              <w:t>m</w:t>
            </w:r>
            <w:r>
              <w:rPr>
                <w:rFonts w:hint="eastAsia" w:ascii="宋体" w:hAnsi="宋体" w:eastAsia="宋体" w:cs="宋体"/>
                <w:color w:val="auto"/>
                <w:kern w:val="0"/>
                <w:szCs w:val="21"/>
                <w:highlight w:val="none"/>
                <w:vertAlign w:val="superscript"/>
                <w:lang w:bidi="ar"/>
              </w:rPr>
              <w:t>3</w:t>
            </w:r>
            <w:r>
              <w:rPr>
                <w:rFonts w:hint="eastAsia" w:ascii="宋体" w:hAnsi="宋体" w:eastAsia="宋体" w:cs="宋体"/>
                <w:color w:val="auto"/>
                <w:kern w:val="0"/>
                <w:szCs w:val="21"/>
                <w:highlight w:val="none"/>
                <w:lang w:bidi="ar"/>
              </w:rPr>
              <w:t>）。</w:t>
            </w:r>
          </w:p>
          <w:p w14:paraId="42FF744E">
            <w:pPr>
              <w:keepNext w:val="0"/>
              <w:keepLines w:val="0"/>
              <w:pageBreakBefore w:val="0"/>
              <w:widowControl/>
              <w:numPr>
                <w:ilvl w:val="0"/>
                <w:numId w:val="0"/>
              </w:numPr>
              <w:kinsoku/>
              <w:wordWrap w:val="0"/>
              <w:overflowPunct/>
              <w:topLinePunct w:val="0"/>
              <w:autoSpaceDE/>
              <w:autoSpaceDN/>
              <w:bidi w:val="0"/>
              <w:adjustRightInd/>
              <w:spacing w:line="360" w:lineRule="exact"/>
              <w:jc w:val="both"/>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★4、陶瓷台面尺寸允许偏差性能要求：参照GB/T3810.2-2016检验依据（委托抽样检验），检测长度、宽度的实际尺寸与工作尺寸的允许偏差，检测结果为：长度、宽度偏差±0.3%，最大值±5mm。</w:t>
            </w:r>
          </w:p>
          <w:p w14:paraId="0F8612CE">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Cs w:val="21"/>
                <w:highlight w:val="none"/>
                <w:lang w:bidi="ar"/>
              </w:rPr>
              <w:t>5、投标时提供满足或优于以上所有技术参数内容及对本项至少5年使用破损无条件‬更换的售后承诺书。</w:t>
            </w:r>
          </w:p>
          <w:p w14:paraId="654DF658">
            <w:pPr>
              <w:keepNext w:val="0"/>
              <w:keepLines w:val="0"/>
              <w:pageBreakBefore w:val="0"/>
              <w:widowControl/>
              <w:numPr>
                <w:ilvl w:val="-1"/>
                <w:numId w:val="0"/>
              </w:numPr>
              <w:kinsoku/>
              <w:wordWrap w:val="0"/>
              <w:overflowPunct/>
              <w:topLinePunct w:val="0"/>
              <w:autoSpaceDE/>
              <w:autoSpaceDN/>
              <w:bidi w:val="0"/>
              <w:adjustRightInd/>
              <w:spacing w:line="360" w:lineRule="exact"/>
              <w:jc w:val="both"/>
              <w:textAlignment w:val="center"/>
              <w:rPr>
                <w:rStyle w:val="26"/>
                <w:rFonts w:hint="eastAsia" w:ascii="宋体" w:hAnsi="宋体" w:eastAsia="宋体" w:cs="宋体"/>
                <w:color w:val="auto"/>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6</w:t>
            </w:r>
            <w:r>
              <w:rPr>
                <w:rStyle w:val="26"/>
                <w:rFonts w:hint="eastAsia" w:ascii="宋体" w:hAnsi="宋体" w:eastAsia="宋体" w:cs="宋体"/>
                <w:color w:val="auto"/>
                <w:sz w:val="21"/>
                <w:szCs w:val="21"/>
                <w:highlight w:val="none"/>
                <w:lang w:bidi="ar"/>
              </w:rPr>
              <w:t>、配置滴水架（尺寸400*120*550</w:t>
            </w:r>
            <w:r>
              <w:rPr>
                <w:rStyle w:val="26"/>
                <w:rFonts w:hint="eastAsia" w:ascii="宋体" w:hAnsi="宋体" w:eastAsia="宋体" w:cs="宋体"/>
                <w:color w:val="auto"/>
                <w:sz w:val="21"/>
                <w:szCs w:val="21"/>
                <w:highlight w:val="none"/>
                <w:lang w:val="en-US" w:eastAsia="zh-CN" w:bidi="ar"/>
              </w:rPr>
              <w:t>mm</w:t>
            </w:r>
            <w:r>
              <w:rPr>
                <w:rStyle w:val="26"/>
                <w:rFonts w:hint="eastAsia" w:ascii="宋体" w:hAnsi="宋体" w:eastAsia="宋体" w:cs="宋体"/>
                <w:color w:val="auto"/>
                <w:sz w:val="21"/>
                <w:szCs w:val="21"/>
                <w:highlight w:val="none"/>
                <w:lang w:bidi="ar"/>
              </w:rPr>
              <w:t>），主体为PP材质。</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二、桌身结构规格说明：</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1、采用90*90</w:t>
            </w:r>
            <w:r>
              <w:rPr>
                <w:rStyle w:val="26"/>
                <w:rFonts w:hint="eastAsia" w:ascii="宋体" w:hAnsi="宋体" w:eastAsia="宋体" w:cs="宋体"/>
                <w:color w:val="auto"/>
                <w:sz w:val="21"/>
                <w:szCs w:val="21"/>
                <w:highlight w:val="none"/>
                <w:lang w:val="en-US" w:eastAsia="zh-CN" w:bidi="ar"/>
              </w:rPr>
              <w:t>*</w:t>
            </w:r>
            <w:r>
              <w:rPr>
                <w:rStyle w:val="26"/>
                <w:rFonts w:hint="eastAsia" w:ascii="宋体" w:hAnsi="宋体" w:eastAsia="宋体" w:cs="宋体"/>
                <w:color w:val="auto"/>
                <w:sz w:val="21"/>
                <w:szCs w:val="21"/>
                <w:highlight w:val="none"/>
                <w:lang w:bidi="ar"/>
              </w:rPr>
              <w:t>1.5mm优质冷轧扇形钢管，</w:t>
            </w:r>
            <w:r>
              <w:rPr>
                <w:rStyle w:val="26"/>
                <w:rFonts w:hint="eastAsia" w:ascii="宋体" w:hAnsi="宋体" w:eastAsia="宋体" w:cs="宋体"/>
                <w:color w:val="auto"/>
                <w:sz w:val="21"/>
                <w:szCs w:val="21"/>
                <w:highlight w:val="none"/>
                <w:lang w:eastAsia="zh-CN" w:bidi="ar"/>
              </w:rPr>
              <w:t>60*30*1.5mm</w:t>
            </w:r>
            <w:r>
              <w:rPr>
                <w:rStyle w:val="26"/>
                <w:rFonts w:hint="eastAsia" w:ascii="宋体" w:hAnsi="宋体" w:eastAsia="宋体" w:cs="宋体"/>
                <w:color w:val="auto"/>
                <w:sz w:val="21"/>
                <w:szCs w:val="21"/>
                <w:highlight w:val="none"/>
                <w:lang w:bidi="ar"/>
              </w:rPr>
              <w:t>优质冷轧方形钢管，框架连接处采用激光切割榫卯卡扣，扣压拼装的方式。整体框架结构合理，稳定性及承重能力强；</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2、前梁：前梁采用</w:t>
            </w:r>
            <w:r>
              <w:rPr>
                <w:rStyle w:val="26"/>
                <w:rFonts w:hint="eastAsia" w:ascii="宋体" w:hAnsi="宋体" w:eastAsia="宋体" w:cs="宋体"/>
                <w:color w:val="auto"/>
                <w:sz w:val="21"/>
                <w:szCs w:val="21"/>
                <w:highlight w:val="none"/>
                <w:lang w:eastAsia="zh-CN" w:bidi="ar"/>
              </w:rPr>
              <w:t>90*90*1.5mm</w:t>
            </w:r>
            <w:r>
              <w:rPr>
                <w:rStyle w:val="26"/>
                <w:rFonts w:hint="eastAsia" w:ascii="宋体" w:hAnsi="宋体" w:eastAsia="宋体" w:cs="宋体"/>
                <w:color w:val="auto"/>
                <w:sz w:val="21"/>
                <w:szCs w:val="21"/>
                <w:highlight w:val="none"/>
                <w:lang w:bidi="ar"/>
              </w:rPr>
              <w:t>优质冷轧扇形钢管，表面酸洗、磷化及高压静电喷涂环氧树脂粉末防护层作耐酸碱耐腐蚀表面处理，其保护层厚度为≥75微米。圆弧设计，安全美观。采用榫卯卡扣的安装方式，安装便捷</w:t>
            </w:r>
            <w:r>
              <w:rPr>
                <w:rStyle w:val="26"/>
                <w:rFonts w:hint="eastAsia" w:ascii="宋体" w:hAnsi="宋体" w:eastAsia="宋体" w:cs="宋体"/>
                <w:color w:val="auto"/>
                <w:sz w:val="21"/>
                <w:szCs w:val="21"/>
                <w:highlight w:val="none"/>
                <w:lang w:eastAsia="zh-CN" w:bidi="ar"/>
              </w:rPr>
              <w:t>。</w:t>
            </w:r>
          </w:p>
          <w:p w14:paraId="7081237D">
            <w:pPr>
              <w:keepNext w:val="0"/>
              <w:keepLines w:val="0"/>
              <w:pageBreakBefore w:val="0"/>
              <w:widowControl/>
              <w:kinsoku/>
              <w:wordWrap w:val="0"/>
              <w:overflowPunct/>
              <w:topLinePunct w:val="0"/>
              <w:autoSpaceDE/>
              <w:autoSpaceDN/>
              <w:bidi w:val="0"/>
              <w:adjustRightInd/>
              <w:spacing w:line="360" w:lineRule="exact"/>
              <w:jc w:val="both"/>
              <w:textAlignment w:val="bottom"/>
              <w:rPr>
                <w:rFonts w:hint="eastAsia" w:ascii="宋体" w:hAnsi="宋体" w:eastAsia="宋体" w:cs="宋体"/>
                <w:color w:val="auto"/>
                <w:sz w:val="21"/>
                <w:szCs w:val="21"/>
                <w:highlight w:val="none"/>
              </w:rPr>
            </w:pPr>
            <w:r>
              <w:rPr>
                <w:rStyle w:val="26"/>
                <w:rFonts w:hint="eastAsia" w:ascii="宋体" w:hAnsi="宋体" w:eastAsia="宋体" w:cs="宋体"/>
                <w:color w:val="auto"/>
                <w:sz w:val="21"/>
                <w:szCs w:val="21"/>
                <w:highlight w:val="none"/>
                <w:lang w:bidi="ar"/>
              </w:rPr>
              <w:t>3、后梁：采用整体固定架以榫卯的安装方式无需采用传统的螺丝固定。榫卯自锁紧安全牢固，便捷。抛离了传统钻尾螺丝固定，不破坏防腐涂层，工件所有连接部分经过环氧喷涂，避免因水</w:t>
            </w:r>
            <w:r>
              <w:rPr>
                <w:rStyle w:val="26"/>
                <w:rFonts w:hint="eastAsia" w:ascii="宋体" w:hAnsi="宋体" w:eastAsia="宋体" w:cs="宋体"/>
                <w:color w:val="auto"/>
                <w:sz w:val="21"/>
                <w:szCs w:val="21"/>
                <w:highlight w:val="none"/>
                <w:lang w:val="en-US" w:eastAsia="zh-CN" w:bidi="ar"/>
              </w:rPr>
              <w:t>分</w:t>
            </w:r>
            <w:r>
              <w:rPr>
                <w:rStyle w:val="26"/>
                <w:rFonts w:hint="eastAsia" w:ascii="宋体" w:hAnsi="宋体" w:eastAsia="宋体" w:cs="宋体"/>
                <w:color w:val="auto"/>
                <w:sz w:val="21"/>
                <w:szCs w:val="21"/>
                <w:highlight w:val="none"/>
                <w:lang w:bidi="ar"/>
              </w:rPr>
              <w:t>或者试剂渗漏进接缝后出现腐蚀生锈。提高了产品的使用寿命。提高安装效率和实验台的稳定性及承重能力。</w:t>
            </w:r>
            <w:r>
              <w:rPr>
                <w:rStyle w:val="26"/>
                <w:rFonts w:hint="eastAsia" w:ascii="宋体" w:hAnsi="宋体" w:eastAsia="宋体" w:cs="宋体"/>
                <w:color w:val="auto"/>
                <w:sz w:val="21"/>
                <w:szCs w:val="21"/>
                <w:highlight w:val="none"/>
                <w:lang w:bidi="ar"/>
              </w:rPr>
              <w:br w:type="textWrapping"/>
            </w:r>
            <w:r>
              <w:rPr>
                <w:rStyle w:val="26"/>
                <w:rFonts w:hint="eastAsia" w:ascii="宋体" w:hAnsi="宋体" w:eastAsia="宋体" w:cs="宋体"/>
                <w:color w:val="auto"/>
                <w:sz w:val="21"/>
                <w:szCs w:val="21"/>
                <w:highlight w:val="none"/>
                <w:lang w:bidi="ar"/>
              </w:rPr>
              <w:t>4、活动背板：采用≥1.0mm高品质</w:t>
            </w:r>
            <w:r>
              <w:rPr>
                <w:rStyle w:val="26"/>
                <w:rFonts w:hint="eastAsia" w:ascii="宋体" w:hAnsi="宋体" w:eastAsia="宋体" w:cs="宋体"/>
                <w:color w:val="auto"/>
                <w:sz w:val="21"/>
                <w:szCs w:val="21"/>
                <w:highlight w:val="none"/>
                <w:lang w:eastAsia="zh-CN" w:bidi="ar"/>
              </w:rPr>
              <w:t>一级冷轧钢板</w:t>
            </w:r>
            <w:r>
              <w:rPr>
                <w:rStyle w:val="26"/>
                <w:rFonts w:hint="eastAsia" w:ascii="宋体" w:hAnsi="宋体" w:eastAsia="宋体" w:cs="宋体"/>
                <w:color w:val="auto"/>
                <w:sz w:val="21"/>
                <w:szCs w:val="21"/>
                <w:highlight w:val="none"/>
                <w:lang w:bidi="ar"/>
              </w:rPr>
              <w:t>，表面经酸洗、磷化防锈及静电处理，并喷涂≧75μm厚环氧树脂粉末。采用卡扣的便捷安装方式，拆卸安装方便。</w:t>
            </w:r>
          </w:p>
        </w:tc>
        <w:tc>
          <w:tcPr>
            <w:tcW w:w="338" w:type="pct"/>
            <w:shd w:val="clear" w:color="auto" w:fill="auto"/>
            <w:vAlign w:val="center"/>
          </w:tcPr>
          <w:p w14:paraId="66A63E98">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29203BEA">
            <w:pPr>
              <w:keepNext w:val="0"/>
              <w:keepLines w:val="0"/>
              <w:pageBreakBefore w:val="0"/>
              <w:widowControl/>
              <w:kinsoku/>
              <w:wordWrap/>
              <w:overflowPunct/>
              <w:topLinePunct w:val="0"/>
              <w:autoSpaceDE/>
              <w:autoSpaceDN/>
              <w:bidi w:val="0"/>
              <w:adjustRightInd/>
              <w:spacing w:line="360" w:lineRule="exact"/>
              <w:jc w:val="center"/>
              <w:textAlignment w:val="center"/>
              <w:rPr>
                <w:rFonts w:hint="default"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bidi="ar"/>
              </w:rPr>
              <w:t>7</w:t>
            </w:r>
            <w:r>
              <w:rPr>
                <w:rFonts w:hint="eastAsia" w:ascii="宋体" w:hAnsi="宋体" w:eastAsia="宋体" w:cs="宋体"/>
                <w:color w:val="auto"/>
                <w:kern w:val="0"/>
                <w:sz w:val="21"/>
                <w:szCs w:val="21"/>
                <w:highlight w:val="none"/>
                <w:lang w:val="en-US" w:eastAsia="zh-CN" w:bidi="ar"/>
              </w:rPr>
              <w:t>4</w:t>
            </w:r>
          </w:p>
        </w:tc>
      </w:tr>
      <w:tr w14:paraId="2F769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384" w:type="pct"/>
            <w:shd w:val="clear" w:color="auto" w:fill="auto"/>
            <w:noWrap/>
            <w:vAlign w:val="center"/>
          </w:tcPr>
          <w:p w14:paraId="3F78CD28">
            <w:pPr>
              <w:keepNext w:val="0"/>
              <w:keepLines w:val="0"/>
              <w:widowControl/>
              <w:suppressLineNumbers w:val="0"/>
              <w:jc w:val="center"/>
              <w:textAlignment w:val="center"/>
              <w:rPr>
                <w:rFonts w:hint="default" w:ascii="宋体" w:hAnsi="宋体" w:eastAsia="宋体" w:cs="宋体"/>
                <w:color w:val="auto"/>
                <w:sz w:val="21"/>
                <w:szCs w:val="21"/>
                <w:highlight w:val="none"/>
              </w:rPr>
            </w:pPr>
            <w:r>
              <w:rPr>
                <w:rFonts w:hint="eastAsia" w:ascii="宋体" w:hAnsi="宋体" w:eastAsia="宋体" w:cs="宋体"/>
                <w:i w:val="0"/>
                <w:iCs w:val="0"/>
                <w:color w:val="auto"/>
                <w:kern w:val="0"/>
                <w:sz w:val="24"/>
                <w:szCs w:val="24"/>
                <w:highlight w:val="none"/>
                <w:u w:val="none"/>
                <w:lang w:val="en-US" w:eastAsia="zh-CN" w:bidi="ar"/>
              </w:rPr>
              <w:t>100</w:t>
            </w:r>
          </w:p>
        </w:tc>
        <w:tc>
          <w:tcPr>
            <w:tcW w:w="381" w:type="pct"/>
            <w:shd w:val="clear" w:color="auto" w:fill="auto"/>
            <w:vAlign w:val="center"/>
          </w:tcPr>
          <w:p w14:paraId="1F9E1C0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中央台水槽台</w:t>
            </w:r>
          </w:p>
        </w:tc>
        <w:tc>
          <w:tcPr>
            <w:tcW w:w="783" w:type="pct"/>
            <w:shd w:val="clear" w:color="auto" w:fill="auto"/>
            <w:vAlign w:val="center"/>
          </w:tcPr>
          <w:p w14:paraId="49A7214A">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drawing>
                <wp:inline distT="0" distB="0" distL="114300" distR="114300">
                  <wp:extent cx="821055" cy="733425"/>
                  <wp:effectExtent l="0" t="0" r="5715" b="0"/>
                  <wp:docPr id="115" name="图片 115" descr="中央台水槽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中央台水槽台"/>
                          <pic:cNvPicPr>
                            <a:picLocks noChangeAspect="1"/>
                          </pic:cNvPicPr>
                        </pic:nvPicPr>
                        <pic:blipFill>
                          <a:blip r:embed="rId10"/>
                          <a:stretch>
                            <a:fillRect/>
                          </a:stretch>
                        </pic:blipFill>
                        <pic:spPr>
                          <a:xfrm>
                            <a:off x="0" y="0"/>
                            <a:ext cx="821055" cy="733425"/>
                          </a:xfrm>
                          <a:prstGeom prst="rect">
                            <a:avLst/>
                          </a:prstGeom>
                        </pic:spPr>
                      </pic:pic>
                    </a:graphicData>
                  </a:graphic>
                </wp:inline>
              </w:drawing>
            </w:r>
          </w:p>
        </w:tc>
        <w:tc>
          <w:tcPr>
            <w:tcW w:w="2826" w:type="pct"/>
            <w:shd w:val="clear" w:color="auto" w:fill="auto"/>
            <w:vAlign w:val="center"/>
          </w:tcPr>
          <w:p w14:paraId="73220E18">
            <w:pPr>
              <w:keepNext w:val="0"/>
              <w:keepLines w:val="0"/>
              <w:pageBreakBefore w:val="0"/>
              <w:widowControl/>
              <w:kinsoku/>
              <w:wordWrap w:val="0"/>
              <w:overflowPunct/>
              <w:topLinePunct w:val="0"/>
              <w:autoSpaceDE/>
              <w:autoSpaceDN/>
              <w:bidi w:val="0"/>
              <w:adjustRightInd/>
              <w:spacing w:line="360" w:lineRule="exact"/>
              <w:jc w:val="both"/>
              <w:textAlignment w:val="top"/>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尺寸：</w:t>
            </w:r>
            <w:r>
              <w:rPr>
                <w:rFonts w:hint="eastAsia" w:ascii="宋体" w:hAnsi="宋体" w:eastAsia="宋体" w:cs="宋体"/>
                <w:color w:val="auto"/>
                <w:kern w:val="0"/>
                <w:sz w:val="21"/>
                <w:szCs w:val="21"/>
                <w:highlight w:val="none"/>
                <w:lang w:bidi="ar"/>
              </w:rPr>
              <w:t>750*1500*850</w:t>
            </w:r>
            <w:r>
              <w:rPr>
                <w:rFonts w:hint="eastAsia" w:ascii="宋体" w:hAnsi="宋体" w:eastAsia="宋体" w:cs="宋体"/>
                <w:color w:val="auto"/>
                <w:kern w:val="0"/>
                <w:sz w:val="21"/>
                <w:szCs w:val="21"/>
                <w:highlight w:val="none"/>
                <w:lang w:val="en-US" w:eastAsia="zh-CN" w:bidi="ar"/>
              </w:rPr>
              <w:t>mm</w:t>
            </w:r>
          </w:p>
          <w:p w14:paraId="4048F571">
            <w:pPr>
              <w:keepNext w:val="0"/>
              <w:keepLines w:val="0"/>
              <w:pageBreakBefore w:val="0"/>
              <w:widowControl/>
              <w:kinsoku/>
              <w:wordWrap w:val="0"/>
              <w:overflowPunct/>
              <w:topLinePunct w:val="0"/>
              <w:autoSpaceDE/>
              <w:autoSpaceDN/>
              <w:bidi w:val="0"/>
              <w:adjustRightInd/>
              <w:spacing w:line="360" w:lineRule="exact"/>
              <w:jc w:val="both"/>
              <w:textAlignment w:val="top"/>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1、落地全钢结构，台面国产20mm陶瓷板台面，台面耐酸碱、耐腐蚀</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br w:type="textWrapping"/>
            </w:r>
            <w:r>
              <w:rPr>
                <w:rFonts w:hint="eastAsia" w:ascii="宋体" w:hAnsi="宋体" w:eastAsia="宋体" w:cs="宋体"/>
                <w:color w:val="auto"/>
                <w:kern w:val="0"/>
                <w:sz w:val="21"/>
                <w:szCs w:val="21"/>
                <w:highlight w:val="none"/>
                <w:lang w:bidi="ar"/>
              </w:rPr>
              <w:t>2、柜体采用1.0mm厚度</w:t>
            </w:r>
            <w:r>
              <w:rPr>
                <w:rFonts w:hint="eastAsia" w:ascii="宋体" w:hAnsi="宋体" w:eastAsia="宋体" w:cs="宋体"/>
                <w:color w:val="auto"/>
                <w:kern w:val="0"/>
                <w:sz w:val="21"/>
                <w:szCs w:val="21"/>
                <w:highlight w:val="none"/>
                <w:lang w:eastAsia="zh-CN" w:bidi="ar"/>
              </w:rPr>
              <w:t>一级冷轧钢</w:t>
            </w:r>
            <w:r>
              <w:rPr>
                <w:rFonts w:hint="eastAsia" w:ascii="宋体" w:hAnsi="宋体" w:eastAsia="宋体" w:cs="宋体"/>
                <w:color w:val="auto"/>
                <w:kern w:val="0"/>
                <w:sz w:val="21"/>
                <w:szCs w:val="21"/>
                <w:highlight w:val="none"/>
                <w:lang w:bidi="ar"/>
              </w:rPr>
              <w:t>经数控剪板数控冲压数控折弯,焊接等一系列程序成型,表面经酸洗磷化后啧涂环氧树脂粉末。</w:t>
            </w:r>
          </w:p>
        </w:tc>
        <w:tc>
          <w:tcPr>
            <w:tcW w:w="338" w:type="pct"/>
            <w:shd w:val="clear" w:color="auto" w:fill="auto"/>
            <w:vAlign w:val="center"/>
          </w:tcPr>
          <w:p w14:paraId="23D86179">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台</w:t>
            </w:r>
          </w:p>
        </w:tc>
        <w:tc>
          <w:tcPr>
            <w:tcW w:w="285" w:type="pct"/>
            <w:shd w:val="clear" w:color="auto" w:fill="auto"/>
            <w:vAlign w:val="center"/>
          </w:tcPr>
          <w:p w14:paraId="51D6A981">
            <w:pPr>
              <w:keepNext w:val="0"/>
              <w:keepLines w:val="0"/>
              <w:pageBreakBefore w:val="0"/>
              <w:widowControl/>
              <w:kinsoku/>
              <w:wordWrap/>
              <w:overflowPunct/>
              <w:topLinePunct w:val="0"/>
              <w:autoSpaceDE/>
              <w:autoSpaceDN/>
              <w:bidi w:val="0"/>
              <w:adjustRightInd/>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87</w:t>
            </w:r>
          </w:p>
        </w:tc>
      </w:tr>
      <w:tr w14:paraId="4832B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6"/>
            <w:shd w:val="clear" w:color="auto" w:fill="auto"/>
            <w:noWrap/>
            <w:vAlign w:val="center"/>
          </w:tcPr>
          <w:p w14:paraId="65B69A01">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备注：</w:t>
            </w:r>
          </w:p>
          <w:p w14:paraId="27803035">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bidi="ar"/>
              </w:rPr>
              <w:t>、材质的要求及材质的厚度须满足或优于采购需求；产品性能须满足或优于用户要求；</w:t>
            </w:r>
          </w:p>
          <w:p w14:paraId="2A902185">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bidi="ar"/>
              </w:rPr>
              <w:t>、引用的所有标准，如有更新或替换时，应执行最新标准。</w:t>
            </w:r>
          </w:p>
        </w:tc>
      </w:tr>
      <w:tr w14:paraId="40D4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6"/>
            <w:shd w:val="clear" w:color="auto" w:fill="auto"/>
            <w:noWrap/>
            <w:vAlign w:val="center"/>
          </w:tcPr>
          <w:p w14:paraId="268BE59A">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b/>
                <w:bCs/>
                <w:color w:val="auto"/>
                <w:kern w:val="0"/>
                <w:sz w:val="21"/>
                <w:szCs w:val="21"/>
                <w:highlight w:val="none"/>
                <w:lang w:bidi="ar"/>
              </w:rPr>
              <w:t>商务及其他要求表：</w:t>
            </w:r>
          </w:p>
        </w:tc>
      </w:tr>
      <w:tr w14:paraId="15181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4" w:type="pct"/>
            <w:shd w:val="clear" w:color="auto" w:fill="auto"/>
            <w:noWrap/>
            <w:vAlign w:val="center"/>
          </w:tcPr>
          <w:p w14:paraId="30A3C7EF">
            <w:pPr>
              <w:keepNext w:val="0"/>
              <w:keepLines w:val="0"/>
              <w:pageBreakBefore w:val="0"/>
              <w:widowControl/>
              <w:kinsoku/>
              <w:wordWrap/>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▲售后服务及其他</w:t>
            </w:r>
          </w:p>
          <w:p w14:paraId="3AC9D896">
            <w:pPr>
              <w:keepNext w:val="0"/>
              <w:keepLines w:val="0"/>
              <w:pageBreakBefore w:val="0"/>
              <w:widowControl/>
              <w:kinsoku/>
              <w:wordWrap/>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要求</w:t>
            </w:r>
          </w:p>
        </w:tc>
        <w:tc>
          <w:tcPr>
            <w:tcW w:w="4615" w:type="pct"/>
            <w:gridSpan w:val="5"/>
            <w:shd w:val="clear" w:color="auto" w:fill="auto"/>
            <w:vAlign w:val="center"/>
          </w:tcPr>
          <w:p w14:paraId="3320828A">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1、合同签订期：自中标通知书发出之日起25日历日内。</w:t>
            </w:r>
          </w:p>
          <w:p w14:paraId="3D33F44E">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 xml:space="preserve">2、交付使用时间：自合同签订之50日内交付并安装验收完毕。 </w:t>
            </w:r>
          </w:p>
          <w:p w14:paraId="4889D064">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3、交货地点：广西南宁市青秀区五合大道13号广西中医药大学仙葫校区（采购人指定地点）。</w:t>
            </w:r>
          </w:p>
          <w:p w14:paraId="1D90D821">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4、交货方式：现场交货。</w:t>
            </w:r>
          </w:p>
          <w:p w14:paraId="46CF8A21">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5、售后服务要求：</w:t>
            </w:r>
          </w:p>
          <w:p w14:paraId="5974824A">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（1）免费送货上门，按现场条件全程免费安装调试，直至最终验收前产生的所有费用由中标供应商承担；</w:t>
            </w:r>
          </w:p>
          <w:p w14:paraId="46805B6F">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 xml:space="preserve"> （2）免费保修期：对所售设备提供60个月的上门全免费保修期，保修期内非人为因素发生的故障均由中标供应商免费维修或更换，质保期外维修的零配件需优惠（注明折扣率）；</w:t>
            </w:r>
          </w:p>
          <w:p w14:paraId="56DAAEAC">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default"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（3）质量保证期：</w:t>
            </w:r>
            <w:r>
              <w:rPr>
                <w:rFonts w:hint="eastAsia" w:ascii="宋体" w:hAnsi="宋体" w:eastAsia="宋体" w:cs="宋体"/>
                <w:color w:val="auto"/>
                <w:kern w:val="0"/>
                <w:szCs w:val="21"/>
                <w:highlight w:val="none"/>
                <w:lang w:bidi="ar"/>
              </w:rPr>
              <w:t>所有家具（含配件）的质量保证期自全部产品验收合格之日起计算，整体质保期不少于5年。质保期内，因正常使用而产生的质量问题，供应商应提供免费的维修或更换服务。其中，仪器台所采用的实芯理化板台面板，其专项质保期延长至10年。</w:t>
            </w:r>
          </w:p>
          <w:p w14:paraId="65472E1B">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（4）故障响应时间：货物发生故障时，在接到采购人通知后24小时内到达现场处理，一般故障处理时限不超过12小时，12小时内不能修复的，提供替代品；</w:t>
            </w:r>
          </w:p>
          <w:p w14:paraId="7A47AB10">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（5）验收所需工具、器材由中标供应商自理；各项性能指标达到技术要求的，由供需双方共同签字认可，现场验收；</w:t>
            </w:r>
          </w:p>
          <w:p w14:paraId="748B9FC2">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6）中标供应商负责处理解决货物出现的质量及安全问题并承担一切费用，所有非故意性损坏以及正常使用范围内造成的损坏均要免费维修，因人为因素出现的故障不在免费保修范围内，但中标供应商也要积极帮助采购人修理，并提供优惠价格的配件和服务。</w:t>
            </w:r>
          </w:p>
        </w:tc>
      </w:tr>
      <w:tr w14:paraId="4092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4" w:type="pct"/>
            <w:shd w:val="clear" w:color="auto" w:fill="auto"/>
            <w:noWrap/>
            <w:vAlign w:val="center"/>
          </w:tcPr>
          <w:p w14:paraId="7D9308AC">
            <w:pPr>
              <w:keepNext w:val="0"/>
              <w:keepLines w:val="0"/>
              <w:pageBreakBefore w:val="0"/>
              <w:widowControl/>
              <w:kinsoku/>
              <w:wordWrap/>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▲验收标准</w:t>
            </w:r>
          </w:p>
        </w:tc>
        <w:tc>
          <w:tcPr>
            <w:tcW w:w="4615" w:type="pct"/>
            <w:gridSpan w:val="5"/>
            <w:shd w:val="clear" w:color="auto" w:fill="auto"/>
            <w:vAlign w:val="center"/>
          </w:tcPr>
          <w:p w14:paraId="7FBE3078">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1、所供产品的规格、数量符合招标项目采购需求及采购合同约定的要求。</w:t>
            </w:r>
          </w:p>
          <w:p w14:paraId="3AF8826F">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2、所供产品的材质、颜色符合招标项目采购需求及采购合同约定的要求。</w:t>
            </w:r>
          </w:p>
          <w:p w14:paraId="104C9641">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3、所供产品的外观完好，无碰撞、五金件生锈等明显瑕疵。</w:t>
            </w:r>
          </w:p>
          <w:p w14:paraId="3EDE0B23">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4、所供产品结构牢固，无安全隐患。</w:t>
            </w:r>
          </w:p>
          <w:p w14:paraId="743ED30D">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 xml:space="preserve">5、如有抽检要求的，检测结果符合招标项目采购需求及采购合同约定的要求。 </w:t>
            </w:r>
          </w:p>
          <w:p w14:paraId="43B408E7">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6、所有产品均已运输至指定地点，并安装调试完毕。</w:t>
            </w:r>
          </w:p>
          <w:p w14:paraId="2440EAF9">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7、招标文件招标项目采购需求及采购合同约定的附件、工具、技术资料等齐全；提供产品使用说明书、合格等证明材料。</w:t>
            </w:r>
          </w:p>
        </w:tc>
      </w:tr>
      <w:tr w14:paraId="745B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4" w:type="pct"/>
            <w:shd w:val="clear" w:color="auto" w:fill="auto"/>
            <w:noWrap/>
            <w:vAlign w:val="center"/>
          </w:tcPr>
          <w:p w14:paraId="0515566F">
            <w:pPr>
              <w:keepNext w:val="0"/>
              <w:keepLines w:val="0"/>
              <w:pageBreakBefore w:val="0"/>
              <w:widowControl/>
              <w:kinsoku/>
              <w:wordWrap/>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▲投标报价</w:t>
            </w:r>
          </w:p>
        </w:tc>
        <w:tc>
          <w:tcPr>
            <w:tcW w:w="4615" w:type="pct"/>
            <w:gridSpan w:val="5"/>
            <w:shd w:val="clear" w:color="auto" w:fill="auto"/>
            <w:vAlign w:val="center"/>
          </w:tcPr>
          <w:p w14:paraId="29D459E3">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投标报价为采购人指定地点的现场交货价，包括：</w:t>
            </w:r>
          </w:p>
          <w:p w14:paraId="4DB0B0CB">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（1）货物的价格：包括货款、零配件、安装调试费、验收费；</w:t>
            </w:r>
          </w:p>
          <w:p w14:paraId="02B9AC04">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val="en" w:bidi="ar"/>
              </w:rPr>
            </w:pPr>
            <w:r>
              <w:rPr>
                <w:rFonts w:hint="eastAsia" w:ascii="宋体" w:hAnsi="宋体" w:eastAsia="宋体" w:cs="宋体"/>
                <w:color w:val="auto"/>
                <w:kern w:val="0"/>
                <w:sz w:val="21"/>
                <w:szCs w:val="21"/>
                <w:highlight w:val="none"/>
                <w:lang w:bidi="ar"/>
              </w:rPr>
              <w:t>（2）货物的标准附件、备品备件、专用工具的价格</w:t>
            </w:r>
            <w:r>
              <w:rPr>
                <w:rFonts w:hint="eastAsia" w:ascii="宋体" w:hAnsi="宋体" w:eastAsia="宋体" w:cs="宋体"/>
                <w:color w:val="auto"/>
                <w:kern w:val="0"/>
                <w:sz w:val="21"/>
                <w:szCs w:val="21"/>
                <w:highlight w:val="none"/>
                <w:lang w:val="en" w:bidi="ar"/>
              </w:rPr>
              <w:t>；</w:t>
            </w:r>
          </w:p>
          <w:p w14:paraId="44C99E04">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（3）运输、装卸、调试、培训、技术支持、售后服务费；</w:t>
            </w:r>
          </w:p>
          <w:p w14:paraId="1D17F9A1">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（4）按采购人要求进行摆放的费用。</w:t>
            </w:r>
          </w:p>
          <w:p w14:paraId="5499234C">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注：投标人自行考虑完成项目所需的辅材、零配件等数量，投标报价中应包含全部内容，中标后采购人不再另行支付额外费用。</w:t>
            </w:r>
          </w:p>
        </w:tc>
      </w:tr>
      <w:tr w14:paraId="489E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384" w:type="pct"/>
            <w:shd w:val="clear" w:color="auto" w:fill="auto"/>
            <w:noWrap/>
            <w:vAlign w:val="center"/>
          </w:tcPr>
          <w:p w14:paraId="6FB96D98">
            <w:pPr>
              <w:keepNext w:val="0"/>
              <w:keepLines w:val="0"/>
              <w:pageBreakBefore w:val="0"/>
              <w:widowControl/>
              <w:kinsoku/>
              <w:wordWrap/>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 xml:space="preserve">履约保证金  </w:t>
            </w:r>
          </w:p>
        </w:tc>
        <w:tc>
          <w:tcPr>
            <w:tcW w:w="4615" w:type="pct"/>
            <w:gridSpan w:val="5"/>
            <w:shd w:val="clear" w:color="auto" w:fill="auto"/>
            <w:vAlign w:val="center"/>
          </w:tcPr>
          <w:p w14:paraId="0936B340">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Cs w:val="21"/>
                <w:highlight w:val="none"/>
                <w:lang w:val="en-US" w:eastAsia="zh-CN" w:bidi="ar"/>
              </w:rPr>
              <w:t>1、</w:t>
            </w:r>
            <w:r>
              <w:rPr>
                <w:rFonts w:hint="eastAsia" w:ascii="宋体" w:hAnsi="宋体" w:eastAsia="宋体" w:cs="宋体"/>
                <w:color w:val="auto"/>
                <w:kern w:val="0"/>
                <w:sz w:val="21"/>
                <w:szCs w:val="21"/>
                <w:highlight w:val="none"/>
                <w:lang w:bidi="ar"/>
              </w:rPr>
              <w:t>合同签订之前，供应商按合同金额的</w:t>
            </w:r>
            <w:r>
              <w:rPr>
                <w:rFonts w:hint="eastAsia" w:ascii="宋体" w:hAnsi="宋体" w:eastAsia="宋体" w:cs="宋体"/>
                <w:color w:val="auto"/>
                <w:kern w:val="0"/>
                <w:sz w:val="21"/>
                <w:szCs w:val="21"/>
                <w:highlight w:val="none"/>
                <w:u w:val="single"/>
                <w:lang w:val="en-US" w:eastAsia="zh-CN" w:bidi="ar"/>
              </w:rPr>
              <w:t xml:space="preserve">   5  </w:t>
            </w:r>
            <w:r>
              <w:rPr>
                <w:rFonts w:hint="eastAsia" w:ascii="宋体" w:hAnsi="宋体" w:eastAsia="宋体" w:cs="宋体"/>
                <w:color w:val="auto"/>
                <w:kern w:val="0"/>
                <w:sz w:val="21"/>
                <w:szCs w:val="21"/>
                <w:highlight w:val="none"/>
                <w:lang w:bidi="ar"/>
              </w:rPr>
              <w:t>%向采购人交纳履约保证金</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Cs w:val="21"/>
                <w:highlight w:val="none"/>
                <w:lang w:bidi="ar"/>
              </w:rPr>
              <w:t>若</w:t>
            </w:r>
            <w:r>
              <w:rPr>
                <w:rFonts w:hint="eastAsia" w:ascii="宋体" w:hAnsi="宋体" w:eastAsia="宋体" w:cs="宋体"/>
                <w:color w:val="auto"/>
                <w:kern w:val="0"/>
                <w:szCs w:val="21"/>
                <w:highlight w:val="none"/>
                <w:lang w:val="en" w:bidi="ar"/>
              </w:rPr>
              <w:t>中标供应商</w:t>
            </w:r>
            <w:r>
              <w:rPr>
                <w:rFonts w:hint="eastAsia" w:ascii="宋体" w:hAnsi="宋体" w:eastAsia="宋体" w:cs="宋体"/>
                <w:color w:val="auto"/>
                <w:kern w:val="0"/>
                <w:szCs w:val="21"/>
                <w:highlight w:val="none"/>
                <w:lang w:bidi="ar"/>
              </w:rPr>
              <w:t>为中小企业的，履约保证金数额将按中标金额的2%收取</w:t>
            </w:r>
            <w:r>
              <w:rPr>
                <w:rFonts w:hint="eastAsia" w:ascii="宋体" w:hAnsi="宋体" w:eastAsia="宋体" w:cs="宋体"/>
                <w:color w:val="auto"/>
                <w:kern w:val="0"/>
                <w:sz w:val="21"/>
                <w:szCs w:val="21"/>
                <w:highlight w:val="none"/>
                <w:lang w:eastAsia="zh-CN" w:bidi="ar"/>
              </w:rPr>
              <w:t>）；</w:t>
            </w:r>
          </w:p>
          <w:p w14:paraId="4C092936">
            <w:pPr>
              <w:widowControl/>
              <w:wordWrap w:val="0"/>
              <w:snapToGrid/>
              <w:spacing w:line="400" w:lineRule="exact"/>
              <w:ind w:right="0" w:rightChars="0"/>
              <w:jc w:val="left"/>
              <w:textAlignment w:val="bottom"/>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Cs w:val="21"/>
                <w:highlight w:val="none"/>
                <w:lang w:bidi="ar"/>
              </w:rPr>
              <w:t>2</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履约保证金递交方式：银行转账、电汇、网上支付、支票、汇票、本票、保函等非现金形式</w:t>
            </w:r>
            <w:r>
              <w:rPr>
                <w:rFonts w:hint="eastAsia" w:ascii="宋体" w:hAnsi="宋体" w:eastAsia="宋体" w:cs="宋体"/>
                <w:color w:val="auto"/>
                <w:kern w:val="0"/>
                <w:szCs w:val="21"/>
                <w:highlight w:val="none"/>
                <w:lang w:eastAsia="zh-CN" w:bidi="ar"/>
              </w:rPr>
              <w:t>；</w:t>
            </w:r>
          </w:p>
          <w:p w14:paraId="4F80893C">
            <w:pPr>
              <w:widowControl/>
              <w:wordWrap w:val="0"/>
              <w:snapToGrid/>
              <w:spacing w:line="400" w:lineRule="exact"/>
              <w:textAlignment w:val="bottom"/>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3、</w:t>
            </w:r>
            <w:r>
              <w:rPr>
                <w:rFonts w:hint="eastAsia" w:ascii="宋体" w:hAnsi="宋体" w:eastAsia="宋体" w:cs="宋体"/>
                <w:color w:val="auto"/>
                <w:kern w:val="0"/>
                <w:szCs w:val="21"/>
                <w:highlight w:val="none"/>
                <w:lang w:bidi="ar"/>
              </w:rPr>
              <w:t>履约保证金递交时间：签订合同前5个工作日内由中标供应商转入采购人指定保证金账户</w:t>
            </w:r>
            <w:r>
              <w:rPr>
                <w:rFonts w:hint="eastAsia" w:ascii="宋体" w:hAnsi="宋体" w:eastAsia="宋体" w:cs="宋体"/>
                <w:color w:val="auto"/>
                <w:kern w:val="0"/>
                <w:szCs w:val="21"/>
                <w:highlight w:val="none"/>
                <w:lang w:eastAsia="zh-CN" w:bidi="ar"/>
              </w:rPr>
              <w:t>；</w:t>
            </w:r>
          </w:p>
          <w:p w14:paraId="789DC99F">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4、</w:t>
            </w:r>
            <w:r>
              <w:rPr>
                <w:rFonts w:hint="eastAsia" w:ascii="宋体" w:hAnsi="宋体" w:eastAsia="宋体" w:cs="宋体"/>
                <w:color w:val="auto"/>
                <w:kern w:val="0"/>
                <w:szCs w:val="21"/>
                <w:highlight w:val="none"/>
                <w:lang w:bidi="ar"/>
              </w:rPr>
              <w:t>履约保证金退还：中标人若完全履行合同，货物验收合格后，，中标供应商提供《政府采购项目履约保证金退付意见书》及《政府采购项目合同验收报告》，向采购人提出书面申请退还，采购人在收到申请后十五个工作日内以银行转账方式无息退还。保证金指定账户：</w:t>
            </w:r>
          </w:p>
          <w:p w14:paraId="1069C27E">
            <w:pPr>
              <w:keepNext w:val="0"/>
              <w:keepLines w:val="0"/>
              <w:pageBreakBefore w:val="0"/>
              <w:widowControl w:val="0"/>
              <w:kinsoku/>
              <w:wordWrap w:val="0"/>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 xml:space="preserve">户名： </w:t>
            </w:r>
            <w:r>
              <w:rPr>
                <w:rStyle w:val="36"/>
                <w:rFonts w:hint="eastAsia" w:ascii="宋体" w:hAnsi="宋体" w:cs="宋体"/>
                <w:color w:val="auto"/>
                <w:szCs w:val="21"/>
                <w:highlight w:val="none"/>
              </w:rPr>
              <w:t>广西中医药大学</w:t>
            </w:r>
          </w:p>
          <w:p w14:paraId="38D6011F">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 xml:space="preserve">账号： </w:t>
            </w:r>
            <w:r>
              <w:rPr>
                <w:rStyle w:val="36"/>
                <w:rFonts w:ascii="宋体" w:hAnsi="宋体" w:cs="宋体"/>
                <w:color w:val="auto"/>
                <w:szCs w:val="21"/>
                <w:highlight w:val="none"/>
              </w:rPr>
              <w:t>621057498215</w:t>
            </w:r>
          </w:p>
          <w:p w14:paraId="44123BCB">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color w:val="auto"/>
                <w:highlight w:val="none"/>
              </w:rPr>
            </w:pPr>
            <w:r>
              <w:rPr>
                <w:rFonts w:hint="eastAsia" w:ascii="宋体" w:hAnsi="宋体" w:eastAsia="宋体" w:cs="宋体"/>
                <w:color w:val="auto"/>
                <w:kern w:val="0"/>
                <w:sz w:val="21"/>
                <w:szCs w:val="21"/>
                <w:highlight w:val="none"/>
                <w:lang w:bidi="ar"/>
              </w:rPr>
              <w:t>开户银行：</w:t>
            </w:r>
            <w:r>
              <w:rPr>
                <w:rStyle w:val="36"/>
                <w:rFonts w:hint="eastAsia" w:ascii="宋体" w:hAnsi="宋体" w:cs="宋体"/>
                <w:color w:val="auto"/>
                <w:szCs w:val="21"/>
                <w:highlight w:val="none"/>
              </w:rPr>
              <w:t>中国银行股份有限公司南宁市明秀东支行</w:t>
            </w:r>
            <w:r>
              <w:rPr>
                <w:rFonts w:hint="eastAsia"/>
                <w:b w:val="0"/>
                <w:bCs w:val="0"/>
                <w:color w:val="auto"/>
                <w:highlight w:val="none"/>
              </w:rPr>
              <w:t xml:space="preserve"> </w:t>
            </w:r>
          </w:p>
        </w:tc>
      </w:tr>
      <w:tr w14:paraId="30EA5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4" w:type="pct"/>
            <w:shd w:val="clear" w:color="auto" w:fill="auto"/>
            <w:noWrap/>
            <w:vAlign w:val="center"/>
          </w:tcPr>
          <w:p w14:paraId="136A28FD">
            <w:pPr>
              <w:keepNext w:val="0"/>
              <w:keepLines w:val="0"/>
              <w:pageBreakBefore w:val="0"/>
              <w:widowControl/>
              <w:kinsoku/>
              <w:wordWrap/>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▲本项目核心产品</w:t>
            </w:r>
          </w:p>
        </w:tc>
        <w:tc>
          <w:tcPr>
            <w:tcW w:w="4615" w:type="pct"/>
            <w:gridSpan w:val="5"/>
            <w:shd w:val="clear" w:color="auto" w:fill="auto"/>
            <w:vAlign w:val="center"/>
          </w:tcPr>
          <w:p w14:paraId="39CB6EFC">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投标产品</w:t>
            </w:r>
            <w:r>
              <w:rPr>
                <w:rFonts w:hint="eastAsia" w:ascii="宋体" w:hAnsi="宋体" w:eastAsia="宋体" w:cs="宋体"/>
                <w:color w:val="auto"/>
                <w:kern w:val="0"/>
                <w:sz w:val="21"/>
                <w:szCs w:val="21"/>
                <w:highlight w:val="none"/>
                <w:lang w:eastAsia="zh-CN" w:bidi="ar"/>
              </w:rPr>
              <w:t>项号</w:t>
            </w:r>
            <w:r>
              <w:rPr>
                <w:rFonts w:hint="eastAsia" w:ascii="宋体" w:hAnsi="宋体" w:eastAsia="宋体" w:cs="宋体"/>
                <w:color w:val="auto"/>
                <w:kern w:val="0"/>
                <w:sz w:val="21"/>
                <w:szCs w:val="21"/>
                <w:highlight w:val="none"/>
                <w:lang w:val="en-US" w:eastAsia="zh-CN" w:bidi="ar"/>
              </w:rPr>
              <w:t>98、99</w:t>
            </w:r>
            <w:r>
              <w:rPr>
                <w:rFonts w:hint="eastAsia" w:ascii="宋体" w:hAnsi="宋体" w:eastAsia="宋体" w:cs="宋体"/>
                <w:color w:val="auto"/>
                <w:kern w:val="0"/>
                <w:sz w:val="21"/>
                <w:szCs w:val="21"/>
                <w:highlight w:val="none"/>
                <w:lang w:bidi="ar"/>
              </w:rPr>
              <w:t>“中央台”（核心产品品牌相同的，视为提供同品牌产品）</w:t>
            </w:r>
          </w:p>
          <w:p w14:paraId="600EF22D">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注：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评标方法及评定标准》中的推荐原则确定一个投标人获得中标人推荐资格，其他同品牌投标人不作为中标候选人。</w:t>
            </w:r>
          </w:p>
        </w:tc>
      </w:tr>
      <w:tr w14:paraId="7FC7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384" w:type="pct"/>
            <w:shd w:val="clear" w:color="auto" w:fill="auto"/>
            <w:noWrap/>
            <w:vAlign w:val="center"/>
          </w:tcPr>
          <w:p w14:paraId="69996D94">
            <w:pPr>
              <w:keepNext w:val="0"/>
              <w:keepLines w:val="0"/>
              <w:pageBreakBefore w:val="0"/>
              <w:widowControl/>
              <w:kinsoku/>
              <w:wordWrap/>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投标</w:t>
            </w:r>
          </w:p>
          <w:p w14:paraId="6786A5A7">
            <w:pPr>
              <w:keepNext w:val="0"/>
              <w:keepLines w:val="0"/>
              <w:pageBreakBefore w:val="0"/>
              <w:widowControl/>
              <w:kinsoku/>
              <w:wordWrap/>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样品（小样）</w:t>
            </w:r>
          </w:p>
          <w:p w14:paraId="7BF69BA6">
            <w:pPr>
              <w:keepNext w:val="0"/>
              <w:keepLines w:val="0"/>
              <w:pageBreakBefore w:val="0"/>
              <w:widowControl/>
              <w:kinsoku/>
              <w:wordWrap/>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要求</w:t>
            </w:r>
          </w:p>
        </w:tc>
        <w:tc>
          <w:tcPr>
            <w:tcW w:w="4615" w:type="pct"/>
            <w:gridSpan w:val="5"/>
            <w:shd w:val="clear" w:color="auto" w:fill="auto"/>
            <w:vAlign w:val="center"/>
          </w:tcPr>
          <w:p w14:paraId="39F4856A">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b/>
                <w:bCs/>
                <w:color w:val="auto"/>
                <w:kern w:val="0"/>
                <w:sz w:val="21"/>
                <w:szCs w:val="21"/>
                <w:highlight w:val="none"/>
                <w:lang w:bidi="ar"/>
              </w:rPr>
            </w:pPr>
            <w:r>
              <w:rPr>
                <w:rFonts w:hint="eastAsia" w:ascii="宋体" w:hAnsi="宋体" w:eastAsia="宋体" w:cs="宋体"/>
                <w:b/>
                <w:bCs/>
                <w:color w:val="auto"/>
                <w:kern w:val="0"/>
                <w:sz w:val="21"/>
                <w:szCs w:val="21"/>
                <w:highlight w:val="none"/>
                <w:lang w:bidi="ar"/>
              </w:rPr>
              <w:t>投标时请提供小样：</w:t>
            </w:r>
          </w:p>
          <w:p w14:paraId="381EF359">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备注：</w:t>
            </w:r>
          </w:p>
          <w:p w14:paraId="64FAE353">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bidi="ar"/>
              </w:rPr>
              <w:t>）小样只是作为加分项，不作为投标的必须要求；小样的尺寸不作为评定要求。</w:t>
            </w:r>
          </w:p>
          <w:p w14:paraId="233FCE1E">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（2）小样递交时间：</w:t>
            </w:r>
            <w:r>
              <w:rPr>
                <w:rFonts w:hint="eastAsia" w:ascii="宋体" w:hAnsi="宋体" w:eastAsia="宋体" w:cs="宋体"/>
                <w:color w:val="auto"/>
                <w:kern w:val="0"/>
                <w:sz w:val="21"/>
                <w:szCs w:val="21"/>
                <w:highlight w:val="none"/>
                <w:lang w:eastAsia="zh-CN" w:bidi="ar"/>
              </w:rPr>
              <w:t>在</w:t>
            </w:r>
            <w:r>
              <w:rPr>
                <w:rFonts w:hint="eastAsia" w:ascii="宋体" w:hAnsi="宋体" w:eastAsia="宋体" w:cs="宋体"/>
                <w:color w:val="auto"/>
                <w:kern w:val="0"/>
                <w:sz w:val="21"/>
                <w:szCs w:val="21"/>
                <w:highlight w:val="none"/>
                <w:lang w:bidi="ar"/>
              </w:rPr>
              <w:t>开标当天提交投标文件截止时间（9；30-10：00）前</w:t>
            </w:r>
            <w:r>
              <w:rPr>
                <w:rFonts w:hint="eastAsia" w:ascii="宋体" w:hAnsi="宋体" w:eastAsia="宋体" w:cs="宋体"/>
                <w:color w:val="auto"/>
                <w:kern w:val="0"/>
                <w:sz w:val="21"/>
                <w:szCs w:val="21"/>
                <w:highlight w:val="none"/>
                <w:lang w:eastAsia="zh-CN" w:bidi="ar"/>
              </w:rPr>
              <w:t>递交</w:t>
            </w:r>
            <w:r>
              <w:rPr>
                <w:rFonts w:hint="eastAsia" w:ascii="宋体" w:hAnsi="宋体" w:eastAsia="宋体" w:cs="宋体"/>
                <w:color w:val="auto"/>
                <w:kern w:val="0"/>
                <w:sz w:val="21"/>
                <w:szCs w:val="21"/>
                <w:highlight w:val="none"/>
                <w:lang w:bidi="ar"/>
              </w:rPr>
              <w:t>；</w:t>
            </w:r>
          </w:p>
          <w:p w14:paraId="06B05544">
            <w:pPr>
              <w:keepNext w:val="0"/>
              <w:keepLines w:val="0"/>
              <w:pageBreakBefore w:val="0"/>
              <w:widowControl/>
              <w:kinsoku/>
              <w:wordWrap w:val="0"/>
              <w:overflowPunct/>
              <w:topLinePunct w:val="0"/>
              <w:autoSpaceDE/>
              <w:autoSpaceDN/>
              <w:bidi w:val="0"/>
              <w:adjustRightInd/>
              <w:snapToGrid/>
              <w:spacing w:line="400" w:lineRule="exact"/>
              <w:ind w:firstLine="420" w:firstLineChars="200"/>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小样</w:t>
            </w:r>
            <w:r>
              <w:rPr>
                <w:rFonts w:hint="eastAsia" w:ascii="宋体" w:hAnsi="宋体" w:eastAsia="宋体" w:cs="宋体"/>
                <w:color w:val="auto"/>
                <w:kern w:val="0"/>
                <w:sz w:val="21"/>
                <w:szCs w:val="21"/>
                <w:highlight w:val="none"/>
                <w:lang w:eastAsia="zh-CN" w:bidi="ar"/>
              </w:rPr>
              <w:t>递交</w:t>
            </w:r>
            <w:r>
              <w:rPr>
                <w:rFonts w:hint="eastAsia" w:ascii="宋体" w:hAnsi="宋体" w:eastAsia="宋体" w:cs="宋体"/>
                <w:color w:val="auto"/>
                <w:kern w:val="0"/>
                <w:sz w:val="21"/>
                <w:szCs w:val="21"/>
                <w:highlight w:val="none"/>
                <w:lang w:bidi="ar"/>
              </w:rPr>
              <w:t>地点：南宁市星湖路22号评标楼（4号楼）三楼303室。</w:t>
            </w:r>
          </w:p>
          <w:p w14:paraId="72EAEA82">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（3）小样递交要求：</w:t>
            </w:r>
          </w:p>
          <w:p w14:paraId="4D2566BB">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1）提交小样的代表须向采购代理机构工作人员提交“小样授权委托书”原件。</w:t>
            </w:r>
          </w:p>
          <w:p w14:paraId="644D8157">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 xml:space="preserve">2）所有小样按以下规定要求密封（包装）：小样包装外面贴上项目名称和项目编号及投标人名称等信息；包装里面的各小样不能出现有关投标人的标识，如出现透露投标人的信息，小样不得进行评定。 </w:t>
            </w:r>
          </w:p>
          <w:p w14:paraId="249758DA">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3）评标前由采购代理机构工作人员将对投标人的标签进行遮盖，评定小样时由采购代理机构工作人员及评委一起打开，待评定小样完毕后，再统一拆封所有投标人的标签。</w:t>
            </w:r>
          </w:p>
          <w:p w14:paraId="5DCCA27E">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4）采购结果公告后，中标人小样不退，作为验收依据之一。未中标的小样，在采购结果公告发出（或接到本中心通知）后五个工作日内，原路径退回样品，逾期一个月内未办理领取小样的，所造成的损失，投标人自行承担。</w:t>
            </w:r>
          </w:p>
          <w:tbl>
            <w:tblPr>
              <w:tblStyle w:val="20"/>
              <w:tblW w:w="85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893"/>
              <w:gridCol w:w="1020"/>
              <w:gridCol w:w="758"/>
              <w:gridCol w:w="1617"/>
              <w:gridCol w:w="3577"/>
            </w:tblGrid>
            <w:tr w14:paraId="5A045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732" w:type="dxa"/>
                  <w:tcBorders>
                    <w:top w:val="single" w:color="auto" w:sz="4" w:space="0"/>
                    <w:left w:val="single" w:color="auto" w:sz="4" w:space="0"/>
                    <w:bottom w:val="single" w:color="auto" w:sz="4" w:space="0"/>
                    <w:right w:val="single" w:color="auto" w:sz="4" w:space="0"/>
                  </w:tcBorders>
                  <w:vAlign w:val="center"/>
                </w:tcPr>
                <w:p w14:paraId="2202F02D">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项号</w:t>
                  </w:r>
                </w:p>
              </w:tc>
              <w:tc>
                <w:tcPr>
                  <w:tcW w:w="893" w:type="dxa"/>
                  <w:tcBorders>
                    <w:top w:val="single" w:color="auto" w:sz="4" w:space="0"/>
                    <w:left w:val="single" w:color="auto" w:sz="4" w:space="0"/>
                    <w:bottom w:val="single" w:color="auto" w:sz="4" w:space="0"/>
                    <w:right w:val="single" w:color="auto" w:sz="4" w:space="0"/>
                  </w:tcBorders>
                  <w:vAlign w:val="center"/>
                </w:tcPr>
                <w:p w14:paraId="035DED19">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b/>
                      <w:bCs/>
                      <w:color w:val="auto"/>
                      <w:kern w:val="0"/>
                      <w:sz w:val="21"/>
                      <w:szCs w:val="21"/>
                      <w:highlight w:val="none"/>
                      <w:lang w:eastAsia="zh-CN" w:bidi="ar"/>
                    </w:rPr>
                  </w:pPr>
                  <w:r>
                    <w:rPr>
                      <w:rFonts w:hint="eastAsia" w:ascii="宋体" w:hAnsi="宋体" w:eastAsia="宋体" w:cs="宋体"/>
                      <w:b/>
                      <w:bCs/>
                      <w:color w:val="auto"/>
                      <w:kern w:val="0"/>
                      <w:sz w:val="21"/>
                      <w:szCs w:val="21"/>
                      <w:highlight w:val="none"/>
                      <w:lang w:bidi="ar"/>
                    </w:rPr>
                    <w:t>采购</w:t>
                  </w:r>
                  <w:r>
                    <w:rPr>
                      <w:rFonts w:hint="eastAsia" w:ascii="宋体" w:hAnsi="宋体" w:eastAsia="宋体" w:cs="宋体"/>
                      <w:b/>
                      <w:bCs/>
                      <w:color w:val="auto"/>
                      <w:kern w:val="0"/>
                      <w:sz w:val="21"/>
                      <w:szCs w:val="21"/>
                      <w:highlight w:val="none"/>
                      <w:lang w:eastAsia="zh-CN" w:bidi="ar"/>
                    </w:rPr>
                    <w:t>货物</w:t>
                  </w:r>
                </w:p>
              </w:tc>
              <w:tc>
                <w:tcPr>
                  <w:tcW w:w="1020" w:type="dxa"/>
                  <w:tcBorders>
                    <w:top w:val="single" w:color="auto" w:sz="4" w:space="0"/>
                    <w:left w:val="single" w:color="auto" w:sz="4" w:space="0"/>
                    <w:bottom w:val="single" w:color="auto" w:sz="4" w:space="0"/>
                    <w:right w:val="single" w:color="auto" w:sz="4" w:space="0"/>
                  </w:tcBorders>
                  <w:vAlign w:val="center"/>
                </w:tcPr>
                <w:p w14:paraId="20A7539A">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b/>
                      <w:bCs/>
                      <w:color w:val="auto"/>
                      <w:kern w:val="0"/>
                      <w:sz w:val="21"/>
                      <w:szCs w:val="21"/>
                      <w:highlight w:val="none"/>
                      <w:lang w:bidi="ar"/>
                    </w:rPr>
                  </w:pPr>
                  <w:r>
                    <w:rPr>
                      <w:rFonts w:hint="eastAsia" w:ascii="宋体" w:hAnsi="宋体" w:eastAsia="宋体" w:cs="宋体"/>
                      <w:b/>
                      <w:bCs/>
                      <w:color w:val="auto"/>
                      <w:kern w:val="0"/>
                      <w:sz w:val="21"/>
                      <w:szCs w:val="21"/>
                      <w:highlight w:val="none"/>
                      <w:lang w:bidi="ar"/>
                    </w:rPr>
                    <w:t>小样名称</w:t>
                  </w:r>
                </w:p>
              </w:tc>
              <w:tc>
                <w:tcPr>
                  <w:tcW w:w="758" w:type="dxa"/>
                  <w:tcBorders>
                    <w:top w:val="single" w:color="auto" w:sz="4" w:space="0"/>
                    <w:left w:val="single" w:color="auto" w:sz="4" w:space="0"/>
                    <w:bottom w:val="single" w:color="auto" w:sz="4" w:space="0"/>
                    <w:right w:val="single" w:color="auto" w:sz="4" w:space="0"/>
                  </w:tcBorders>
                  <w:vAlign w:val="center"/>
                </w:tcPr>
                <w:p w14:paraId="7CE0592D">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b/>
                      <w:bCs/>
                      <w:color w:val="auto"/>
                      <w:kern w:val="0"/>
                      <w:sz w:val="21"/>
                      <w:szCs w:val="21"/>
                      <w:highlight w:val="none"/>
                      <w:lang w:bidi="ar"/>
                    </w:rPr>
                  </w:pPr>
                  <w:r>
                    <w:rPr>
                      <w:rFonts w:hint="eastAsia" w:ascii="宋体" w:hAnsi="宋体" w:eastAsia="宋体" w:cs="宋体"/>
                      <w:b/>
                      <w:bCs/>
                      <w:color w:val="auto"/>
                      <w:kern w:val="0"/>
                      <w:sz w:val="21"/>
                      <w:szCs w:val="21"/>
                      <w:highlight w:val="none"/>
                      <w:lang w:bidi="ar"/>
                    </w:rPr>
                    <w:t>数量</w:t>
                  </w:r>
                </w:p>
              </w:tc>
              <w:tc>
                <w:tcPr>
                  <w:tcW w:w="1617" w:type="dxa"/>
                  <w:tcBorders>
                    <w:top w:val="single" w:color="auto" w:sz="4" w:space="0"/>
                    <w:left w:val="single" w:color="auto" w:sz="4" w:space="0"/>
                    <w:bottom w:val="single" w:color="auto" w:sz="4" w:space="0"/>
                    <w:right w:val="single" w:color="auto" w:sz="4" w:space="0"/>
                  </w:tcBorders>
                  <w:vAlign w:val="center"/>
                </w:tcPr>
                <w:p w14:paraId="6971BCAD">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b/>
                      <w:bCs/>
                      <w:color w:val="auto"/>
                      <w:kern w:val="0"/>
                      <w:sz w:val="21"/>
                      <w:szCs w:val="21"/>
                      <w:highlight w:val="none"/>
                      <w:lang w:bidi="ar"/>
                    </w:rPr>
                  </w:pPr>
                  <w:r>
                    <w:rPr>
                      <w:rFonts w:hint="eastAsia" w:ascii="宋体" w:hAnsi="宋体" w:eastAsia="宋体" w:cs="宋体"/>
                      <w:b/>
                      <w:bCs/>
                      <w:color w:val="auto"/>
                      <w:kern w:val="0"/>
                      <w:sz w:val="21"/>
                      <w:szCs w:val="21"/>
                      <w:highlight w:val="none"/>
                      <w:lang w:bidi="ar"/>
                    </w:rPr>
                    <w:t>参考尺寸（约）</w:t>
                  </w:r>
                </w:p>
              </w:tc>
              <w:tc>
                <w:tcPr>
                  <w:tcW w:w="3577" w:type="dxa"/>
                  <w:tcBorders>
                    <w:top w:val="single" w:color="auto" w:sz="4" w:space="0"/>
                    <w:left w:val="single" w:color="auto" w:sz="4" w:space="0"/>
                    <w:bottom w:val="single" w:color="auto" w:sz="4" w:space="0"/>
                    <w:right w:val="single" w:color="auto" w:sz="4" w:space="0"/>
                  </w:tcBorders>
                  <w:vAlign w:val="center"/>
                </w:tcPr>
                <w:p w14:paraId="330BF487">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b/>
                      <w:bCs/>
                      <w:color w:val="auto"/>
                      <w:kern w:val="0"/>
                      <w:sz w:val="21"/>
                      <w:szCs w:val="21"/>
                      <w:highlight w:val="none"/>
                      <w:lang w:bidi="ar"/>
                    </w:rPr>
                  </w:pPr>
                  <w:r>
                    <w:rPr>
                      <w:rFonts w:hint="eastAsia" w:ascii="宋体" w:hAnsi="宋体" w:eastAsia="宋体" w:cs="宋体"/>
                      <w:b/>
                      <w:bCs/>
                      <w:color w:val="auto"/>
                      <w:kern w:val="0"/>
                      <w:sz w:val="21"/>
                      <w:szCs w:val="21"/>
                      <w:highlight w:val="none"/>
                      <w:lang w:bidi="ar"/>
                    </w:rPr>
                    <w:t>备注说明</w:t>
                  </w:r>
                </w:p>
              </w:tc>
            </w:tr>
            <w:tr w14:paraId="18EC8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trPr>
              <w:tc>
                <w:tcPr>
                  <w:tcW w:w="732" w:type="dxa"/>
                  <w:tcBorders>
                    <w:top w:val="single" w:color="auto" w:sz="4" w:space="0"/>
                    <w:left w:val="single" w:color="auto" w:sz="4" w:space="0"/>
                    <w:bottom w:val="single" w:color="auto" w:sz="4" w:space="0"/>
                    <w:right w:val="single" w:color="auto" w:sz="4" w:space="0"/>
                  </w:tcBorders>
                  <w:shd w:val="clear" w:color="auto" w:fill="auto"/>
                  <w:vAlign w:val="center"/>
                </w:tcPr>
                <w:p w14:paraId="4E97AEF7">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98</w:t>
                  </w:r>
                </w:p>
              </w:tc>
              <w:tc>
                <w:tcPr>
                  <w:tcW w:w="893" w:type="dxa"/>
                  <w:tcBorders>
                    <w:top w:val="single" w:color="auto" w:sz="4" w:space="0"/>
                    <w:left w:val="single" w:color="auto" w:sz="4" w:space="0"/>
                    <w:bottom w:val="single" w:color="auto" w:sz="4" w:space="0"/>
                    <w:right w:val="single" w:color="auto" w:sz="4" w:space="0"/>
                  </w:tcBorders>
                  <w:shd w:val="clear" w:color="auto" w:fill="auto"/>
                  <w:vAlign w:val="center"/>
                </w:tcPr>
                <w:p w14:paraId="0AEAC1BB">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中央台</w:t>
                  </w:r>
                  <w:r>
                    <w:rPr>
                      <w:rFonts w:hint="eastAsia" w:ascii="宋体" w:hAnsi="宋体" w:eastAsia="宋体" w:cs="宋体"/>
                      <w:color w:val="auto"/>
                      <w:kern w:val="0"/>
                      <w:sz w:val="21"/>
                      <w:szCs w:val="21"/>
                      <w:highlight w:val="none"/>
                      <w:lang w:val="en-US" w:eastAsia="zh-CN" w:bidi="ar"/>
                    </w:rPr>
                    <w:t>1</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14:paraId="56347980">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陶瓷台</w:t>
                  </w:r>
                </w:p>
                <w:p w14:paraId="0218B353">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面板</w:t>
                  </w: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76A98055">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2块</w:t>
                  </w:r>
                </w:p>
              </w:tc>
              <w:tc>
                <w:tcPr>
                  <w:tcW w:w="1617" w:type="dxa"/>
                  <w:tcBorders>
                    <w:top w:val="single" w:color="auto" w:sz="4" w:space="0"/>
                    <w:left w:val="single" w:color="auto" w:sz="4" w:space="0"/>
                    <w:bottom w:val="single" w:color="auto" w:sz="4" w:space="0"/>
                    <w:right w:val="single" w:color="auto" w:sz="4" w:space="0"/>
                  </w:tcBorders>
                  <w:shd w:val="clear" w:color="auto" w:fill="auto"/>
                  <w:vAlign w:val="center"/>
                </w:tcPr>
                <w:p w14:paraId="4F2533D6">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150*150*20mm</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1163E377">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strike/>
                      <w:dstrike w:val="0"/>
                      <w:color w:val="auto"/>
                      <w:kern w:val="0"/>
                      <w:sz w:val="21"/>
                      <w:szCs w:val="21"/>
                      <w:highlight w:val="none"/>
                      <w:lang w:bidi="ar"/>
                    </w:rPr>
                  </w:pPr>
                  <w:r>
                    <w:rPr>
                      <w:rFonts w:hint="eastAsia" w:ascii="宋体" w:hAnsi="宋体" w:eastAsia="宋体" w:cs="宋体"/>
                      <w:strike w:val="0"/>
                      <w:dstrike w:val="0"/>
                      <w:color w:val="auto"/>
                      <w:kern w:val="0"/>
                      <w:sz w:val="21"/>
                      <w:szCs w:val="21"/>
                      <w:highlight w:val="none"/>
                      <w:lang w:val="en-US" w:eastAsia="zh-CN" w:bidi="ar"/>
                    </w:rPr>
                    <w:t>1块三面封边，一面不封边；1块四面封边。</w:t>
                  </w:r>
                </w:p>
              </w:tc>
            </w:tr>
            <w:tr w14:paraId="1B7B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732" w:type="dxa"/>
                  <w:tcBorders>
                    <w:top w:val="single" w:color="auto" w:sz="4" w:space="0"/>
                    <w:left w:val="single" w:color="auto" w:sz="4" w:space="0"/>
                    <w:bottom w:val="single" w:color="auto" w:sz="4" w:space="0"/>
                    <w:right w:val="single" w:color="auto" w:sz="4" w:space="0"/>
                  </w:tcBorders>
                  <w:shd w:val="clear" w:color="auto" w:fill="auto"/>
                  <w:vAlign w:val="center"/>
                </w:tcPr>
                <w:p w14:paraId="2A7809FA">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98</w:t>
                  </w:r>
                </w:p>
              </w:tc>
              <w:tc>
                <w:tcPr>
                  <w:tcW w:w="893" w:type="dxa"/>
                  <w:tcBorders>
                    <w:top w:val="single" w:color="auto" w:sz="4" w:space="0"/>
                    <w:left w:val="single" w:color="auto" w:sz="4" w:space="0"/>
                    <w:bottom w:val="single" w:color="auto" w:sz="4" w:space="0"/>
                    <w:right w:val="single" w:color="auto" w:sz="4" w:space="0"/>
                  </w:tcBorders>
                  <w:shd w:val="clear" w:color="auto" w:fill="auto"/>
                  <w:vAlign w:val="center"/>
                </w:tcPr>
                <w:p w14:paraId="31875E16">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中央台</w:t>
                  </w:r>
                  <w:r>
                    <w:rPr>
                      <w:rFonts w:hint="eastAsia" w:ascii="宋体" w:hAnsi="宋体" w:eastAsia="宋体" w:cs="宋体"/>
                      <w:color w:val="auto"/>
                      <w:kern w:val="0"/>
                      <w:sz w:val="21"/>
                      <w:szCs w:val="21"/>
                      <w:highlight w:val="none"/>
                      <w:lang w:val="en-US" w:eastAsia="zh-CN" w:bidi="ar"/>
                    </w:rPr>
                    <w:t>1</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14:paraId="7EC6F7EA">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桌身结构</w:t>
                  </w: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12B0D446">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1副</w:t>
                  </w:r>
                </w:p>
              </w:tc>
              <w:tc>
                <w:tcPr>
                  <w:tcW w:w="1617" w:type="dxa"/>
                  <w:tcBorders>
                    <w:top w:val="single" w:color="auto" w:sz="4" w:space="0"/>
                    <w:left w:val="single" w:color="auto" w:sz="4" w:space="0"/>
                    <w:bottom w:val="single" w:color="auto" w:sz="4" w:space="0"/>
                    <w:right w:val="single" w:color="auto" w:sz="4" w:space="0"/>
                  </w:tcBorders>
                  <w:shd w:val="clear" w:color="auto" w:fill="auto"/>
                  <w:vAlign w:val="center"/>
                </w:tcPr>
                <w:p w14:paraId="6D45DF3B">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300mm*400mm</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47BBD12B">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strike/>
                      <w:dstrike w:val="0"/>
                      <w:color w:val="auto"/>
                      <w:kern w:val="0"/>
                      <w:sz w:val="21"/>
                      <w:szCs w:val="21"/>
                      <w:highlight w:val="none"/>
                      <w:lang w:bidi="ar"/>
                    </w:rPr>
                  </w:pPr>
                </w:p>
              </w:tc>
            </w:tr>
            <w:tr w14:paraId="45BEA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732" w:type="dxa"/>
                  <w:tcBorders>
                    <w:top w:val="single" w:color="auto" w:sz="4" w:space="0"/>
                    <w:left w:val="single" w:color="auto" w:sz="4" w:space="0"/>
                    <w:bottom w:val="single" w:color="auto" w:sz="4" w:space="0"/>
                    <w:right w:val="single" w:color="auto" w:sz="4" w:space="0"/>
                  </w:tcBorders>
                  <w:shd w:val="clear" w:color="auto" w:fill="auto"/>
                  <w:vAlign w:val="center"/>
                </w:tcPr>
                <w:p w14:paraId="3BAC9EDD">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84</w:t>
                  </w:r>
                </w:p>
              </w:tc>
              <w:tc>
                <w:tcPr>
                  <w:tcW w:w="893" w:type="dxa"/>
                  <w:tcBorders>
                    <w:top w:val="single" w:color="auto" w:sz="4" w:space="0"/>
                    <w:left w:val="single" w:color="auto" w:sz="4" w:space="0"/>
                    <w:bottom w:val="single" w:color="auto" w:sz="4" w:space="0"/>
                    <w:right w:val="single" w:color="auto" w:sz="4" w:space="0"/>
                  </w:tcBorders>
                  <w:shd w:val="clear" w:color="auto" w:fill="auto"/>
                  <w:vAlign w:val="center"/>
                </w:tcPr>
                <w:p w14:paraId="46B365A9">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仪器台</w:t>
                  </w:r>
                  <w:r>
                    <w:rPr>
                      <w:rFonts w:hint="eastAsia" w:ascii="宋体" w:hAnsi="宋体" w:eastAsia="宋体" w:cs="宋体"/>
                      <w:color w:val="auto"/>
                      <w:kern w:val="0"/>
                      <w:sz w:val="21"/>
                      <w:szCs w:val="21"/>
                      <w:highlight w:val="none"/>
                      <w:lang w:val="en-US" w:eastAsia="zh-CN" w:bidi="ar"/>
                    </w:rPr>
                    <w:t>1</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14:paraId="4DA29D7E">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实芯理化板台面</w:t>
                  </w: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62E1DB44">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2块</w:t>
                  </w:r>
                </w:p>
              </w:tc>
              <w:tc>
                <w:tcPr>
                  <w:tcW w:w="1617" w:type="dxa"/>
                  <w:tcBorders>
                    <w:top w:val="single" w:color="auto" w:sz="4" w:space="0"/>
                    <w:left w:val="single" w:color="auto" w:sz="4" w:space="0"/>
                    <w:bottom w:val="single" w:color="auto" w:sz="4" w:space="0"/>
                    <w:right w:val="single" w:color="auto" w:sz="4" w:space="0"/>
                  </w:tcBorders>
                  <w:shd w:val="clear" w:color="auto" w:fill="auto"/>
                  <w:vAlign w:val="center"/>
                </w:tcPr>
                <w:p w14:paraId="744C145F">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150*150*20mm</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2418F7D8">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strike/>
                      <w:dstrike w:val="0"/>
                      <w:color w:val="auto"/>
                      <w:kern w:val="0"/>
                      <w:sz w:val="21"/>
                      <w:szCs w:val="21"/>
                      <w:highlight w:val="none"/>
                      <w:lang w:bidi="ar"/>
                    </w:rPr>
                  </w:pPr>
                  <w:r>
                    <w:rPr>
                      <w:rFonts w:hint="eastAsia" w:ascii="宋体" w:hAnsi="宋体" w:eastAsia="宋体" w:cs="宋体"/>
                      <w:strike w:val="0"/>
                      <w:dstrike w:val="0"/>
                      <w:color w:val="auto"/>
                      <w:kern w:val="0"/>
                      <w:sz w:val="21"/>
                      <w:szCs w:val="21"/>
                      <w:highlight w:val="none"/>
                      <w:lang w:val="en-US" w:eastAsia="zh-CN" w:bidi="ar"/>
                    </w:rPr>
                    <w:t>1块三面封边，一面不封边；1块四面封边。</w:t>
                  </w:r>
                </w:p>
              </w:tc>
            </w:tr>
            <w:tr w14:paraId="1886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732" w:type="dxa"/>
                  <w:tcBorders>
                    <w:top w:val="single" w:color="auto" w:sz="4" w:space="0"/>
                    <w:left w:val="single" w:color="auto" w:sz="4" w:space="0"/>
                    <w:bottom w:val="single" w:color="auto" w:sz="4" w:space="0"/>
                    <w:right w:val="single" w:color="auto" w:sz="4" w:space="0"/>
                  </w:tcBorders>
                  <w:shd w:val="clear" w:color="auto" w:fill="auto"/>
                  <w:vAlign w:val="center"/>
                </w:tcPr>
                <w:p w14:paraId="706BBFB3">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i w:val="0"/>
                      <w:iCs w:val="0"/>
                      <w:color w:val="auto"/>
                      <w:kern w:val="0"/>
                      <w:sz w:val="24"/>
                      <w:szCs w:val="24"/>
                      <w:highlight w:val="none"/>
                      <w:u w:val="none"/>
                      <w:lang w:val="en-US" w:eastAsia="zh-CN" w:bidi="ar"/>
                    </w:rPr>
                    <w:t>78</w:t>
                  </w:r>
                </w:p>
              </w:tc>
              <w:tc>
                <w:tcPr>
                  <w:tcW w:w="893" w:type="dxa"/>
                  <w:tcBorders>
                    <w:top w:val="single" w:color="auto" w:sz="4" w:space="0"/>
                    <w:left w:val="single" w:color="auto" w:sz="4" w:space="0"/>
                    <w:bottom w:val="single" w:color="auto" w:sz="4" w:space="0"/>
                    <w:right w:val="single" w:color="auto" w:sz="4" w:space="0"/>
                  </w:tcBorders>
                  <w:shd w:val="clear" w:color="auto" w:fill="auto"/>
                  <w:vAlign w:val="center"/>
                </w:tcPr>
                <w:p w14:paraId="21B01C68">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通风柜</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14:paraId="6704218F">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导流板</w:t>
                  </w: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58A549DE">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1块</w:t>
                  </w:r>
                </w:p>
              </w:tc>
              <w:tc>
                <w:tcPr>
                  <w:tcW w:w="1617" w:type="dxa"/>
                  <w:tcBorders>
                    <w:top w:val="single" w:color="auto" w:sz="4" w:space="0"/>
                    <w:left w:val="single" w:color="auto" w:sz="4" w:space="0"/>
                    <w:bottom w:val="single" w:color="auto" w:sz="4" w:space="0"/>
                    <w:right w:val="single" w:color="auto" w:sz="4" w:space="0"/>
                  </w:tcBorders>
                  <w:shd w:val="clear" w:color="auto" w:fill="auto"/>
                  <w:vAlign w:val="center"/>
                </w:tcPr>
                <w:p w14:paraId="289AB69F">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cs="宋体" w:eastAsiaTheme="minorEastAsia"/>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无特定尺寸</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21189DAD">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default" w:ascii="宋体" w:hAnsi="宋体" w:eastAsia="宋体" w:cs="宋体"/>
                      <w:strike/>
                      <w:dstrike w:val="0"/>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导流板</w:t>
                  </w:r>
                  <w:r>
                    <w:rPr>
                      <w:rFonts w:hint="eastAsia" w:ascii="宋体" w:hAnsi="宋体" w:eastAsia="宋体" w:cs="宋体"/>
                      <w:color w:val="auto"/>
                      <w:kern w:val="0"/>
                      <w:sz w:val="21"/>
                      <w:szCs w:val="21"/>
                      <w:highlight w:val="none"/>
                      <w:lang w:val="en-US" w:eastAsia="zh-CN" w:bidi="ar"/>
                    </w:rPr>
                    <w:t>在技术参数里面的描述</w:t>
                  </w:r>
                </w:p>
              </w:tc>
            </w:tr>
            <w:tr w14:paraId="72E50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732" w:type="dxa"/>
                  <w:tcBorders>
                    <w:top w:val="single" w:color="auto" w:sz="4" w:space="0"/>
                    <w:left w:val="single" w:color="auto" w:sz="4" w:space="0"/>
                    <w:bottom w:val="single" w:color="auto" w:sz="4" w:space="0"/>
                    <w:right w:val="single" w:color="auto" w:sz="4" w:space="0"/>
                  </w:tcBorders>
                  <w:shd w:val="clear" w:color="auto" w:fill="auto"/>
                  <w:vAlign w:val="center"/>
                </w:tcPr>
                <w:p w14:paraId="3B3A9FBF">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75</w:t>
                  </w:r>
                </w:p>
              </w:tc>
              <w:tc>
                <w:tcPr>
                  <w:tcW w:w="893" w:type="dxa"/>
                  <w:tcBorders>
                    <w:top w:val="single" w:color="auto" w:sz="4" w:space="0"/>
                    <w:left w:val="single" w:color="auto" w:sz="4" w:space="0"/>
                    <w:bottom w:val="single" w:color="auto" w:sz="4" w:space="0"/>
                    <w:right w:val="single" w:color="auto" w:sz="4" w:space="0"/>
                  </w:tcBorders>
                  <w:shd w:val="clear" w:color="auto" w:fill="auto"/>
                  <w:vAlign w:val="center"/>
                </w:tcPr>
                <w:p w14:paraId="32DA99E7">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试剂柜</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14:paraId="57681194">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门铰</w:t>
                  </w: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3608DD14">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1副</w:t>
                  </w:r>
                </w:p>
              </w:tc>
              <w:tc>
                <w:tcPr>
                  <w:tcW w:w="1617" w:type="dxa"/>
                  <w:tcBorders>
                    <w:top w:val="single" w:color="auto" w:sz="4" w:space="0"/>
                    <w:left w:val="single" w:color="auto" w:sz="4" w:space="0"/>
                    <w:bottom w:val="single" w:color="auto" w:sz="4" w:space="0"/>
                    <w:right w:val="single" w:color="auto" w:sz="4" w:space="0"/>
                  </w:tcBorders>
                  <w:shd w:val="clear" w:color="auto" w:fill="auto"/>
                  <w:vAlign w:val="center"/>
                </w:tcPr>
                <w:p w14:paraId="0BCF2047">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i w:val="0"/>
                      <w:iCs w:val="0"/>
                      <w:caps w:val="0"/>
                      <w:color w:val="auto"/>
                      <w:spacing w:val="0"/>
                      <w:kern w:val="0"/>
                      <w:sz w:val="21"/>
                      <w:szCs w:val="21"/>
                      <w:highlight w:val="none"/>
                      <w:shd w:val="clear" w:fill="auto"/>
                      <w:lang w:bidi="ar"/>
                    </w:rPr>
                    <w:t>厚度≥2.0mm</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0CA05C39">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strike/>
                      <w:dstrike w:val="0"/>
                      <w:color w:val="auto"/>
                      <w:kern w:val="0"/>
                      <w:sz w:val="21"/>
                      <w:szCs w:val="21"/>
                      <w:highlight w:val="none"/>
                      <w:lang w:bidi="ar"/>
                    </w:rPr>
                  </w:pPr>
                </w:p>
              </w:tc>
            </w:tr>
            <w:tr w14:paraId="3F34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732" w:type="dxa"/>
                  <w:tcBorders>
                    <w:top w:val="single" w:color="auto" w:sz="4" w:space="0"/>
                    <w:left w:val="single" w:color="auto" w:sz="4" w:space="0"/>
                    <w:bottom w:val="single" w:color="auto" w:sz="4" w:space="0"/>
                    <w:right w:val="single" w:color="auto" w:sz="4" w:space="0"/>
                  </w:tcBorders>
                  <w:shd w:val="clear" w:color="auto" w:fill="auto"/>
                  <w:vAlign w:val="center"/>
                </w:tcPr>
                <w:p w14:paraId="7D8D79E5">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75</w:t>
                  </w:r>
                </w:p>
              </w:tc>
              <w:tc>
                <w:tcPr>
                  <w:tcW w:w="893" w:type="dxa"/>
                  <w:tcBorders>
                    <w:top w:val="single" w:color="auto" w:sz="4" w:space="0"/>
                    <w:left w:val="single" w:color="auto" w:sz="4" w:space="0"/>
                    <w:bottom w:val="single" w:color="auto" w:sz="4" w:space="0"/>
                    <w:right w:val="single" w:color="auto" w:sz="4" w:space="0"/>
                  </w:tcBorders>
                  <w:shd w:val="clear" w:color="auto" w:fill="auto"/>
                  <w:vAlign w:val="center"/>
                </w:tcPr>
                <w:p w14:paraId="78E81E44">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试剂柜</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14:paraId="32E53610">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Cs w:val="21"/>
                      <w:highlight w:val="none"/>
                      <w:lang w:bidi="ar"/>
                    </w:rPr>
                    <w:t>一级冷轧钢</w:t>
                  </w: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07B13B2D">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1块</w:t>
                  </w:r>
                </w:p>
              </w:tc>
              <w:tc>
                <w:tcPr>
                  <w:tcW w:w="1617" w:type="dxa"/>
                  <w:tcBorders>
                    <w:top w:val="single" w:color="auto" w:sz="4" w:space="0"/>
                    <w:left w:val="single" w:color="auto" w:sz="4" w:space="0"/>
                    <w:bottom w:val="single" w:color="auto" w:sz="4" w:space="0"/>
                    <w:right w:val="single" w:color="auto" w:sz="4" w:space="0"/>
                  </w:tcBorders>
                  <w:shd w:val="clear" w:color="auto" w:fill="auto"/>
                  <w:vAlign w:val="center"/>
                </w:tcPr>
                <w:p w14:paraId="6392978C">
                  <w:pPr>
                    <w:keepNext w:val="0"/>
                    <w:keepLines w:val="0"/>
                    <w:pageBreakBefore w:val="0"/>
                    <w:widowControl/>
                    <w:kinsoku/>
                    <w:wordWrap w:val="0"/>
                    <w:overflowPunct/>
                    <w:topLinePunct w:val="0"/>
                    <w:autoSpaceDE/>
                    <w:autoSpaceDN/>
                    <w:bidi w:val="0"/>
                    <w:adjustRightInd/>
                    <w:snapToGrid/>
                    <w:spacing w:line="400" w:lineRule="exact"/>
                    <w:jc w:val="center"/>
                    <w:textAlignment w:val="bottom"/>
                    <w:rPr>
                      <w:rFonts w:hint="eastAsia" w:ascii="宋体" w:hAnsi="宋体" w:eastAsia="宋体" w:cs="宋体"/>
                      <w:i w:val="0"/>
                      <w:iCs w:val="0"/>
                      <w:caps w:val="0"/>
                      <w:color w:val="auto"/>
                      <w:spacing w:val="0"/>
                      <w:kern w:val="0"/>
                      <w:sz w:val="21"/>
                      <w:szCs w:val="21"/>
                      <w:highlight w:val="none"/>
                      <w:shd w:val="clear" w:fill="auto"/>
                      <w:lang w:bidi="ar"/>
                    </w:rPr>
                  </w:pPr>
                  <w:r>
                    <w:rPr>
                      <w:rFonts w:hint="eastAsia" w:ascii="宋体" w:hAnsi="宋体" w:eastAsia="宋体" w:cs="宋体"/>
                      <w:color w:val="auto"/>
                      <w:kern w:val="0"/>
                      <w:sz w:val="21"/>
                      <w:szCs w:val="21"/>
                      <w:highlight w:val="none"/>
                      <w:lang w:bidi="ar"/>
                    </w:rPr>
                    <w:t>150*150*</w:t>
                  </w: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bidi="ar"/>
                    </w:rPr>
                    <w:t>mm</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4FDEB18C">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default" w:ascii="宋体" w:hAnsi="宋体" w:eastAsia="宋体" w:cs="宋体"/>
                      <w:strike/>
                      <w:dstrike w:val="0"/>
                      <w:color w:val="auto"/>
                      <w:kern w:val="0"/>
                      <w:sz w:val="21"/>
                      <w:szCs w:val="21"/>
                      <w:highlight w:val="none"/>
                      <w:lang w:val="en-US" w:eastAsia="zh-CN" w:bidi="ar"/>
                    </w:rPr>
                  </w:pPr>
                  <w:r>
                    <w:rPr>
                      <w:rFonts w:hint="eastAsia" w:ascii="宋体" w:hAnsi="宋体" w:eastAsia="宋体" w:cs="宋体"/>
                      <w:strike w:val="0"/>
                      <w:dstrike w:val="0"/>
                      <w:color w:val="auto"/>
                      <w:kern w:val="0"/>
                      <w:sz w:val="21"/>
                      <w:szCs w:val="21"/>
                      <w:highlight w:val="none"/>
                      <w:lang w:val="en-US" w:eastAsia="zh-CN" w:bidi="ar"/>
                    </w:rPr>
                    <w:t>一面喷漆，一面不喷漆</w:t>
                  </w:r>
                </w:p>
              </w:tc>
            </w:tr>
          </w:tbl>
          <w:p w14:paraId="0E3157AE">
            <w:pPr>
              <w:keepNext w:val="0"/>
              <w:keepLines w:val="0"/>
              <w:pageBreakBefore w:val="0"/>
              <w:widowControl/>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p>
        </w:tc>
      </w:tr>
      <w:tr w14:paraId="759E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4" w:type="pct"/>
            <w:shd w:val="clear" w:color="auto" w:fill="auto"/>
            <w:noWrap/>
            <w:vAlign w:val="center"/>
          </w:tcPr>
          <w:p w14:paraId="2576BC2A">
            <w:pPr>
              <w:keepNext w:val="0"/>
              <w:keepLines w:val="0"/>
              <w:pageBreakBefore w:val="0"/>
              <w:widowControl/>
              <w:kinsoku/>
              <w:wordWrap/>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其它要求及说明</w:t>
            </w:r>
          </w:p>
        </w:tc>
        <w:tc>
          <w:tcPr>
            <w:tcW w:w="4615" w:type="pct"/>
            <w:gridSpan w:val="5"/>
            <w:shd w:val="clear" w:color="auto" w:fill="auto"/>
            <w:vAlign w:val="center"/>
          </w:tcPr>
          <w:p w14:paraId="772A5FA0">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val="zh-CN" w:bidi="ar"/>
              </w:rPr>
            </w:pPr>
            <w:r>
              <w:rPr>
                <w:rFonts w:hint="eastAsia" w:ascii="宋体" w:hAnsi="宋体" w:eastAsia="宋体" w:cs="宋体"/>
                <w:color w:val="auto"/>
                <w:kern w:val="0"/>
                <w:sz w:val="21"/>
                <w:szCs w:val="21"/>
                <w:highlight w:val="none"/>
                <w:lang w:val="zh-CN" w:bidi="ar"/>
              </w:rPr>
              <w:t>1、中标人保证向采购人提供的货物是全新、完整、未使用过的。</w:t>
            </w:r>
          </w:p>
          <w:p w14:paraId="5C30B2CD">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val="zh-CN" w:bidi="ar"/>
              </w:rPr>
            </w:pPr>
            <w:r>
              <w:rPr>
                <w:rFonts w:hint="eastAsia" w:ascii="宋体" w:hAnsi="宋体" w:eastAsia="宋体" w:cs="宋体"/>
                <w:color w:val="auto"/>
                <w:kern w:val="0"/>
                <w:sz w:val="21"/>
                <w:szCs w:val="21"/>
                <w:highlight w:val="none"/>
                <w:lang w:val="zh-CN" w:bidi="ar"/>
              </w:rPr>
              <w:t>2、本项目不接受进口产品（即通过中国海关报关验放进入中国境内且产自关境外的产品）参与投标，如有此类产品参与投标的做投标无效处理。</w:t>
            </w:r>
          </w:p>
          <w:p w14:paraId="29D1B764">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val="zh-CN" w:bidi="ar"/>
              </w:rPr>
            </w:pPr>
            <w:r>
              <w:rPr>
                <w:rFonts w:hint="eastAsia" w:ascii="宋体" w:hAnsi="宋体" w:eastAsia="宋体" w:cs="宋体"/>
                <w:color w:val="auto"/>
                <w:kern w:val="0"/>
                <w:sz w:val="21"/>
                <w:szCs w:val="21"/>
                <w:highlight w:val="none"/>
                <w:lang w:bidi="ar"/>
              </w:rPr>
              <w:t>3、家具的最终外形尺寸须根据实际布置进行调整，对有特殊的定制家具及修改的尺寸均包含在投标报价中，投标人在报价时应自行考虑，承诺不因定制或修改家具尺寸的因素而改变投标报价</w:t>
            </w:r>
            <w:r>
              <w:rPr>
                <w:rFonts w:hint="eastAsia" w:ascii="宋体" w:hAnsi="宋体" w:eastAsia="宋体" w:cs="宋体"/>
                <w:color w:val="auto"/>
                <w:kern w:val="0"/>
                <w:sz w:val="21"/>
                <w:szCs w:val="21"/>
                <w:highlight w:val="none"/>
                <w:lang w:val="zh-CN" w:bidi="ar"/>
              </w:rPr>
              <w:t>。</w:t>
            </w:r>
          </w:p>
          <w:p w14:paraId="7EB1CD77">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default" w:ascii="宋体" w:hAnsi="宋体" w:cs="宋体" w:eastAsiaTheme="minorEastAsia"/>
                <w:color w:val="auto"/>
                <w:kern w:val="0"/>
                <w:sz w:val="21"/>
                <w:szCs w:val="21"/>
                <w:highlight w:val="none"/>
                <w:lang w:val="en-US" w:bidi="ar"/>
              </w:rPr>
            </w:pPr>
            <w:r>
              <w:rPr>
                <w:rFonts w:hint="eastAsia" w:ascii="宋体" w:hAnsi="宋体" w:eastAsia="宋体" w:cs="宋体"/>
                <w:color w:val="auto"/>
                <w:kern w:val="0"/>
                <w:sz w:val="21"/>
                <w:szCs w:val="21"/>
                <w:highlight w:val="none"/>
                <w:lang w:val="en-US" w:eastAsia="zh-CN" w:bidi="ar"/>
              </w:rPr>
              <w:t>4、</w:t>
            </w:r>
            <w:r>
              <w:rPr>
                <w:rFonts w:hint="eastAsia" w:ascii="宋体" w:hAnsi="宋体" w:cs="宋体"/>
                <w:color w:val="auto"/>
                <w:szCs w:val="21"/>
                <w:highlight w:val="none"/>
                <w:lang w:bidi="ar"/>
              </w:rPr>
              <w:t>需承诺提供的检测报告中所检测的材料在本次投标的产品中使用</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val="en-US" w:eastAsia="zh-CN" w:bidi="ar"/>
              </w:rPr>
              <w:t>且检测产生的所有费用由中标人自行承担。</w:t>
            </w:r>
          </w:p>
          <w:p w14:paraId="53E26E6C">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zh-CN" w:bidi="ar"/>
              </w:rPr>
              <w:t>、</w:t>
            </w:r>
            <w:r>
              <w:rPr>
                <w:rFonts w:hint="eastAsia" w:ascii="宋体" w:hAnsi="宋体" w:eastAsia="宋体" w:cs="宋体"/>
                <w:color w:val="auto"/>
                <w:kern w:val="0"/>
                <w:sz w:val="21"/>
                <w:szCs w:val="21"/>
                <w:highlight w:val="none"/>
                <w:lang w:bidi="ar"/>
              </w:rPr>
              <w:t>投标前，投标人可根据自身的情况决定是否参加采购人统一组织的现场考察。现场考察需携带的资料：持投标人授权委托书、个人身份证原件。现场考察时间：</w:t>
            </w:r>
            <w:r>
              <w:rPr>
                <w:rFonts w:hint="eastAsia" w:ascii="宋体" w:hAnsi="宋体" w:eastAsia="宋体" w:cs="宋体"/>
                <w:b/>
                <w:bCs/>
                <w:color w:val="auto"/>
                <w:kern w:val="0"/>
                <w:sz w:val="21"/>
                <w:szCs w:val="21"/>
                <w:highlight w:val="none"/>
                <w:lang w:val="en" w:bidi="ar"/>
              </w:rPr>
              <w:t>202</w:t>
            </w:r>
            <w:r>
              <w:rPr>
                <w:rFonts w:hint="eastAsia" w:ascii="宋体" w:hAnsi="宋体" w:eastAsia="宋体" w:cs="宋体"/>
                <w:b/>
                <w:bCs/>
                <w:color w:val="auto"/>
                <w:kern w:val="0"/>
                <w:sz w:val="21"/>
                <w:szCs w:val="21"/>
                <w:highlight w:val="none"/>
                <w:lang w:bidi="ar"/>
              </w:rPr>
              <w:t>6年</w:t>
            </w:r>
            <w:r>
              <w:rPr>
                <w:rFonts w:hint="eastAsia" w:ascii="宋体" w:hAnsi="宋体" w:eastAsia="宋体" w:cs="宋体"/>
                <w:b/>
                <w:bCs/>
                <w:color w:val="auto"/>
                <w:kern w:val="0"/>
                <w:sz w:val="21"/>
                <w:szCs w:val="21"/>
                <w:highlight w:val="none"/>
                <w:lang w:val="en-US" w:eastAsia="zh-CN" w:bidi="ar"/>
              </w:rPr>
              <w:t>10</w:t>
            </w:r>
            <w:r>
              <w:rPr>
                <w:rFonts w:hint="eastAsia" w:ascii="宋体" w:hAnsi="宋体" w:eastAsia="宋体" w:cs="宋体"/>
                <w:b/>
                <w:bCs/>
                <w:color w:val="auto"/>
                <w:kern w:val="0"/>
                <w:sz w:val="21"/>
                <w:szCs w:val="21"/>
                <w:highlight w:val="none"/>
                <w:lang w:bidi="ar"/>
              </w:rPr>
              <w:t>月</w:t>
            </w:r>
            <w:r>
              <w:rPr>
                <w:rFonts w:hint="eastAsia" w:ascii="宋体" w:hAnsi="宋体" w:eastAsia="宋体" w:cs="宋体"/>
                <w:b/>
                <w:bCs/>
                <w:color w:val="auto"/>
                <w:kern w:val="0"/>
                <w:sz w:val="21"/>
                <w:szCs w:val="21"/>
                <w:highlight w:val="none"/>
                <w:lang w:val="en-US" w:eastAsia="zh-CN" w:bidi="ar"/>
              </w:rPr>
              <w:t>14</w:t>
            </w:r>
            <w:r>
              <w:rPr>
                <w:rFonts w:hint="eastAsia" w:ascii="宋体" w:hAnsi="宋体" w:eastAsia="宋体" w:cs="宋体"/>
                <w:b/>
                <w:bCs/>
                <w:color w:val="auto"/>
                <w:kern w:val="0"/>
                <w:sz w:val="21"/>
                <w:szCs w:val="21"/>
                <w:highlight w:val="none"/>
                <w:lang w:bidi="ar"/>
              </w:rPr>
              <w:t>日</w:t>
            </w:r>
            <w:r>
              <w:rPr>
                <w:rFonts w:hint="eastAsia" w:ascii="宋体" w:hAnsi="宋体" w:eastAsia="宋体" w:cs="宋体"/>
                <w:color w:val="auto"/>
                <w:kern w:val="0"/>
                <w:sz w:val="21"/>
                <w:szCs w:val="21"/>
                <w:highlight w:val="none"/>
                <w:lang w:val="en-US" w:eastAsia="zh-CN" w:bidi="ar"/>
              </w:rPr>
              <w:t xml:space="preserve"> 9：00</w:t>
            </w:r>
            <w:r>
              <w:rPr>
                <w:rFonts w:hint="eastAsia" w:ascii="宋体" w:hAnsi="宋体" w:eastAsia="宋体" w:cs="宋体"/>
                <w:color w:val="auto"/>
                <w:kern w:val="0"/>
                <w:sz w:val="21"/>
                <w:szCs w:val="21"/>
                <w:highlight w:val="none"/>
                <w:lang w:bidi="ar"/>
              </w:rPr>
              <w:t>，过期不候。集中地点： 广西壮族自治区南宁市青秀区五合大道13号广西中医药大学仙葫校区 ；联系人：施焕华；联系电话：18477194207。</w:t>
            </w:r>
          </w:p>
          <w:p w14:paraId="4D40E533">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bidi="ar"/>
              </w:rPr>
              <w:t>、投标时，投标人请提供：</w:t>
            </w:r>
          </w:p>
          <w:p w14:paraId="185361F2">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b w:val="0"/>
                <w:bCs w:val="0"/>
                <w:color w:val="auto"/>
                <w:kern w:val="0"/>
                <w:sz w:val="21"/>
                <w:szCs w:val="21"/>
                <w:highlight w:val="none"/>
                <w:lang w:bidi="ar"/>
              </w:rPr>
            </w:pPr>
            <w:r>
              <w:rPr>
                <w:rFonts w:hint="eastAsia" w:ascii="宋体" w:hAnsi="宋体" w:eastAsia="宋体" w:cs="宋体"/>
                <w:color w:val="auto"/>
                <w:kern w:val="0"/>
                <w:sz w:val="21"/>
                <w:szCs w:val="21"/>
                <w:highlight w:val="none"/>
                <w:lang w:bidi="ar"/>
              </w:rPr>
              <w:t>（1）产品设计。按采购人提供的本项目实验室平面图规划设计，投标人所提供的设计类型包括但不限于</w:t>
            </w:r>
            <w:r>
              <w:rPr>
                <w:rFonts w:hint="eastAsia" w:ascii="宋体" w:hAnsi="宋体" w:eastAsia="宋体" w:cs="宋体"/>
                <w:color w:val="auto"/>
                <w:kern w:val="0"/>
                <w:sz w:val="21"/>
                <w:szCs w:val="21"/>
                <w:highlight w:val="none"/>
                <w:lang w:val="en-US" w:eastAsia="zh-CN" w:bidi="ar"/>
              </w:rPr>
              <w:t>实训中心</w:t>
            </w:r>
            <w:r>
              <w:rPr>
                <w:rFonts w:hint="eastAsia" w:ascii="宋体" w:hAnsi="宋体" w:eastAsia="宋体" w:cs="宋体"/>
                <w:b w:val="0"/>
                <w:bCs w:val="0"/>
                <w:color w:val="auto"/>
                <w:kern w:val="0"/>
                <w:sz w:val="21"/>
                <w:szCs w:val="21"/>
                <w:highlight w:val="none"/>
                <w:lang w:val="en-US" w:eastAsia="zh-CN" w:bidi="ar"/>
              </w:rPr>
              <w:t>2至12层的</w:t>
            </w:r>
            <w:r>
              <w:rPr>
                <w:rFonts w:hint="eastAsia" w:ascii="宋体" w:hAnsi="宋体" w:eastAsia="宋体" w:cs="宋体"/>
                <w:b w:val="0"/>
                <w:bCs w:val="0"/>
                <w:color w:val="auto"/>
                <w:kern w:val="0"/>
                <w:sz w:val="21"/>
                <w:szCs w:val="21"/>
                <w:highlight w:val="none"/>
                <w:lang w:bidi="ar"/>
              </w:rPr>
              <w:t>常规实验室、公共实验区、细胞培养室、天然产物分离实验室、液质室和有机合成实验室等</w:t>
            </w:r>
            <w:r>
              <w:rPr>
                <w:rFonts w:hint="eastAsia" w:ascii="宋体" w:hAnsi="宋体" w:eastAsia="宋体" w:cs="宋体"/>
                <w:b w:val="0"/>
                <w:bCs w:val="0"/>
                <w:color w:val="auto"/>
                <w:kern w:val="0"/>
                <w:sz w:val="21"/>
                <w:szCs w:val="21"/>
                <w:highlight w:val="none"/>
                <w:lang w:val="en-US" w:eastAsia="zh-CN" w:bidi="ar"/>
              </w:rPr>
              <w:t>全部实验场所</w:t>
            </w:r>
            <w:r>
              <w:rPr>
                <w:rFonts w:hint="eastAsia" w:ascii="宋体" w:hAnsi="宋体" w:eastAsia="宋体" w:cs="宋体"/>
                <w:b w:val="0"/>
                <w:bCs w:val="0"/>
                <w:color w:val="auto"/>
                <w:kern w:val="0"/>
                <w:sz w:val="21"/>
                <w:szCs w:val="21"/>
                <w:highlight w:val="none"/>
                <w:lang w:bidi="ar"/>
              </w:rPr>
              <w:t>，产品设计方案内容包括但不限于：单面效果图、房间布局整体效果图、尺寸图、空间平面布置图等内容，考核产品设计的安全实用性等；</w:t>
            </w:r>
            <w:r>
              <w:rPr>
                <w:rFonts w:hint="eastAsia" w:ascii="宋体" w:hAnsi="宋体" w:eastAsia="宋体" w:cs="宋体"/>
                <w:b w:val="0"/>
                <w:bCs w:val="0"/>
                <w:color w:val="auto"/>
                <w:kern w:val="0"/>
                <w:sz w:val="21"/>
                <w:szCs w:val="21"/>
                <w:highlight w:val="none"/>
                <w:lang w:val="en-US" w:eastAsia="zh-CN" w:bidi="ar"/>
              </w:rPr>
              <w:t>图纸仅</w:t>
            </w:r>
            <w:r>
              <w:rPr>
                <w:rFonts w:hint="eastAsia" w:ascii="宋体" w:hAnsi="宋体" w:eastAsia="宋体" w:cs="宋体"/>
                <w:b w:val="0"/>
                <w:bCs w:val="0"/>
                <w:color w:val="auto"/>
                <w:kern w:val="0"/>
                <w:sz w:val="21"/>
                <w:szCs w:val="21"/>
                <w:highlight w:val="none"/>
                <w:lang w:bidi="ar"/>
              </w:rPr>
              <w:t>拟了部分实验家具摆放位置，请在附件的基础上进行深化设计（详见附件）。</w:t>
            </w:r>
          </w:p>
          <w:p w14:paraId="0B5C0AD6">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b w:val="0"/>
                <w:bCs w:val="0"/>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（2）项目实施方案：根据招标文件要求，投标人提供的项目实施方案（包括但不限于供货组织、项目实施人员方案、货物存储配送方案等内容。</w:t>
            </w:r>
          </w:p>
          <w:p w14:paraId="0F07D310">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b w:val="0"/>
                <w:bCs w:val="0"/>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（3）运维服务保障方案：根据招标文件要求，投标人提供的运维服务保障方案（包括但不限于项目服务管理体系建设方案、项目运维服务方案、货物产品运行保障方案、项目服务保障措施）等内容。</w:t>
            </w:r>
          </w:p>
          <w:p w14:paraId="61233CB9">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b w:val="0"/>
                <w:bCs w:val="0"/>
                <w:color w:val="auto"/>
                <w:kern w:val="0"/>
                <w:sz w:val="21"/>
                <w:szCs w:val="21"/>
                <w:highlight w:val="none"/>
                <w:lang w:bidi="ar"/>
              </w:rPr>
            </w:pPr>
            <w:r>
              <w:rPr>
                <w:rFonts w:hint="eastAsia" w:ascii="宋体" w:hAnsi="宋体" w:eastAsia="宋体" w:cs="宋体"/>
                <w:b w:val="0"/>
                <w:bCs w:val="0"/>
                <w:color w:val="auto"/>
                <w:kern w:val="0"/>
                <w:sz w:val="21"/>
                <w:szCs w:val="21"/>
                <w:highlight w:val="none"/>
                <w:lang w:val="zh-CN" w:bidi="ar"/>
              </w:rPr>
              <w:t>▲</w:t>
            </w:r>
            <w:r>
              <w:rPr>
                <w:rFonts w:hint="eastAsia" w:ascii="宋体" w:hAnsi="宋体" w:eastAsia="宋体" w:cs="宋体"/>
                <w:b w:val="0"/>
                <w:bCs w:val="0"/>
                <w:color w:val="auto"/>
                <w:kern w:val="0"/>
                <w:sz w:val="21"/>
                <w:szCs w:val="21"/>
                <w:highlight w:val="none"/>
                <w:lang w:val="en-US" w:eastAsia="zh-CN" w:bidi="ar"/>
              </w:rPr>
              <w:t>7</w:t>
            </w:r>
            <w:r>
              <w:rPr>
                <w:rFonts w:hint="eastAsia" w:ascii="宋体" w:hAnsi="宋体" w:eastAsia="宋体" w:cs="宋体"/>
                <w:b w:val="0"/>
                <w:bCs w:val="0"/>
                <w:color w:val="auto"/>
                <w:kern w:val="0"/>
                <w:sz w:val="21"/>
                <w:szCs w:val="21"/>
                <w:highlight w:val="none"/>
                <w:lang w:bidi="ar"/>
              </w:rPr>
              <w:t>、验收：</w:t>
            </w:r>
          </w:p>
          <w:p w14:paraId="75E93416">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b w:val="0"/>
                <w:bCs w:val="0"/>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（1）所供产品的规格、数量</w:t>
            </w:r>
            <w:r>
              <w:rPr>
                <w:rFonts w:hint="eastAsia" w:ascii="宋体" w:hAnsi="宋体" w:eastAsia="宋体" w:cs="宋体"/>
                <w:b w:val="0"/>
                <w:bCs w:val="0"/>
                <w:color w:val="auto"/>
                <w:kern w:val="0"/>
                <w:sz w:val="21"/>
                <w:szCs w:val="21"/>
                <w:highlight w:val="none"/>
                <w:lang w:val="en-US" w:eastAsia="zh-CN" w:bidi="ar"/>
              </w:rPr>
              <w:t>和全部技术参数</w:t>
            </w:r>
            <w:r>
              <w:rPr>
                <w:rFonts w:hint="eastAsia" w:ascii="宋体" w:hAnsi="宋体" w:eastAsia="宋体" w:cs="宋体"/>
                <w:b w:val="0"/>
                <w:bCs w:val="0"/>
                <w:color w:val="auto"/>
                <w:kern w:val="0"/>
                <w:sz w:val="21"/>
                <w:szCs w:val="21"/>
                <w:highlight w:val="none"/>
                <w:lang w:bidi="ar"/>
              </w:rPr>
              <w:t>符合招标文件招标项目采购需求、采购合同约定</w:t>
            </w:r>
            <w:r>
              <w:rPr>
                <w:rFonts w:hint="eastAsia" w:ascii="宋体" w:hAnsi="宋体" w:eastAsia="宋体" w:cs="宋体"/>
                <w:b w:val="0"/>
                <w:bCs w:val="0"/>
                <w:color w:val="auto"/>
                <w:kern w:val="0"/>
                <w:sz w:val="21"/>
                <w:szCs w:val="21"/>
                <w:highlight w:val="none"/>
                <w:lang w:eastAsia="zh-CN" w:bidi="ar"/>
              </w:rPr>
              <w:t>、</w:t>
            </w:r>
            <w:r>
              <w:rPr>
                <w:rFonts w:hint="eastAsia" w:ascii="宋体" w:hAnsi="宋体" w:eastAsia="宋体" w:cs="宋体"/>
                <w:b w:val="0"/>
                <w:bCs w:val="0"/>
                <w:color w:val="auto"/>
                <w:kern w:val="0"/>
                <w:sz w:val="21"/>
                <w:szCs w:val="21"/>
                <w:highlight w:val="none"/>
                <w:lang w:bidi="ar"/>
              </w:rPr>
              <w:t>样品要求</w:t>
            </w:r>
            <w:r>
              <w:rPr>
                <w:rFonts w:hint="eastAsia"/>
                <w:b w:val="0"/>
                <w:bCs w:val="0"/>
                <w:color w:val="auto"/>
                <w:highlight w:val="none"/>
                <w:lang w:val="en-US" w:eastAsia="zh-CN"/>
              </w:rPr>
              <w:t>及</w:t>
            </w:r>
            <w:r>
              <w:rPr>
                <w:rFonts w:hint="eastAsia" w:ascii="宋体" w:hAnsi="宋体" w:eastAsia="宋体" w:cs="宋体"/>
                <w:b w:val="0"/>
                <w:bCs w:val="0"/>
                <w:color w:val="auto"/>
                <w:sz w:val="21"/>
                <w:szCs w:val="21"/>
                <w:highlight w:val="none"/>
              </w:rPr>
              <w:t>技术响应偏离表</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当</w:t>
            </w:r>
            <w:r>
              <w:rPr>
                <w:rFonts w:hint="eastAsia" w:ascii="宋体" w:hAnsi="宋体" w:eastAsia="宋体" w:cs="宋体"/>
                <w:b w:val="0"/>
                <w:bCs w:val="0"/>
                <w:color w:val="auto"/>
                <w:kern w:val="0"/>
                <w:sz w:val="21"/>
                <w:szCs w:val="21"/>
                <w:highlight w:val="none"/>
                <w:lang w:bidi="ar"/>
              </w:rPr>
              <w:t>招标文件</w:t>
            </w:r>
            <w:r>
              <w:rPr>
                <w:rFonts w:hint="eastAsia" w:ascii="宋体" w:hAnsi="宋体" w:eastAsia="宋体" w:cs="宋体"/>
                <w:b w:val="0"/>
                <w:bCs w:val="0"/>
                <w:color w:val="auto"/>
                <w:kern w:val="0"/>
                <w:sz w:val="21"/>
                <w:szCs w:val="21"/>
                <w:highlight w:val="none"/>
                <w:lang w:val="en-US" w:eastAsia="zh-CN" w:bidi="ar"/>
              </w:rPr>
              <w:t>里</w:t>
            </w:r>
            <w:r>
              <w:rPr>
                <w:rFonts w:hint="eastAsia" w:ascii="宋体" w:hAnsi="宋体" w:eastAsia="宋体" w:cs="宋体"/>
                <w:b w:val="0"/>
                <w:bCs w:val="0"/>
                <w:color w:val="auto"/>
                <w:kern w:val="0"/>
                <w:sz w:val="21"/>
                <w:szCs w:val="21"/>
                <w:highlight w:val="none"/>
                <w:lang w:bidi="ar"/>
              </w:rPr>
              <w:t>招标项目采购需求</w:t>
            </w:r>
            <w:r>
              <w:rPr>
                <w:rFonts w:hint="eastAsia" w:ascii="宋体" w:hAnsi="宋体" w:eastAsia="宋体" w:cs="宋体"/>
                <w:b w:val="0"/>
                <w:bCs w:val="0"/>
                <w:color w:val="auto"/>
                <w:kern w:val="0"/>
                <w:sz w:val="21"/>
                <w:szCs w:val="21"/>
                <w:highlight w:val="none"/>
                <w:lang w:val="en-US" w:eastAsia="zh-CN" w:bidi="ar"/>
              </w:rPr>
              <w:t>的技术参数与技术响应偏离表的不一致时，以技术响应偏离表的技术参数“正偏离”为准。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kern w:val="0"/>
                <w:sz w:val="21"/>
                <w:szCs w:val="21"/>
                <w:highlight w:val="none"/>
                <w:lang w:bidi="ar"/>
              </w:rPr>
              <w:t>；采购人有权要求先安装样板间，经预验收并完成整改后，再按照样板间要求进行全部安装实施。</w:t>
            </w:r>
          </w:p>
          <w:p w14:paraId="7B7AA77A">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（2）所供产品的材质符合招标文件采购需求及采购合同约定的要求，</w:t>
            </w:r>
            <w:r>
              <w:rPr>
                <w:rFonts w:hint="eastAsia" w:ascii="宋体" w:hAnsi="宋体" w:eastAsia="宋体" w:cs="宋体"/>
                <w:color w:val="auto"/>
                <w:kern w:val="0"/>
                <w:sz w:val="21"/>
                <w:szCs w:val="21"/>
                <w:highlight w:val="none"/>
                <w:lang w:eastAsia="zh-CN" w:bidi="ar"/>
              </w:rPr>
              <w:t>投标时</w:t>
            </w:r>
            <w:r>
              <w:rPr>
                <w:rFonts w:hint="eastAsia" w:ascii="宋体" w:hAnsi="宋体" w:eastAsia="宋体" w:cs="宋体"/>
                <w:color w:val="auto"/>
                <w:kern w:val="0"/>
                <w:sz w:val="21"/>
                <w:szCs w:val="21"/>
                <w:highlight w:val="none"/>
                <w:lang w:bidi="ar"/>
              </w:rPr>
              <w:t>须向采购人提供所有满足“</w:t>
            </w:r>
            <w:r>
              <w:rPr>
                <w:rFonts w:hint="eastAsia" w:ascii="宋体" w:hAnsi="宋体" w:eastAsia="宋体" w:cs="宋体"/>
                <w:color w:val="auto"/>
                <w:kern w:val="0"/>
                <w:sz w:val="21"/>
                <w:szCs w:val="21"/>
                <w:highlight w:val="none"/>
                <w:lang w:val="zh-CN" w:bidi="ar"/>
              </w:rPr>
              <w:t>▲</w:t>
            </w:r>
            <w:r>
              <w:rPr>
                <w:rFonts w:hint="eastAsia" w:ascii="宋体" w:hAnsi="宋体" w:eastAsia="宋体" w:cs="宋体"/>
                <w:color w:val="auto"/>
                <w:kern w:val="0"/>
                <w:sz w:val="21"/>
                <w:szCs w:val="21"/>
                <w:highlight w:val="none"/>
                <w:lang w:bidi="ar"/>
              </w:rPr>
              <w:t>”实质性参数要求（含优于项）的具有</w:t>
            </w:r>
            <w:r>
              <w:rPr>
                <w:rFonts w:hint="eastAsia" w:ascii="宋体" w:hAnsi="宋体" w:eastAsia="宋体" w:cs="宋体"/>
                <w:color w:val="auto"/>
                <w:kern w:val="0"/>
                <w:sz w:val="21"/>
                <w:szCs w:val="21"/>
                <w:highlight w:val="none"/>
                <w:lang w:val="en" w:bidi="ar"/>
              </w:rPr>
              <w:t>检测资质</w:t>
            </w:r>
            <w:r>
              <w:rPr>
                <w:rFonts w:hint="eastAsia" w:ascii="宋体" w:hAnsi="宋体" w:eastAsia="宋体" w:cs="宋体"/>
                <w:color w:val="auto"/>
                <w:kern w:val="0"/>
                <w:sz w:val="21"/>
                <w:szCs w:val="21"/>
                <w:highlight w:val="none"/>
                <w:lang w:bidi="ar"/>
              </w:rPr>
              <w:t>的第三方检测机构出具的检测报告。</w:t>
            </w:r>
          </w:p>
          <w:p w14:paraId="55B1FD8F">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（3）所供产品的外观完好，无严重碰撞、表皮脱落、五金件生锈等明显瑕疵。</w:t>
            </w:r>
          </w:p>
          <w:p w14:paraId="33CBE995">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（4）所供产品结构牢固，无安全隐患。</w:t>
            </w:r>
          </w:p>
          <w:p w14:paraId="58279141">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 xml:space="preserve">（5）如有抽检要求的，检测结果符合招标文件招采购需求及采购合同约定的要求。 </w:t>
            </w:r>
          </w:p>
          <w:p w14:paraId="0DD082E2">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（6）所有产品均已运输至指定地点，并安装调试完毕。</w:t>
            </w:r>
          </w:p>
          <w:p w14:paraId="009E476D">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（7）招标文件采购需求及采购合同约定的附件、工具、技术资料等齐全；提供产品合格证。</w:t>
            </w:r>
          </w:p>
          <w:p w14:paraId="6E4D0AA0">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（8）所有家具安装完毕后，清理干净包装使用的纸皮，模板及薄膜等垃圾。</w:t>
            </w:r>
          </w:p>
          <w:p w14:paraId="7F29B093">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（9）中标人须按规定时间交货安装完毕，采购单位可聘请具有验收能力的检测部门进行验收，验收不合格按照政府采购法及相关规定执行。</w:t>
            </w:r>
          </w:p>
          <w:p w14:paraId="148EDF2D">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default"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val="en-US" w:eastAsia="zh-CN" w:bidi="ar"/>
              </w:rPr>
              <w:t>10）中标人交货时须提供厂家或总代理出具的供货证明。</w:t>
            </w:r>
          </w:p>
          <w:p w14:paraId="2CAA6B7C">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8</w:t>
            </w:r>
            <w:r>
              <w:rPr>
                <w:rFonts w:hint="eastAsia" w:ascii="宋体" w:hAnsi="宋体" w:eastAsia="宋体" w:cs="宋体"/>
                <w:color w:val="auto"/>
                <w:kern w:val="0"/>
                <w:sz w:val="21"/>
                <w:szCs w:val="21"/>
                <w:highlight w:val="none"/>
                <w:lang w:bidi="ar"/>
              </w:rPr>
              <w:t>、政策功能</w:t>
            </w:r>
          </w:p>
          <w:p w14:paraId="09B752C8">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zh-CN" w:bidi="ar"/>
              </w:rPr>
              <w:t>▲</w:t>
            </w:r>
            <w:r>
              <w:rPr>
                <w:rFonts w:hint="eastAsia" w:ascii="宋体" w:hAnsi="宋体" w:eastAsia="宋体" w:cs="宋体"/>
                <w:color w:val="auto"/>
                <w:kern w:val="0"/>
                <w:sz w:val="21"/>
                <w:szCs w:val="21"/>
                <w:highlight w:val="none"/>
                <w:lang w:bidi="ar"/>
              </w:rPr>
              <w:t>（1）严格执行（财库〔2019〕9号）及（财库〔2019〕19号），本次投标产品类别属于政府强制采购产品类别的，须按照《市场监管总局关于发布参与实施政府采购节能产品、环境标志产品认证机构名录的公告》（2019年第16号）要求提供依据国家确定的认证机构出具的、处于有效期之内的节能产品认证证书复印件并加盖投标人公章，否则投标无效。</w:t>
            </w:r>
          </w:p>
          <w:p w14:paraId="01E73D1A">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执行《财政部 发展改革委 生态环境部 市场监管总局关于调整优化节能产品、环境标志产品政府采购执行机制的通知》（财库〔2019〕9号）、《关于印发节能产品政府采购品目清单的通知》（财库〔2019〕19号）及《关于印发环境标志产品政府采购品目清单的通知》（财库〔2019〕18号），属于政府优先采购产品类别的，投标人按照《市场监管总局关于发布参与实施政府采购节能产品、环境标志产品认证机构名录的公告》（2019年第16号）要求提供依据国家确定的认证机构出具的、处于有效期之内的节能产品或环境标志产品认证证书复印件并加盖投标人公章，否则不予认定。</w:t>
            </w:r>
          </w:p>
          <w:p w14:paraId="4CE88ADC">
            <w:pPr>
              <w:keepNext w:val="0"/>
              <w:keepLines w:val="0"/>
              <w:pageBreakBefore w:val="0"/>
              <w:widowControl/>
              <w:numPr>
                <w:ilvl w:val="-1"/>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val="zh-CN" w:bidi="ar"/>
              </w:rPr>
            </w:pPr>
            <w:r>
              <w:rPr>
                <w:rFonts w:hint="eastAsia" w:ascii="宋体" w:hAnsi="宋体" w:eastAsia="宋体" w:cs="宋体"/>
                <w:color w:val="auto"/>
                <w:kern w:val="0"/>
                <w:sz w:val="21"/>
                <w:szCs w:val="21"/>
                <w:highlight w:val="none"/>
                <w:lang w:bidi="ar"/>
              </w:rPr>
              <w:t>供应商投标产品的配件（辅材）涉及节能认证、国家强制认证的，在验收时必须提供产品、配件的相关节能认证证书、国家强制认证证书，不能提供认证证书的采购人有权拒绝验收</w:t>
            </w:r>
            <w:r>
              <w:rPr>
                <w:rFonts w:hint="eastAsia" w:ascii="宋体" w:hAnsi="宋体" w:eastAsia="宋体" w:cs="宋体"/>
                <w:color w:val="auto"/>
                <w:kern w:val="0"/>
                <w:sz w:val="21"/>
                <w:szCs w:val="21"/>
                <w:highlight w:val="none"/>
                <w:lang w:val="zh-CN" w:bidi="ar"/>
              </w:rPr>
              <w:t>，由此产生的一切后果由供应商承担。</w:t>
            </w:r>
          </w:p>
          <w:p w14:paraId="7545C2CD">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zh-CN" w:bidi="ar"/>
              </w:rPr>
              <w:t>▲</w:t>
            </w:r>
            <w:r>
              <w:rPr>
                <w:rFonts w:hint="eastAsia" w:ascii="宋体" w:hAnsi="宋体" w:eastAsia="宋体" w:cs="宋体"/>
                <w:color w:val="auto"/>
                <w:kern w:val="0"/>
                <w:sz w:val="21"/>
                <w:szCs w:val="21"/>
                <w:highlight w:val="none"/>
                <w:lang w:val="en-US" w:eastAsia="zh-CN" w:bidi="ar"/>
              </w:rPr>
              <w:t>9、关于采购合同的说明与要求</w:t>
            </w:r>
          </w:p>
          <w:p w14:paraId="51145F7E">
            <w:pPr>
              <w:keepNext w:val="0"/>
              <w:keepLines w:val="0"/>
              <w:pageBreakBefore w:val="0"/>
              <w:widowControl/>
              <w:numPr>
                <w:ilvl w:val="-1"/>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val="en-US" w:eastAsia="zh-CN" w:bidi="ar"/>
              </w:rPr>
              <w:t>1</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乙方提出正式验收申请后，学校逾期未验收的，方可视同验收合格。验收合格后由甲乙双方签署货物验收单并加盖采购单位公章，甲乙双方各执一份。如因甲方原因暂时不能安装、调试的货物，经双方签字确认后可视同验收合格。验收合格后由甲乙双方签署货物验收单并加盖采购单位公章，甲乙双方各执一份。甲方签字验收并不免除乙方按照合同约定履行安装、调试义务和对质量的保证，乙方应在甲方通知之日起五日内派员安装、调试货物，如超期不能履行义务的，甲方有权追究乙方的违约责任。</w:t>
            </w:r>
          </w:p>
          <w:p w14:paraId="44CB6D78">
            <w:pPr>
              <w:keepNext w:val="0"/>
              <w:keepLines w:val="0"/>
              <w:pageBreakBefore w:val="0"/>
              <w:widowControl/>
              <w:numPr>
                <w:ilvl w:val="-1"/>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val="en-US" w:eastAsia="zh-CN" w:bidi="ar"/>
              </w:rPr>
              <w:t>2</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乙方所提供的货物规格、技术标准、材料等质量不合格的，应在</w:t>
            </w:r>
            <w:r>
              <w:rPr>
                <w:rFonts w:hint="eastAsia" w:ascii="宋体" w:hAnsi="宋体" w:eastAsia="宋体" w:cs="宋体"/>
                <w:color w:val="auto"/>
                <w:kern w:val="0"/>
                <w:szCs w:val="21"/>
                <w:highlight w:val="none"/>
                <w:lang w:eastAsia="zh-CN" w:bidi="ar"/>
              </w:rPr>
              <w:t>7</w:t>
            </w:r>
            <w:r>
              <w:rPr>
                <w:rFonts w:hint="eastAsia" w:ascii="宋体" w:hAnsi="宋体" w:eastAsia="宋体" w:cs="宋体"/>
                <w:color w:val="auto"/>
                <w:kern w:val="0"/>
                <w:szCs w:val="21"/>
                <w:highlight w:val="none"/>
                <w:lang w:bidi="ar"/>
              </w:rPr>
              <w:t>个工作日内及时更换，更换不及时的按逾期交货处罚；因质量问题甲方不同意接收的或特殊情况甲方同意接收的，乙方应向甲方支付违约货款额</w:t>
            </w:r>
            <w:r>
              <w:rPr>
                <w:rFonts w:hint="eastAsia" w:ascii="宋体" w:hAnsi="宋体" w:eastAsia="宋体" w:cs="宋体"/>
                <w:color w:val="auto"/>
                <w:kern w:val="0"/>
                <w:szCs w:val="21"/>
                <w:highlight w:val="none"/>
                <w:lang w:eastAsia="zh-CN" w:bidi="ar"/>
              </w:rPr>
              <w:t>1</w:t>
            </w:r>
            <w:r>
              <w:rPr>
                <w:rFonts w:hint="eastAsia" w:ascii="宋体" w:hAnsi="宋体" w:eastAsia="宋体" w:cs="宋体"/>
                <w:color w:val="auto"/>
                <w:kern w:val="0"/>
                <w:szCs w:val="21"/>
                <w:highlight w:val="none"/>
                <w:lang w:bidi="ar"/>
              </w:rPr>
              <w:t>%违约金并赔偿甲方经济损失。</w:t>
            </w:r>
          </w:p>
          <w:p w14:paraId="4A4082DF">
            <w:pPr>
              <w:keepNext w:val="0"/>
              <w:keepLines w:val="0"/>
              <w:pageBreakBefore w:val="0"/>
              <w:widowControl/>
              <w:numPr>
                <w:ilvl w:val="-1"/>
                <w:numId w:val="0"/>
              </w:numPr>
              <w:kinsoku/>
              <w:wordWrap w:val="0"/>
              <w:overflowPunct/>
              <w:topLinePunct w:val="0"/>
              <w:autoSpaceDE/>
              <w:autoSpaceDN/>
              <w:bidi w:val="0"/>
              <w:adjustRightInd/>
              <w:snapToGrid/>
              <w:spacing w:line="400" w:lineRule="exact"/>
              <w:jc w:val="left"/>
              <w:textAlignment w:val="bottom"/>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val="en-US" w:eastAsia="zh-CN" w:bidi="ar"/>
              </w:rPr>
              <w:t>3</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乙方逾期交货的，每天向甲方支付违约货款额</w:t>
            </w:r>
            <w:r>
              <w:rPr>
                <w:rFonts w:hint="eastAsia" w:ascii="宋体" w:hAnsi="宋体" w:eastAsia="宋体" w:cs="宋体"/>
                <w:color w:val="auto"/>
                <w:kern w:val="0"/>
                <w:szCs w:val="21"/>
                <w:highlight w:val="none"/>
                <w:lang w:eastAsia="zh-CN" w:bidi="ar"/>
              </w:rPr>
              <w:t>3</w:t>
            </w:r>
            <w:r>
              <w:rPr>
                <w:rFonts w:hint="eastAsia" w:ascii="宋体" w:hAnsi="宋体" w:eastAsia="宋体" w:cs="宋体"/>
                <w:color w:val="auto"/>
                <w:kern w:val="0"/>
                <w:szCs w:val="21"/>
                <w:highlight w:val="none"/>
                <w:lang w:bidi="ar"/>
              </w:rPr>
              <w:t>‰违约金，逾期超过</w:t>
            </w:r>
            <w:r>
              <w:rPr>
                <w:rFonts w:hint="eastAsia" w:ascii="宋体" w:hAnsi="宋体" w:eastAsia="宋体" w:cs="宋体"/>
                <w:color w:val="auto"/>
                <w:kern w:val="0"/>
                <w:szCs w:val="21"/>
                <w:highlight w:val="none"/>
                <w:lang w:val="en-US" w:eastAsia="zh-CN" w:bidi="ar"/>
              </w:rPr>
              <w:t>7</w:t>
            </w:r>
            <w:r>
              <w:rPr>
                <w:rFonts w:hint="eastAsia" w:ascii="宋体" w:hAnsi="宋体" w:eastAsia="宋体" w:cs="宋体"/>
                <w:color w:val="auto"/>
                <w:kern w:val="0"/>
                <w:szCs w:val="21"/>
                <w:highlight w:val="none"/>
                <w:lang w:bidi="ar"/>
              </w:rPr>
              <w:t>天的，甲方有权单方解除本合同，因此给甲方造成经济损失，应继续承担赔偿责任；甲方延期付货款的，每天向乙方偿付延期货款额</w:t>
            </w:r>
            <w:r>
              <w:rPr>
                <w:rFonts w:hint="eastAsia" w:ascii="宋体" w:hAnsi="宋体" w:eastAsia="宋体" w:cs="宋体"/>
                <w:color w:val="auto"/>
                <w:kern w:val="0"/>
                <w:szCs w:val="21"/>
                <w:highlight w:val="none"/>
                <w:lang w:eastAsia="zh-CN" w:bidi="ar"/>
              </w:rPr>
              <w:t>1</w:t>
            </w:r>
            <w:r>
              <w:rPr>
                <w:rFonts w:hint="eastAsia" w:ascii="宋体" w:hAnsi="宋体" w:eastAsia="宋体" w:cs="宋体"/>
                <w:color w:val="auto"/>
                <w:kern w:val="0"/>
                <w:szCs w:val="21"/>
                <w:highlight w:val="none"/>
                <w:lang w:bidi="ar"/>
              </w:rPr>
              <w:t>‰ 违约金，但违约金累计不得超过延期货款额</w:t>
            </w:r>
            <w:r>
              <w:rPr>
                <w:rFonts w:hint="eastAsia" w:ascii="宋体" w:hAnsi="宋体" w:eastAsia="宋体" w:cs="宋体"/>
                <w:color w:val="auto"/>
                <w:kern w:val="0"/>
                <w:szCs w:val="21"/>
                <w:highlight w:val="none"/>
                <w:lang w:eastAsia="zh-CN" w:bidi="ar"/>
              </w:rPr>
              <w:t>5</w:t>
            </w:r>
            <w:r>
              <w:rPr>
                <w:rFonts w:hint="eastAsia" w:ascii="宋体" w:hAnsi="宋体" w:eastAsia="宋体" w:cs="宋体"/>
                <w:color w:val="auto"/>
                <w:kern w:val="0"/>
                <w:szCs w:val="21"/>
                <w:highlight w:val="none"/>
                <w:lang w:bidi="ar"/>
              </w:rPr>
              <w:t>%。</w:t>
            </w:r>
          </w:p>
          <w:p w14:paraId="26FF1A25">
            <w:pPr>
              <w:keepNext w:val="0"/>
              <w:keepLines w:val="0"/>
              <w:pageBreakBefore w:val="0"/>
              <w:widowControl/>
              <w:numPr>
                <w:ilvl w:val="-1"/>
                <w:numId w:val="0"/>
              </w:numPr>
              <w:kinsoku/>
              <w:wordWrap w:val="0"/>
              <w:overflowPunct/>
              <w:topLinePunct w:val="0"/>
              <w:autoSpaceDE/>
              <w:autoSpaceDN/>
              <w:bidi w:val="0"/>
              <w:adjustRightInd/>
              <w:snapToGrid/>
              <w:spacing w:line="400" w:lineRule="exact"/>
              <w:jc w:val="left"/>
              <w:textAlignment w:val="bottom"/>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val="en-US" w:eastAsia="zh-CN" w:bidi="ar"/>
              </w:rPr>
              <w:t>4</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乙方提供的货物在质量保证期内，因设计、工艺或材料的缺陷和其它质量原因造成的问题，由乙方负责，费用从质量保证金中扣除，若前述款项不足以弥补甲方损失的，乙方应在收到甲方书面通知后</w:t>
            </w:r>
            <w:r>
              <w:rPr>
                <w:rFonts w:hint="eastAsia" w:ascii="宋体" w:hAnsi="宋体" w:eastAsia="宋体" w:cs="宋体"/>
                <w:color w:val="auto"/>
                <w:kern w:val="0"/>
                <w:szCs w:val="21"/>
                <w:highlight w:val="none"/>
                <w:lang w:eastAsia="zh-CN" w:bidi="ar"/>
              </w:rPr>
              <w:t>7</w:t>
            </w:r>
            <w:r>
              <w:rPr>
                <w:rFonts w:hint="eastAsia" w:ascii="宋体" w:hAnsi="宋体" w:eastAsia="宋体" w:cs="宋体"/>
                <w:color w:val="auto"/>
                <w:kern w:val="0"/>
                <w:szCs w:val="21"/>
                <w:highlight w:val="none"/>
                <w:lang w:bidi="ar"/>
              </w:rPr>
              <w:t>个工作日内补足差额。</w:t>
            </w:r>
          </w:p>
          <w:p w14:paraId="6B6DAF3F">
            <w:pPr>
              <w:keepNext w:val="0"/>
              <w:keepLines w:val="0"/>
              <w:pageBreakBefore w:val="0"/>
              <w:widowControl/>
              <w:numPr>
                <w:ilvl w:val="-1"/>
                <w:numId w:val="0"/>
              </w:numPr>
              <w:kinsoku/>
              <w:wordWrap w:val="0"/>
              <w:overflowPunct/>
              <w:topLinePunct w:val="0"/>
              <w:autoSpaceDE/>
              <w:autoSpaceDN/>
              <w:bidi w:val="0"/>
              <w:adjustRightInd/>
              <w:snapToGrid/>
              <w:spacing w:line="400" w:lineRule="exact"/>
              <w:jc w:val="left"/>
              <w:textAlignment w:val="bottom"/>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val="en-US" w:eastAsia="zh-CN" w:bidi="ar"/>
              </w:rPr>
              <w:t>5</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乙方存在其它违约行为的，按违约货款额</w:t>
            </w:r>
            <w:r>
              <w:rPr>
                <w:rFonts w:hint="eastAsia" w:ascii="宋体" w:hAnsi="宋体" w:eastAsia="宋体" w:cs="宋体"/>
                <w:color w:val="auto"/>
                <w:kern w:val="0"/>
                <w:szCs w:val="21"/>
                <w:highlight w:val="none"/>
                <w:lang w:eastAsia="zh-CN" w:bidi="ar"/>
              </w:rPr>
              <w:t>5</w:t>
            </w:r>
            <w:r>
              <w:rPr>
                <w:rFonts w:hint="eastAsia" w:ascii="宋体" w:hAnsi="宋体" w:eastAsia="宋体" w:cs="宋体"/>
                <w:color w:val="auto"/>
                <w:kern w:val="0"/>
                <w:szCs w:val="21"/>
                <w:highlight w:val="none"/>
                <w:lang w:bidi="ar"/>
              </w:rPr>
              <w:t>%收取违约金，造成甲方损失的另行赔偿经济损失。</w:t>
            </w:r>
          </w:p>
          <w:p w14:paraId="4E961E5D">
            <w:pPr>
              <w:keepNext w:val="0"/>
              <w:keepLines w:val="0"/>
              <w:pageBreakBefore w:val="0"/>
              <w:widowControl/>
              <w:numPr>
                <w:ilvl w:val="-1"/>
                <w:numId w:val="0"/>
              </w:numPr>
              <w:kinsoku/>
              <w:wordWrap w:val="0"/>
              <w:overflowPunct/>
              <w:topLinePunct w:val="0"/>
              <w:autoSpaceDE/>
              <w:autoSpaceDN/>
              <w:bidi w:val="0"/>
              <w:adjustRightInd/>
              <w:snapToGrid/>
              <w:spacing w:line="400" w:lineRule="exact"/>
              <w:jc w:val="left"/>
              <w:textAlignment w:val="bottom"/>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val="en-US" w:eastAsia="zh-CN" w:bidi="ar"/>
              </w:rPr>
              <w:t>6</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本合同约定的损失包括但不限于赔偿款、甲方因维权而支出的律师费、诉讼费、保全费、财产保全保险费公证费、鉴定费、检测费、差旅费等。</w:t>
            </w:r>
          </w:p>
          <w:p w14:paraId="775A391E">
            <w:pPr>
              <w:keepNext w:val="0"/>
              <w:keepLines w:val="0"/>
              <w:pageBreakBefore w:val="0"/>
              <w:widowControl/>
              <w:numPr>
                <w:ilvl w:val="-1"/>
                <w:numId w:val="0"/>
              </w:numPr>
              <w:kinsoku/>
              <w:wordWrap w:val="0"/>
              <w:overflowPunct/>
              <w:topLinePunct w:val="0"/>
              <w:autoSpaceDE/>
              <w:autoSpaceDN/>
              <w:bidi w:val="0"/>
              <w:adjustRightInd/>
              <w:snapToGrid/>
              <w:spacing w:line="400" w:lineRule="exact"/>
              <w:jc w:val="left"/>
              <w:textAlignment w:val="bottom"/>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val="en-US" w:eastAsia="zh-CN" w:bidi="ar"/>
              </w:rPr>
              <w:t>7</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合同经双方法定代表人(负责人)或授权代表（委托代理人）签字并加盖单位公章之日起生效。</w:t>
            </w:r>
          </w:p>
          <w:p w14:paraId="6FEF9E3E">
            <w:pPr>
              <w:keepNext w:val="0"/>
              <w:keepLines w:val="0"/>
              <w:pageBreakBefore w:val="0"/>
              <w:widowControl/>
              <w:numPr>
                <w:ilvl w:val="-1"/>
                <w:numId w:val="0"/>
              </w:numPr>
              <w:kinsoku/>
              <w:wordWrap w:val="0"/>
              <w:overflowPunct/>
              <w:topLinePunct w:val="0"/>
              <w:autoSpaceDE/>
              <w:autoSpaceDN/>
              <w:bidi w:val="0"/>
              <w:adjustRightInd/>
              <w:snapToGrid/>
              <w:spacing w:line="400" w:lineRule="exact"/>
              <w:jc w:val="left"/>
              <w:textAlignment w:val="bottom"/>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val="en-US" w:eastAsia="zh-CN" w:bidi="ar"/>
              </w:rPr>
              <w:t>8</w:t>
            </w:r>
            <w:r>
              <w:rPr>
                <w:rFonts w:hint="eastAsia" w:ascii="宋体" w:hAnsi="宋体" w:eastAsia="宋体" w:cs="宋体"/>
                <w:color w:val="auto"/>
                <w:kern w:val="0"/>
                <w:szCs w:val="21"/>
                <w:highlight w:val="none"/>
                <w:lang w:eastAsia="zh-CN" w:bidi="ar"/>
              </w:rPr>
              <w:t>）</w:t>
            </w:r>
            <w:r>
              <w:rPr>
                <w:rFonts w:hint="default" w:ascii="宋体" w:hAnsi="宋体" w:eastAsia="宋体" w:cs="宋体"/>
                <w:color w:val="auto"/>
                <w:kern w:val="0"/>
                <w:szCs w:val="21"/>
                <w:highlight w:val="none"/>
                <w:lang w:bidi="ar"/>
              </w:rPr>
              <w:t>采购合同履行中，甲方需追加与合同标的相同货物的，在不改变合同其他条款的前提下，可以与乙方协商签订补充合同，但所有补充合同的采购金额不得超过原合同采购金额的10%。</w:t>
            </w:r>
          </w:p>
          <w:p w14:paraId="17B20138">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zh-CN" w:bidi="ar"/>
              </w:rPr>
              <w:t>▲</w:t>
            </w:r>
            <w:r>
              <w:rPr>
                <w:rFonts w:hint="eastAsia" w:ascii="宋体" w:hAnsi="宋体" w:eastAsia="宋体" w:cs="宋体"/>
                <w:color w:val="auto"/>
                <w:kern w:val="0"/>
                <w:sz w:val="21"/>
                <w:szCs w:val="21"/>
                <w:highlight w:val="none"/>
                <w:lang w:val="en-US" w:eastAsia="zh-CN" w:bidi="ar"/>
              </w:rPr>
              <w:t>10、付款方式</w:t>
            </w:r>
          </w:p>
          <w:p w14:paraId="7598EB3F">
            <w:pPr>
              <w:keepNext w:val="0"/>
              <w:keepLines w:val="0"/>
              <w:pageBreakBefore w:val="0"/>
              <w:widowControl/>
              <w:numPr>
                <w:ilvl w:val="0"/>
                <w:numId w:val="0"/>
              </w:numPr>
              <w:kinsoku/>
              <w:wordWrap w:val="0"/>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1"/>
                <w:szCs w:val="21"/>
                <w:highlight w:val="none"/>
                <w:lang w:val="zh-CN" w:bidi="ar"/>
              </w:rPr>
            </w:pPr>
            <w:r>
              <w:rPr>
                <w:rFonts w:hint="eastAsia" w:ascii="宋体" w:hAnsi="宋体" w:eastAsia="宋体" w:cs="宋体"/>
                <w:color w:val="auto"/>
                <w:kern w:val="0"/>
                <w:szCs w:val="21"/>
                <w:highlight w:val="none"/>
                <w:lang w:bidi="ar"/>
              </w:rPr>
              <w:t>签订合同后，</w:t>
            </w:r>
            <w:r>
              <w:rPr>
                <w:rFonts w:hint="eastAsia" w:ascii="宋体" w:hAnsi="宋体" w:eastAsia="宋体" w:cs="宋体"/>
                <w:color w:val="auto"/>
                <w:kern w:val="0"/>
                <w:szCs w:val="21"/>
                <w:highlight w:val="none"/>
                <w:lang w:val="en-US" w:eastAsia="zh-CN" w:bidi="ar"/>
              </w:rPr>
              <w:t>15个工作日内</w:t>
            </w:r>
            <w:r>
              <w:rPr>
                <w:rFonts w:hint="eastAsia" w:ascii="宋体" w:hAnsi="宋体" w:eastAsia="宋体" w:cs="宋体"/>
                <w:color w:val="auto"/>
                <w:kern w:val="0"/>
                <w:szCs w:val="21"/>
                <w:highlight w:val="none"/>
                <w:lang w:bidi="ar"/>
              </w:rPr>
              <w:t>中标人须向采购人提供合同总金额30%的</w:t>
            </w:r>
            <w:r>
              <w:rPr>
                <w:rFonts w:hint="eastAsia" w:ascii="宋体" w:hAnsi="宋体" w:eastAsia="宋体" w:cs="宋体"/>
                <w:color w:val="auto"/>
                <w:kern w:val="0"/>
                <w:szCs w:val="21"/>
                <w:highlight w:val="none"/>
                <w:lang w:val="en-US" w:eastAsia="zh-CN" w:bidi="ar"/>
              </w:rPr>
              <w:t>保函</w:t>
            </w:r>
            <w:r>
              <w:rPr>
                <w:rFonts w:hint="eastAsia" w:ascii="宋体" w:hAnsi="宋体" w:eastAsia="宋体" w:cs="宋体"/>
                <w:color w:val="auto"/>
                <w:kern w:val="0"/>
                <w:szCs w:val="21"/>
                <w:highlight w:val="none"/>
                <w:lang w:bidi="ar"/>
              </w:rPr>
              <w:t>（独立保函且为原件；保函有效期自合同签订之日起，至本项目最终验收合格之日止。若保函到期前项目未完成最终验收，中标人须在保函到期前至少1个月提交经采购人认可的有效续保函。）及开具增值税专用发票，采购人收到保函及发票后15个工作日内向中标人一次性支付合同总金额30%的预付款</w:t>
            </w:r>
            <w:r>
              <w:rPr>
                <w:rFonts w:hint="eastAsia" w:ascii="宋体" w:hAnsi="宋体" w:eastAsia="宋体" w:cs="宋体"/>
                <w:color w:val="auto"/>
                <w:kern w:val="0"/>
                <w:szCs w:val="21"/>
                <w:highlight w:val="none"/>
                <w:lang w:val="en-US" w:eastAsia="zh-CN" w:bidi="ar"/>
              </w:rPr>
              <w:t>。待货物安装调试完毕并验收合格后，采购人在收到中标供应商开具的全额、有效发票和货物的全部技术、质保等资料(国产设备必须为增值税专用发票)，支付合同款的70%。</w:t>
            </w:r>
          </w:p>
        </w:tc>
      </w:tr>
    </w:tbl>
    <w:p w14:paraId="154E7B5D">
      <w:pPr>
        <w:ind w:left="6" w:firstLine="431"/>
        <w:jc w:val="center"/>
        <w:rPr>
          <w:rFonts w:hint="eastAsia" w:ascii="宋体" w:hAnsi="宋体" w:eastAsia="宋体" w:cs="宋体"/>
          <w:b/>
          <w:bCs/>
          <w:color w:val="auto"/>
          <w:sz w:val="21"/>
          <w:szCs w:val="21"/>
          <w:highlight w:val="none"/>
        </w:rPr>
      </w:pPr>
    </w:p>
    <w:p w14:paraId="3434ECF2">
      <w:pPr>
        <w:keepNext w:val="0"/>
        <w:keepLines w:val="0"/>
        <w:pageBreakBefore w:val="0"/>
        <w:widowControl/>
        <w:kinsoku/>
        <w:wordWrap/>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8"/>
          <w:szCs w:val="28"/>
          <w:highlight w:val="none"/>
          <w:lang w:bidi="ar"/>
        </w:rPr>
      </w:pPr>
    </w:p>
    <w:p w14:paraId="53CDCAD5">
      <w:pPr>
        <w:pStyle w:val="2"/>
        <w:rPr>
          <w:rFonts w:hint="eastAsia" w:ascii="宋体" w:hAnsi="宋体" w:eastAsia="宋体" w:cs="宋体"/>
          <w:b/>
          <w:color w:val="auto"/>
          <w:sz w:val="48"/>
          <w:szCs w:val="48"/>
          <w:highlight w:val="none"/>
        </w:rPr>
      </w:pPr>
    </w:p>
    <w:p w14:paraId="15E56971">
      <w:pPr>
        <w:pStyle w:val="2"/>
        <w:rPr>
          <w:rFonts w:hint="eastAsia" w:ascii="宋体" w:hAnsi="宋体" w:eastAsia="宋体" w:cs="宋体"/>
          <w:b/>
          <w:color w:val="auto"/>
          <w:sz w:val="48"/>
          <w:szCs w:val="48"/>
          <w:highlight w:val="none"/>
        </w:rPr>
      </w:pPr>
    </w:p>
    <w:p w14:paraId="7512245F">
      <w:pPr>
        <w:pStyle w:val="2"/>
        <w:rPr>
          <w:rFonts w:hint="eastAsia" w:ascii="宋体" w:hAnsi="宋体" w:eastAsia="宋体" w:cs="宋体"/>
          <w:b/>
          <w:color w:val="auto"/>
          <w:sz w:val="48"/>
          <w:szCs w:val="48"/>
          <w:highlight w:val="none"/>
        </w:rPr>
      </w:pPr>
    </w:p>
    <w:p w14:paraId="31D72941">
      <w:pPr>
        <w:pStyle w:val="2"/>
        <w:rPr>
          <w:rFonts w:hint="eastAsia" w:ascii="宋体" w:hAnsi="宋体" w:eastAsia="宋体" w:cs="宋体"/>
          <w:b/>
          <w:color w:val="auto"/>
          <w:sz w:val="48"/>
          <w:szCs w:val="48"/>
          <w:highlight w:val="none"/>
        </w:rPr>
      </w:pPr>
    </w:p>
    <w:p w14:paraId="40B82C09">
      <w:pPr>
        <w:pStyle w:val="2"/>
        <w:rPr>
          <w:rFonts w:hint="eastAsia" w:ascii="宋体" w:hAnsi="宋体" w:eastAsia="宋体" w:cs="宋体"/>
          <w:b/>
          <w:color w:val="auto"/>
          <w:sz w:val="48"/>
          <w:szCs w:val="48"/>
          <w:highlight w:val="none"/>
        </w:rPr>
      </w:pPr>
    </w:p>
    <w:p w14:paraId="0102BDBB">
      <w:pPr>
        <w:pStyle w:val="2"/>
        <w:rPr>
          <w:rFonts w:hint="eastAsia" w:ascii="宋体" w:hAnsi="宋体" w:eastAsia="宋体" w:cs="宋体"/>
          <w:b/>
          <w:color w:val="auto"/>
          <w:sz w:val="48"/>
          <w:szCs w:val="48"/>
          <w:highlight w:val="none"/>
        </w:rPr>
      </w:pPr>
    </w:p>
    <w:p w14:paraId="2DA3383B">
      <w:pPr>
        <w:pStyle w:val="2"/>
        <w:rPr>
          <w:rFonts w:hint="eastAsia" w:ascii="宋体" w:hAnsi="宋体" w:eastAsia="宋体" w:cs="宋体"/>
          <w:b/>
          <w:color w:val="auto"/>
          <w:sz w:val="48"/>
          <w:szCs w:val="48"/>
          <w:highlight w:val="none"/>
        </w:rPr>
      </w:pPr>
    </w:p>
    <w:p w14:paraId="7C510330">
      <w:pPr>
        <w:pStyle w:val="2"/>
        <w:rPr>
          <w:rFonts w:hint="eastAsia" w:ascii="宋体" w:hAnsi="宋体" w:eastAsia="宋体" w:cs="宋体"/>
          <w:b/>
          <w:color w:val="auto"/>
          <w:sz w:val="48"/>
          <w:szCs w:val="48"/>
          <w:highlight w:val="none"/>
        </w:rPr>
      </w:pPr>
    </w:p>
    <w:p w14:paraId="6D947722">
      <w:pPr>
        <w:pStyle w:val="2"/>
        <w:rPr>
          <w:rFonts w:hint="eastAsia" w:ascii="宋体" w:hAnsi="宋体" w:eastAsia="宋体" w:cs="宋体"/>
          <w:b/>
          <w:color w:val="auto"/>
          <w:sz w:val="48"/>
          <w:szCs w:val="48"/>
          <w:highlight w:val="none"/>
        </w:rPr>
      </w:pPr>
    </w:p>
    <w:p w14:paraId="72818020">
      <w:pPr>
        <w:pStyle w:val="2"/>
        <w:rPr>
          <w:rFonts w:hint="eastAsia" w:ascii="宋体" w:hAnsi="宋体" w:eastAsia="宋体" w:cs="宋体"/>
          <w:b/>
          <w:color w:val="auto"/>
          <w:sz w:val="48"/>
          <w:szCs w:val="48"/>
          <w:highlight w:val="none"/>
        </w:rPr>
      </w:pPr>
    </w:p>
    <w:p w14:paraId="5BC13C71">
      <w:pPr>
        <w:snapToGrid w:val="0"/>
        <w:jc w:val="center"/>
        <w:rPr>
          <w:rFonts w:hint="eastAsia" w:ascii="宋体" w:hAnsi="宋体" w:eastAsia="宋体" w:cs="宋体"/>
          <w:b/>
          <w:color w:val="auto"/>
          <w:sz w:val="48"/>
          <w:szCs w:val="48"/>
          <w:highlight w:val="none"/>
        </w:rPr>
      </w:pPr>
      <w:r>
        <w:rPr>
          <w:rFonts w:hint="eastAsia" w:ascii="宋体" w:hAnsi="宋体" w:eastAsia="宋体" w:cs="宋体"/>
          <w:b/>
          <w:color w:val="auto"/>
          <w:sz w:val="48"/>
          <w:szCs w:val="48"/>
          <w:highlight w:val="none"/>
        </w:rPr>
        <w:t>第三章  投标人须知</w:t>
      </w:r>
    </w:p>
    <w:p w14:paraId="1356306D">
      <w:pPr>
        <w:spacing w:line="36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5452AF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6"/>
          <w:szCs w:val="36"/>
          <w:highlight w:val="none"/>
        </w:rPr>
        <w:t>投标</w:t>
      </w:r>
      <w:bookmarkStart w:id="2" w:name="_Toc254970667"/>
      <w:bookmarkStart w:id="3" w:name="_Toc254970526"/>
      <w:r>
        <w:rPr>
          <w:rFonts w:hint="eastAsia" w:ascii="宋体" w:hAnsi="宋体" w:eastAsia="宋体" w:cs="宋体"/>
          <w:b/>
          <w:color w:val="auto"/>
          <w:sz w:val="36"/>
          <w:szCs w:val="36"/>
          <w:highlight w:val="none"/>
        </w:rPr>
        <w:t>人须知及前附表</w:t>
      </w:r>
      <w:bookmarkEnd w:id="2"/>
      <w:bookmarkEnd w:id="3"/>
    </w:p>
    <w:tbl>
      <w:tblPr>
        <w:tblStyle w:val="20"/>
        <w:tblpPr w:leftFromText="180" w:rightFromText="180" w:vertAnchor="text" w:horzAnchor="page" w:tblpX="1068" w:tblpY="1098"/>
        <w:tblOverlap w:val="never"/>
        <w:tblW w:w="96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17"/>
        <w:gridCol w:w="9053"/>
      </w:tblGrid>
      <w:tr w14:paraId="60159C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25918035">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
                <w:bCs/>
                <w:color w:val="auto"/>
                <w:sz w:val="21"/>
                <w:szCs w:val="21"/>
                <w:highlight w:val="none"/>
                <w:u w:val="none"/>
              </w:rPr>
            </w:pPr>
            <w:r>
              <w:rPr>
                <w:rFonts w:hint="eastAsia" w:ascii="宋体" w:hAnsi="宋体" w:eastAsia="宋体" w:cs="宋体"/>
                <w:b/>
                <w:bCs/>
                <w:color w:val="auto"/>
                <w:sz w:val="21"/>
                <w:szCs w:val="21"/>
                <w:highlight w:val="none"/>
                <w:u w:val="none"/>
              </w:rPr>
              <w:t>序号</w:t>
            </w:r>
          </w:p>
        </w:tc>
        <w:tc>
          <w:tcPr>
            <w:tcW w:w="9053" w:type="dxa"/>
            <w:tcBorders>
              <w:top w:val="single" w:color="auto" w:sz="4" w:space="0"/>
              <w:left w:val="single" w:color="auto" w:sz="4" w:space="0"/>
              <w:bottom w:val="single" w:color="auto" w:sz="4" w:space="0"/>
              <w:right w:val="single" w:color="auto" w:sz="4" w:space="0"/>
            </w:tcBorders>
            <w:vAlign w:val="center"/>
          </w:tcPr>
          <w:p w14:paraId="5110203C">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
                <w:bCs/>
                <w:color w:val="auto"/>
                <w:sz w:val="21"/>
                <w:szCs w:val="21"/>
                <w:highlight w:val="none"/>
                <w:u w:val="none"/>
              </w:rPr>
            </w:pPr>
            <w:r>
              <w:rPr>
                <w:rFonts w:hint="eastAsia" w:ascii="宋体" w:hAnsi="宋体" w:eastAsia="宋体" w:cs="宋体"/>
                <w:b/>
                <w:bCs/>
                <w:color w:val="auto"/>
                <w:sz w:val="21"/>
                <w:szCs w:val="21"/>
                <w:highlight w:val="none"/>
                <w:u w:val="none"/>
              </w:rPr>
              <w:t>内容、要求</w:t>
            </w:r>
          </w:p>
        </w:tc>
      </w:tr>
      <w:tr w14:paraId="0DD102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71132DEA">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1</w:t>
            </w:r>
          </w:p>
        </w:tc>
        <w:tc>
          <w:tcPr>
            <w:tcW w:w="9053" w:type="dxa"/>
            <w:tcBorders>
              <w:top w:val="single" w:color="auto" w:sz="4" w:space="0"/>
              <w:left w:val="single" w:color="auto" w:sz="4" w:space="0"/>
              <w:bottom w:val="single" w:color="auto" w:sz="4" w:space="0"/>
              <w:right w:val="single" w:color="auto" w:sz="4" w:space="0"/>
            </w:tcBorders>
            <w:vAlign w:val="center"/>
          </w:tcPr>
          <w:p w14:paraId="5E34106F">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rPr>
              <w:t>项目名称：</w:t>
            </w:r>
            <w:r>
              <w:rPr>
                <w:rFonts w:hint="eastAsia" w:ascii="宋体" w:hAnsi="宋体" w:eastAsia="宋体" w:cs="宋体"/>
                <w:b/>
                <w:bCs/>
                <w:color w:val="auto"/>
                <w:sz w:val="21"/>
                <w:szCs w:val="21"/>
                <w:highlight w:val="none"/>
                <w:u w:val="none"/>
                <w:lang w:eastAsia="zh-CN"/>
              </w:rPr>
              <w:t>广西天然药物研究院及智慧康养护理中心实验家具采购</w:t>
            </w:r>
          </w:p>
        </w:tc>
      </w:tr>
      <w:tr w14:paraId="0E6777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6C27CFD7">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2</w:t>
            </w:r>
          </w:p>
        </w:tc>
        <w:tc>
          <w:tcPr>
            <w:tcW w:w="9053" w:type="dxa"/>
            <w:tcBorders>
              <w:top w:val="single" w:color="auto" w:sz="4" w:space="0"/>
              <w:left w:val="single" w:color="auto" w:sz="4" w:space="0"/>
              <w:bottom w:val="single" w:color="auto" w:sz="4" w:space="0"/>
              <w:right w:val="single" w:color="auto" w:sz="4" w:space="0"/>
            </w:tcBorders>
            <w:vAlign w:val="center"/>
          </w:tcPr>
          <w:p w14:paraId="7EB40048">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投标报价及费用：1.本项目投标应以人民币报价；2.不论投标结果如何，投标人均应自行承担所有与投标有关的全部费用；</w:t>
            </w:r>
          </w:p>
        </w:tc>
      </w:tr>
      <w:tr w14:paraId="32AE7D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320BA30F">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3</w:t>
            </w:r>
          </w:p>
        </w:tc>
        <w:tc>
          <w:tcPr>
            <w:tcW w:w="9053" w:type="dxa"/>
            <w:tcBorders>
              <w:top w:val="single" w:color="auto" w:sz="4" w:space="0"/>
              <w:left w:val="single" w:color="auto" w:sz="4" w:space="0"/>
              <w:bottom w:val="single" w:color="auto" w:sz="4" w:space="0"/>
              <w:right w:val="single" w:color="auto" w:sz="4" w:space="0"/>
            </w:tcBorders>
            <w:vAlign w:val="center"/>
          </w:tcPr>
          <w:p w14:paraId="6FE51575">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详见公开招标公告</w:t>
            </w:r>
          </w:p>
          <w:p w14:paraId="40BFFB15">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实际交纳的保证金须按要求交纳，否则视为未交纳保证金。</w:t>
            </w:r>
          </w:p>
        </w:tc>
      </w:tr>
      <w:tr w14:paraId="3746EC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617" w:type="dxa"/>
            <w:tcBorders>
              <w:top w:val="single" w:color="auto" w:sz="4" w:space="0"/>
              <w:left w:val="single" w:color="auto" w:sz="4" w:space="0"/>
              <w:bottom w:val="single" w:color="auto" w:sz="4" w:space="0"/>
              <w:right w:val="single" w:color="auto" w:sz="4" w:space="0"/>
            </w:tcBorders>
            <w:vAlign w:val="center"/>
          </w:tcPr>
          <w:p w14:paraId="285DBF5C">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4</w:t>
            </w:r>
          </w:p>
        </w:tc>
        <w:tc>
          <w:tcPr>
            <w:tcW w:w="9053" w:type="dxa"/>
            <w:tcBorders>
              <w:top w:val="single" w:color="auto" w:sz="4" w:space="0"/>
              <w:left w:val="single" w:color="auto" w:sz="4" w:space="0"/>
              <w:bottom w:val="single" w:color="auto" w:sz="4" w:space="0"/>
              <w:right w:val="single" w:color="auto" w:sz="4" w:space="0"/>
            </w:tcBorders>
            <w:vAlign w:val="center"/>
          </w:tcPr>
          <w:p w14:paraId="209464DC">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b/>
                <w:bCs/>
                <w:color w:val="auto"/>
                <w:sz w:val="21"/>
                <w:szCs w:val="21"/>
                <w:highlight w:val="none"/>
                <w:u w:val="none"/>
              </w:rPr>
            </w:pPr>
            <w:r>
              <w:rPr>
                <w:rFonts w:hint="eastAsia" w:ascii="宋体" w:hAnsi="宋体" w:eastAsia="宋体" w:cs="宋体"/>
                <w:b/>
                <w:color w:val="auto"/>
                <w:sz w:val="21"/>
                <w:szCs w:val="21"/>
                <w:highlight w:val="none"/>
                <w:u w:val="none"/>
              </w:rPr>
              <w:t>现场勘查：详见采购需求。</w:t>
            </w:r>
          </w:p>
        </w:tc>
      </w:tr>
      <w:tr w14:paraId="0B3065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0408ADEF">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5</w:t>
            </w:r>
          </w:p>
        </w:tc>
        <w:tc>
          <w:tcPr>
            <w:tcW w:w="9053" w:type="dxa"/>
            <w:tcBorders>
              <w:top w:val="single" w:color="auto" w:sz="4" w:space="0"/>
              <w:left w:val="single" w:color="auto" w:sz="4" w:space="0"/>
              <w:bottom w:val="single" w:color="auto" w:sz="4" w:space="0"/>
              <w:right w:val="single" w:color="auto" w:sz="4" w:space="0"/>
            </w:tcBorders>
            <w:vAlign w:val="center"/>
          </w:tcPr>
          <w:p w14:paraId="4946947D">
            <w:pPr>
              <w:keepNext w:val="0"/>
              <w:keepLines w:val="0"/>
              <w:pageBreakBefore w:val="0"/>
              <w:kinsoku/>
              <w:wordWrap/>
              <w:overflowPunct/>
              <w:topLinePunct w:val="0"/>
              <w:autoSpaceDE/>
              <w:autoSpaceDN/>
              <w:bidi w:val="0"/>
              <w:adjustRightInd/>
              <w:spacing w:line="360" w:lineRule="exact"/>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演示时间及地点：无。</w:t>
            </w:r>
          </w:p>
        </w:tc>
      </w:tr>
      <w:tr w14:paraId="145A61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0469A7AC">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6</w:t>
            </w:r>
          </w:p>
        </w:tc>
        <w:tc>
          <w:tcPr>
            <w:tcW w:w="9053" w:type="dxa"/>
            <w:tcBorders>
              <w:top w:val="single" w:color="auto" w:sz="4" w:space="0"/>
              <w:left w:val="single" w:color="auto" w:sz="4" w:space="0"/>
              <w:bottom w:val="single" w:color="auto" w:sz="4" w:space="0"/>
              <w:right w:val="single" w:color="auto" w:sz="4" w:space="0"/>
            </w:tcBorders>
            <w:vAlign w:val="center"/>
          </w:tcPr>
          <w:p w14:paraId="6B20F4B5">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（1）答疑、澄清：</w:t>
            </w:r>
            <w:r>
              <w:rPr>
                <w:rFonts w:hint="eastAsia" w:ascii="宋体" w:hAnsi="宋体" w:eastAsia="宋体" w:cs="宋体"/>
                <w:b/>
                <w:color w:val="auto"/>
                <w:sz w:val="21"/>
                <w:szCs w:val="21"/>
                <w:highlight w:val="none"/>
                <w:u w:val="none"/>
              </w:rPr>
              <w:t>投标人如认为招标文件表述不清晰、</w:t>
            </w:r>
            <w:r>
              <w:rPr>
                <w:rFonts w:hint="eastAsia" w:ascii="宋体" w:hAnsi="宋体" w:eastAsia="宋体" w:cs="宋体"/>
                <w:b/>
                <w:bCs/>
                <w:color w:val="auto"/>
                <w:sz w:val="21"/>
                <w:szCs w:val="21"/>
                <w:highlight w:val="none"/>
                <w:u w:val="none"/>
              </w:rPr>
              <w:t>有误或有不合理要求的</w:t>
            </w:r>
            <w:r>
              <w:rPr>
                <w:rFonts w:hint="eastAsia" w:ascii="宋体" w:hAnsi="宋体" w:eastAsia="宋体" w:cs="宋体"/>
                <w:color w:val="auto"/>
                <w:sz w:val="21"/>
                <w:szCs w:val="21"/>
                <w:highlight w:val="none"/>
                <w:u w:val="none"/>
              </w:rPr>
              <w:t>，应当以书面形式要求采购人或者本中心作出书面答疑、澄清；</w:t>
            </w:r>
          </w:p>
          <w:p w14:paraId="63EC415D">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（2）询问、质疑：</w:t>
            </w:r>
            <w:r>
              <w:rPr>
                <w:rFonts w:hint="eastAsia" w:ascii="宋体" w:hAnsi="宋体" w:eastAsia="宋体" w:cs="宋体"/>
                <w:b/>
                <w:color w:val="auto"/>
                <w:sz w:val="21"/>
                <w:szCs w:val="21"/>
                <w:highlight w:val="none"/>
                <w:u w:val="none"/>
              </w:rPr>
              <w:t>如投标人认为招标文件存在歧视性、排他性或者其他违法内容的</w:t>
            </w:r>
            <w:r>
              <w:rPr>
                <w:rFonts w:hint="eastAsia" w:ascii="宋体" w:hAnsi="宋体" w:eastAsia="宋体" w:cs="宋体"/>
                <w:color w:val="auto"/>
                <w:sz w:val="21"/>
                <w:szCs w:val="21"/>
                <w:highlight w:val="none"/>
                <w:u w:val="none"/>
              </w:rPr>
              <w:t>，按投标人须知“一、总则（九）询问、质疑和投诉”中的要求向采购人或者采购代理机构提出书面询问、质疑，并提供必要的证明材料。</w:t>
            </w:r>
          </w:p>
          <w:p w14:paraId="3B431925">
            <w:pPr>
              <w:keepNext w:val="0"/>
              <w:keepLines w:val="0"/>
              <w:pageBreakBefore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答疑、澄清内容是招标文件的组成部份，本中心将以书面形式送达所有已报名的投标人。本中心可以视采购具体情况，延长招标文件或者资格预审文件提供期限，并在财政部门指定的政府采购信息发布媒体及本中心网站上发布公告。</w:t>
            </w:r>
          </w:p>
        </w:tc>
      </w:tr>
      <w:tr w14:paraId="37BB65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33A1EE6D">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7</w:t>
            </w:r>
          </w:p>
        </w:tc>
        <w:tc>
          <w:tcPr>
            <w:tcW w:w="9053" w:type="dxa"/>
            <w:tcBorders>
              <w:top w:val="single" w:color="auto" w:sz="4" w:space="0"/>
              <w:left w:val="single" w:color="auto" w:sz="4" w:space="0"/>
              <w:bottom w:val="single" w:color="auto" w:sz="4" w:space="0"/>
              <w:right w:val="single" w:color="auto" w:sz="4" w:space="0"/>
            </w:tcBorders>
            <w:vAlign w:val="center"/>
          </w:tcPr>
          <w:p w14:paraId="56F82167">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color w:val="auto"/>
                <w:sz w:val="21"/>
                <w:szCs w:val="21"/>
                <w:highlight w:val="none"/>
                <w:u w:val="none"/>
              </w:rPr>
              <w:t>投标文件形式：</w:t>
            </w:r>
            <w:r>
              <w:rPr>
                <w:rFonts w:hint="eastAsia" w:ascii="宋体" w:hAnsi="宋体" w:eastAsia="宋体" w:cs="宋体"/>
                <w:snapToGrid w:val="0"/>
                <w:color w:val="auto"/>
                <w:sz w:val="21"/>
                <w:szCs w:val="21"/>
                <w:highlight w:val="none"/>
                <w:u w:val="none"/>
              </w:rPr>
              <w:t>投标供应商应准备电子投标文件。</w:t>
            </w:r>
          </w:p>
          <w:p w14:paraId="34AF842C">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snapToGrid w:val="0"/>
                <w:color w:val="auto"/>
                <w:sz w:val="21"/>
                <w:szCs w:val="21"/>
                <w:highlight w:val="none"/>
                <w:u w:val="none"/>
              </w:rPr>
              <w:t>电子投标文件是指通过“广西政府采购云</w:t>
            </w:r>
            <w:r>
              <w:rPr>
                <w:rFonts w:hint="eastAsia" w:ascii="宋体" w:hAnsi="宋体" w:eastAsia="宋体" w:cs="宋体"/>
                <w:color w:val="auto"/>
                <w:sz w:val="21"/>
                <w:szCs w:val="21"/>
                <w:highlight w:val="none"/>
                <w:u w:val="none"/>
              </w:rPr>
              <w:t>电子投标</w:t>
            </w:r>
            <w:r>
              <w:rPr>
                <w:rFonts w:hint="eastAsia" w:ascii="宋体" w:hAnsi="宋体" w:eastAsia="宋体" w:cs="宋体"/>
                <w:snapToGrid w:val="0"/>
                <w:color w:val="auto"/>
                <w:sz w:val="21"/>
                <w:szCs w:val="21"/>
                <w:highlight w:val="none"/>
                <w:u w:val="none"/>
              </w:rPr>
              <w:t>客户端”完成投标文件编制后生成并加密的数据电文形式的电子加密投标文件。</w:t>
            </w:r>
          </w:p>
        </w:tc>
      </w:tr>
      <w:tr w14:paraId="5041A2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2E819DD7">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8</w:t>
            </w:r>
          </w:p>
        </w:tc>
        <w:tc>
          <w:tcPr>
            <w:tcW w:w="9053" w:type="dxa"/>
            <w:tcBorders>
              <w:top w:val="single" w:color="auto" w:sz="4" w:space="0"/>
              <w:left w:val="single" w:color="auto" w:sz="4" w:space="0"/>
              <w:bottom w:val="single" w:color="auto" w:sz="4" w:space="0"/>
              <w:right w:val="single" w:color="auto" w:sz="4" w:space="0"/>
            </w:tcBorders>
            <w:vAlign w:val="center"/>
          </w:tcPr>
          <w:p w14:paraId="173F8783">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snapToGrid w:val="0"/>
                <w:color w:val="auto"/>
                <w:sz w:val="21"/>
                <w:szCs w:val="21"/>
                <w:highlight w:val="none"/>
                <w:u w:val="none"/>
              </w:rPr>
              <w:t>投标文件的编制：供应商应先安装“广西政府采购云</w:t>
            </w:r>
            <w:r>
              <w:rPr>
                <w:rFonts w:hint="eastAsia" w:ascii="宋体" w:hAnsi="宋体" w:eastAsia="宋体" w:cs="宋体"/>
                <w:color w:val="auto"/>
                <w:sz w:val="21"/>
                <w:szCs w:val="21"/>
                <w:highlight w:val="none"/>
                <w:u w:val="none"/>
              </w:rPr>
              <w:t>电子投标</w:t>
            </w:r>
            <w:r>
              <w:rPr>
                <w:rFonts w:hint="eastAsia" w:ascii="宋体" w:hAnsi="宋体" w:eastAsia="宋体" w:cs="宋体"/>
                <w:snapToGrid w:val="0"/>
                <w:color w:val="auto"/>
                <w:sz w:val="21"/>
                <w:szCs w:val="21"/>
                <w:highlight w:val="none"/>
                <w:u w:val="none"/>
              </w:rPr>
              <w:t>客户端”，并按照本招标文件和“广西政府采购云平台”的要求，通过“广西政府采购云</w:t>
            </w:r>
            <w:r>
              <w:rPr>
                <w:rFonts w:hint="eastAsia" w:ascii="宋体" w:hAnsi="宋体" w:eastAsia="宋体" w:cs="宋体"/>
                <w:color w:val="auto"/>
                <w:sz w:val="21"/>
                <w:szCs w:val="21"/>
                <w:highlight w:val="none"/>
                <w:u w:val="none"/>
              </w:rPr>
              <w:t>电子投标</w:t>
            </w:r>
            <w:r>
              <w:rPr>
                <w:rFonts w:hint="eastAsia" w:ascii="宋体" w:hAnsi="宋体" w:eastAsia="宋体" w:cs="宋体"/>
                <w:snapToGrid w:val="0"/>
                <w:color w:val="auto"/>
                <w:sz w:val="21"/>
                <w:szCs w:val="21"/>
                <w:highlight w:val="none"/>
                <w:u w:val="none"/>
              </w:rPr>
              <w:t>客户端”编制并加密投标文件。</w:t>
            </w:r>
          </w:p>
        </w:tc>
      </w:tr>
      <w:tr w14:paraId="744DAF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2C6A3D3F">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9</w:t>
            </w:r>
          </w:p>
        </w:tc>
        <w:tc>
          <w:tcPr>
            <w:tcW w:w="9053" w:type="dxa"/>
            <w:tcBorders>
              <w:top w:val="single" w:color="auto" w:sz="4" w:space="0"/>
              <w:left w:val="single" w:color="auto" w:sz="4" w:space="0"/>
              <w:bottom w:val="single" w:color="auto" w:sz="4" w:space="0"/>
              <w:right w:val="single" w:color="auto" w:sz="4" w:space="0"/>
            </w:tcBorders>
            <w:vAlign w:val="center"/>
          </w:tcPr>
          <w:p w14:paraId="656A3407">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投标文件的盖章：投标文件中所涉及的加盖公章均采用CA电子签章。</w:t>
            </w:r>
          </w:p>
        </w:tc>
      </w:tr>
      <w:tr w14:paraId="6BAF6A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49D4FC30">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10</w:t>
            </w:r>
          </w:p>
        </w:tc>
        <w:tc>
          <w:tcPr>
            <w:tcW w:w="9053" w:type="dxa"/>
            <w:tcBorders>
              <w:top w:val="single" w:color="auto" w:sz="4" w:space="0"/>
              <w:left w:val="single" w:color="auto" w:sz="4" w:space="0"/>
              <w:bottom w:val="single" w:color="auto" w:sz="4" w:space="0"/>
              <w:right w:val="single" w:color="auto" w:sz="4" w:space="0"/>
            </w:tcBorders>
            <w:vAlign w:val="center"/>
          </w:tcPr>
          <w:p w14:paraId="71A08452">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法定代表人或其授权代表签字或签章：本招标文件所涉及的法定代表人或其授权代表签字或签章的内容，如果投标单位没有法定代表人电子签章，涉及到法定代表人或其授权代表签字或签章的内容，投标单位可以线下签字或签章后扫描上传。</w:t>
            </w:r>
          </w:p>
        </w:tc>
      </w:tr>
      <w:tr w14:paraId="5EFB2C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18FC6A77">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11</w:t>
            </w:r>
          </w:p>
        </w:tc>
        <w:tc>
          <w:tcPr>
            <w:tcW w:w="9053" w:type="dxa"/>
            <w:tcBorders>
              <w:top w:val="single" w:color="auto" w:sz="4" w:space="0"/>
              <w:left w:val="single" w:color="auto" w:sz="4" w:space="0"/>
              <w:bottom w:val="single" w:color="auto" w:sz="4" w:space="0"/>
              <w:right w:val="single" w:color="auto" w:sz="4" w:space="0"/>
            </w:tcBorders>
            <w:vAlign w:val="center"/>
          </w:tcPr>
          <w:p w14:paraId="089F222D">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投标文件份数：电子加密投标文件在线上传提交一份。</w:t>
            </w:r>
          </w:p>
        </w:tc>
      </w:tr>
      <w:tr w14:paraId="225A92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44930A26">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12</w:t>
            </w:r>
          </w:p>
        </w:tc>
        <w:tc>
          <w:tcPr>
            <w:tcW w:w="9053" w:type="dxa"/>
            <w:tcBorders>
              <w:top w:val="single" w:color="auto" w:sz="4" w:space="0"/>
              <w:left w:val="single" w:color="auto" w:sz="4" w:space="0"/>
              <w:bottom w:val="single" w:color="auto" w:sz="4" w:space="0"/>
              <w:right w:val="single" w:color="auto" w:sz="4" w:space="0"/>
            </w:tcBorders>
            <w:vAlign w:val="center"/>
          </w:tcPr>
          <w:p w14:paraId="79484C43">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投标文件的上传和提交：本项目通过“广西政府采购云平台（http://www.gcy.zfcg.gxzf.gov.cn）”实行在线投标响应（电子投标），投标供应商应当在投标截止时间前，将生成的“电子加密投标文件”上传提交至“广西政府采购云平台”。</w:t>
            </w:r>
          </w:p>
          <w:p w14:paraId="1752171C">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“电子加密投标文件”的上传、提交：</w:t>
            </w:r>
          </w:p>
          <w:p w14:paraId="7E2B308B">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a.投标供应商应在投标截止时间前将“电子加密投标文件”成功上传提交至“广西政府采购云平台”，否则投标无效。</w:t>
            </w:r>
          </w:p>
          <w:p w14:paraId="2418C739">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b.“电子加密投标文件”成功上传提交后，供应商可自行打印投标文件接收回执。</w:t>
            </w:r>
          </w:p>
        </w:tc>
      </w:tr>
      <w:tr w14:paraId="3FAEDF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670ADE44">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13</w:t>
            </w:r>
          </w:p>
        </w:tc>
        <w:tc>
          <w:tcPr>
            <w:tcW w:w="9053" w:type="dxa"/>
            <w:tcBorders>
              <w:top w:val="single" w:color="auto" w:sz="4" w:space="0"/>
              <w:left w:val="single" w:color="auto" w:sz="4" w:space="0"/>
              <w:bottom w:val="single" w:color="auto" w:sz="4" w:space="0"/>
              <w:right w:val="single" w:color="auto" w:sz="4" w:space="0"/>
            </w:tcBorders>
            <w:vAlign w:val="center"/>
          </w:tcPr>
          <w:p w14:paraId="65C31FE4">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电子加密投标文件的解密：</w:t>
            </w:r>
          </w:p>
          <w:p w14:paraId="7B35703F">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tc>
      </w:tr>
      <w:tr w14:paraId="15E35E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33AE9492">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14</w:t>
            </w:r>
          </w:p>
        </w:tc>
        <w:tc>
          <w:tcPr>
            <w:tcW w:w="9053" w:type="dxa"/>
            <w:tcBorders>
              <w:top w:val="single" w:color="auto" w:sz="4" w:space="0"/>
              <w:left w:val="single" w:color="auto" w:sz="4" w:space="0"/>
              <w:bottom w:val="single" w:color="auto" w:sz="4" w:space="0"/>
              <w:right w:val="single" w:color="auto" w:sz="4" w:space="0"/>
            </w:tcBorders>
            <w:vAlign w:val="center"/>
          </w:tcPr>
          <w:p w14:paraId="693AF925">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投标截止时间及地点：</w:t>
            </w:r>
            <w:r>
              <w:rPr>
                <w:rFonts w:hint="eastAsia" w:ascii="宋体" w:hAnsi="宋体" w:eastAsia="宋体" w:cs="宋体"/>
                <w:b/>
                <w:bCs/>
                <w:color w:val="auto"/>
                <w:sz w:val="21"/>
                <w:szCs w:val="21"/>
                <w:highlight w:val="none"/>
                <w:u w:val="none"/>
              </w:rPr>
              <w:t>2026年</w:t>
            </w:r>
            <w:r>
              <w:rPr>
                <w:rFonts w:hint="eastAsia" w:ascii="宋体" w:hAnsi="宋体" w:eastAsia="宋体" w:cs="宋体"/>
                <w:b/>
                <w:bCs/>
                <w:color w:val="auto"/>
                <w:sz w:val="21"/>
                <w:szCs w:val="21"/>
                <w:highlight w:val="none"/>
                <w:u w:val="none"/>
                <w:lang w:val="en-US" w:eastAsia="zh-CN"/>
              </w:rPr>
              <w:t>10</w:t>
            </w:r>
            <w:r>
              <w:rPr>
                <w:rFonts w:hint="eastAsia" w:ascii="宋体" w:hAnsi="宋体" w:eastAsia="宋体" w:cs="宋体"/>
                <w:b/>
                <w:bCs/>
                <w:color w:val="auto"/>
                <w:sz w:val="21"/>
                <w:szCs w:val="21"/>
                <w:highlight w:val="none"/>
                <w:u w:val="none"/>
              </w:rPr>
              <w:t>月</w:t>
            </w:r>
            <w:r>
              <w:rPr>
                <w:rFonts w:hint="eastAsia" w:ascii="宋体" w:hAnsi="宋体" w:eastAsia="宋体" w:cs="宋体"/>
                <w:b/>
                <w:bCs/>
                <w:color w:val="auto"/>
                <w:sz w:val="21"/>
                <w:szCs w:val="21"/>
                <w:highlight w:val="none"/>
                <w:u w:val="none"/>
                <w:lang w:val="en-US" w:eastAsia="zh-CN"/>
              </w:rPr>
              <w:t>23</w:t>
            </w:r>
            <w:r>
              <w:rPr>
                <w:rFonts w:hint="eastAsia" w:ascii="宋体" w:hAnsi="宋体" w:eastAsia="宋体" w:cs="宋体"/>
                <w:b/>
                <w:bCs/>
                <w:color w:val="auto"/>
                <w:sz w:val="21"/>
                <w:szCs w:val="21"/>
                <w:highlight w:val="none"/>
                <w:u w:val="none"/>
              </w:rPr>
              <w:t>日</w:t>
            </w:r>
            <w:r>
              <w:rPr>
                <w:rFonts w:hint="eastAsia" w:ascii="宋体" w:hAnsi="宋体" w:eastAsia="宋体" w:cs="宋体"/>
                <w:b/>
                <w:color w:val="auto"/>
                <w:sz w:val="21"/>
                <w:szCs w:val="21"/>
                <w:highlight w:val="none"/>
                <w:u w:val="none"/>
              </w:rPr>
              <w:t>上午10时整</w:t>
            </w:r>
            <w:r>
              <w:rPr>
                <w:rFonts w:hint="eastAsia" w:ascii="宋体" w:hAnsi="宋体" w:eastAsia="宋体" w:cs="宋体"/>
                <w:b w:val="0"/>
                <w:bCs/>
                <w:color w:val="auto"/>
                <w:sz w:val="21"/>
                <w:szCs w:val="21"/>
                <w:highlight w:val="none"/>
                <w:u w:val="none"/>
              </w:rPr>
              <w:t>，南宁市星湖路22号广西壮族自治区政府采购中心开标大厅。（本项目采用在线开评标方式，投标</w:t>
            </w:r>
            <w:r>
              <w:rPr>
                <w:rFonts w:hint="eastAsia" w:ascii="宋体" w:hAnsi="宋体" w:eastAsia="宋体" w:cs="宋体"/>
                <w:color w:val="auto"/>
                <w:sz w:val="21"/>
                <w:szCs w:val="21"/>
                <w:highlight w:val="none"/>
                <w:u w:val="none"/>
              </w:rPr>
              <w:t>供应商无须前往开标现场</w:t>
            </w:r>
            <w:r>
              <w:rPr>
                <w:rFonts w:hint="eastAsia" w:ascii="宋体" w:hAnsi="宋体" w:eastAsia="宋体" w:cs="宋体"/>
                <w:b/>
                <w:color w:val="auto"/>
                <w:sz w:val="21"/>
                <w:szCs w:val="21"/>
                <w:highlight w:val="none"/>
                <w:u w:val="none"/>
              </w:rPr>
              <w:t>）</w:t>
            </w:r>
          </w:p>
        </w:tc>
      </w:tr>
      <w:tr w14:paraId="436707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6FB3D442">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15</w:t>
            </w:r>
          </w:p>
        </w:tc>
        <w:tc>
          <w:tcPr>
            <w:tcW w:w="9053" w:type="dxa"/>
            <w:tcBorders>
              <w:top w:val="single" w:color="auto" w:sz="4" w:space="0"/>
              <w:left w:val="single" w:color="auto" w:sz="4" w:space="0"/>
              <w:bottom w:val="single" w:color="auto" w:sz="4" w:space="0"/>
              <w:right w:val="single" w:color="auto" w:sz="4" w:space="0"/>
            </w:tcBorders>
            <w:vAlign w:val="center"/>
          </w:tcPr>
          <w:p w14:paraId="5F02E8DC">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开标时间及地点：</w:t>
            </w:r>
            <w:r>
              <w:rPr>
                <w:rFonts w:hint="eastAsia" w:ascii="宋体" w:hAnsi="宋体" w:eastAsia="宋体" w:cs="宋体"/>
                <w:b/>
                <w:bCs/>
                <w:color w:val="auto"/>
                <w:sz w:val="21"/>
                <w:szCs w:val="21"/>
                <w:highlight w:val="none"/>
                <w:u w:val="none"/>
              </w:rPr>
              <w:t>2026年</w:t>
            </w:r>
            <w:r>
              <w:rPr>
                <w:rFonts w:hint="eastAsia" w:ascii="宋体" w:hAnsi="宋体" w:eastAsia="宋体" w:cs="宋体"/>
                <w:b/>
                <w:bCs/>
                <w:color w:val="auto"/>
                <w:sz w:val="21"/>
                <w:szCs w:val="21"/>
                <w:highlight w:val="none"/>
                <w:u w:val="none"/>
                <w:lang w:val="en-US" w:eastAsia="zh-CN"/>
              </w:rPr>
              <w:t>10</w:t>
            </w:r>
            <w:r>
              <w:rPr>
                <w:rFonts w:hint="eastAsia" w:ascii="宋体" w:hAnsi="宋体" w:eastAsia="宋体" w:cs="宋体"/>
                <w:b/>
                <w:bCs/>
                <w:color w:val="auto"/>
                <w:sz w:val="21"/>
                <w:szCs w:val="21"/>
                <w:highlight w:val="none"/>
                <w:u w:val="none"/>
              </w:rPr>
              <w:t>月</w:t>
            </w:r>
            <w:r>
              <w:rPr>
                <w:rFonts w:hint="eastAsia" w:ascii="宋体" w:hAnsi="宋体" w:eastAsia="宋体" w:cs="宋体"/>
                <w:b/>
                <w:bCs/>
                <w:color w:val="auto"/>
                <w:sz w:val="21"/>
                <w:szCs w:val="21"/>
                <w:highlight w:val="none"/>
                <w:u w:val="none"/>
                <w:lang w:val="en-US" w:eastAsia="zh-CN"/>
              </w:rPr>
              <w:t>23</w:t>
            </w:r>
            <w:r>
              <w:rPr>
                <w:rFonts w:hint="eastAsia" w:ascii="宋体" w:hAnsi="宋体" w:eastAsia="宋体" w:cs="宋体"/>
                <w:b/>
                <w:bCs/>
                <w:color w:val="auto"/>
                <w:sz w:val="21"/>
                <w:szCs w:val="21"/>
                <w:highlight w:val="none"/>
                <w:u w:val="none"/>
              </w:rPr>
              <w:t>日</w:t>
            </w:r>
            <w:r>
              <w:rPr>
                <w:rFonts w:hint="eastAsia" w:ascii="宋体" w:hAnsi="宋体" w:eastAsia="宋体" w:cs="宋体"/>
                <w:b/>
                <w:color w:val="auto"/>
                <w:sz w:val="21"/>
                <w:szCs w:val="21"/>
                <w:highlight w:val="none"/>
                <w:u w:val="none"/>
              </w:rPr>
              <w:t>上午10时整</w:t>
            </w:r>
            <w:r>
              <w:rPr>
                <w:rFonts w:hint="eastAsia" w:ascii="宋体" w:hAnsi="宋体" w:eastAsia="宋体" w:cs="宋体"/>
                <w:b w:val="0"/>
                <w:bCs/>
                <w:color w:val="auto"/>
                <w:sz w:val="21"/>
                <w:szCs w:val="21"/>
                <w:highlight w:val="none"/>
                <w:u w:val="none"/>
              </w:rPr>
              <w:t>，南宁市星湖路22号广西壮族自治区政府采购中心开标大厅。（本项目采用在线开评标方式，投标</w:t>
            </w:r>
            <w:r>
              <w:rPr>
                <w:rFonts w:hint="eastAsia" w:ascii="宋体" w:hAnsi="宋体" w:eastAsia="宋体" w:cs="宋体"/>
                <w:color w:val="auto"/>
                <w:sz w:val="21"/>
                <w:szCs w:val="21"/>
                <w:highlight w:val="none"/>
                <w:u w:val="none"/>
              </w:rPr>
              <w:t>供应商无须前往开标现场</w:t>
            </w:r>
            <w:r>
              <w:rPr>
                <w:rFonts w:hint="eastAsia" w:ascii="宋体" w:hAnsi="宋体" w:eastAsia="宋体" w:cs="宋体"/>
                <w:b/>
                <w:color w:val="auto"/>
                <w:sz w:val="21"/>
                <w:szCs w:val="21"/>
                <w:highlight w:val="none"/>
                <w:u w:val="none"/>
              </w:rPr>
              <w:t>）</w:t>
            </w:r>
          </w:p>
        </w:tc>
      </w:tr>
      <w:tr w14:paraId="0EE50E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4752F7A9">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16</w:t>
            </w:r>
          </w:p>
        </w:tc>
        <w:tc>
          <w:tcPr>
            <w:tcW w:w="9053" w:type="dxa"/>
            <w:tcBorders>
              <w:top w:val="single" w:color="auto" w:sz="4" w:space="0"/>
              <w:left w:val="single" w:color="auto" w:sz="4" w:space="0"/>
              <w:bottom w:val="single" w:color="auto" w:sz="4" w:space="0"/>
              <w:right w:val="single" w:color="auto" w:sz="4" w:space="0"/>
            </w:tcBorders>
            <w:vAlign w:val="center"/>
          </w:tcPr>
          <w:p w14:paraId="2485FC41">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评标方法：综合评分法</w:t>
            </w:r>
          </w:p>
        </w:tc>
      </w:tr>
      <w:tr w14:paraId="718886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2FF27042">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17</w:t>
            </w:r>
          </w:p>
        </w:tc>
        <w:tc>
          <w:tcPr>
            <w:tcW w:w="9053" w:type="dxa"/>
            <w:tcBorders>
              <w:top w:val="single" w:color="auto" w:sz="4" w:space="0"/>
              <w:left w:val="single" w:color="auto" w:sz="4" w:space="0"/>
              <w:bottom w:val="single" w:color="auto" w:sz="4" w:space="0"/>
              <w:right w:val="single" w:color="auto" w:sz="4" w:space="0"/>
            </w:tcBorders>
            <w:vAlign w:val="center"/>
          </w:tcPr>
          <w:p w14:paraId="14CE58D2">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中标公告及中标通知书：本中心在采购人依法确认中标人后二个工作日内发布中标公告和中标通知书，中标公告发布于上述媒体（详细见公告中公布的网站）。</w:t>
            </w:r>
          </w:p>
        </w:tc>
      </w:tr>
      <w:tr w14:paraId="209117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05C0FBE4">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18</w:t>
            </w:r>
          </w:p>
        </w:tc>
        <w:tc>
          <w:tcPr>
            <w:tcW w:w="9053" w:type="dxa"/>
            <w:tcBorders>
              <w:top w:val="single" w:color="auto" w:sz="4" w:space="0"/>
              <w:left w:val="single" w:color="auto" w:sz="4" w:space="0"/>
              <w:bottom w:val="single" w:color="auto" w:sz="4" w:space="0"/>
              <w:right w:val="single" w:color="auto" w:sz="4" w:space="0"/>
            </w:tcBorders>
            <w:vAlign w:val="center"/>
          </w:tcPr>
          <w:p w14:paraId="28A265E4">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采购资金来源：财政性资金。</w:t>
            </w:r>
          </w:p>
        </w:tc>
      </w:tr>
      <w:tr w14:paraId="276558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19E778D3">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19</w:t>
            </w:r>
          </w:p>
        </w:tc>
        <w:tc>
          <w:tcPr>
            <w:tcW w:w="9053" w:type="dxa"/>
            <w:tcBorders>
              <w:top w:val="single" w:color="auto" w:sz="4" w:space="0"/>
              <w:left w:val="single" w:color="auto" w:sz="4" w:space="0"/>
              <w:bottom w:val="single" w:color="auto" w:sz="4" w:space="0"/>
              <w:right w:val="single" w:color="auto" w:sz="4" w:space="0"/>
            </w:tcBorders>
            <w:vAlign w:val="center"/>
          </w:tcPr>
          <w:p w14:paraId="2F50DAAB">
            <w:pPr>
              <w:keepNext w:val="0"/>
              <w:keepLines w:val="0"/>
              <w:pageBreakBefore w:val="0"/>
              <w:widowControl/>
              <w:kinsoku/>
              <w:wordWrap/>
              <w:overflowPunct/>
              <w:topLinePunct w:val="0"/>
              <w:autoSpaceDE/>
              <w:autoSpaceDN/>
              <w:bidi w:val="0"/>
              <w:adjustRightInd/>
              <w:spacing w:line="360" w:lineRule="exact"/>
              <w:textAlignment w:val="auto"/>
              <w:rPr>
                <w:rFonts w:hint="eastAsia" w:ascii="宋体" w:hAnsi="宋体" w:eastAsia="宋体" w:cs="宋体"/>
                <w:color w:val="auto"/>
                <w:kern w:val="0"/>
                <w:sz w:val="21"/>
                <w:szCs w:val="21"/>
                <w:highlight w:val="none"/>
                <w:u w:val="none"/>
              </w:rPr>
            </w:pPr>
            <w:r>
              <w:rPr>
                <w:rFonts w:hint="eastAsia" w:ascii="宋体" w:hAnsi="宋体" w:eastAsia="宋体" w:cs="宋体"/>
                <w:color w:val="auto"/>
                <w:sz w:val="21"/>
                <w:szCs w:val="21"/>
                <w:highlight w:val="none"/>
                <w:u w:val="none"/>
              </w:rPr>
              <w:t>付款方式：</w:t>
            </w:r>
            <w:r>
              <w:rPr>
                <w:rFonts w:hint="eastAsia" w:ascii="宋体" w:hAnsi="宋体" w:eastAsia="宋体" w:cs="宋体"/>
                <w:color w:val="auto"/>
                <w:kern w:val="0"/>
                <w:sz w:val="21"/>
                <w:szCs w:val="21"/>
                <w:highlight w:val="none"/>
                <w:u w:val="none"/>
              </w:rPr>
              <w:t>见招标项目采购需求。</w:t>
            </w:r>
          </w:p>
        </w:tc>
      </w:tr>
      <w:tr w14:paraId="48D9F2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3682861A">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20</w:t>
            </w:r>
          </w:p>
        </w:tc>
        <w:tc>
          <w:tcPr>
            <w:tcW w:w="9053" w:type="dxa"/>
            <w:tcBorders>
              <w:top w:val="single" w:color="auto" w:sz="4" w:space="0"/>
              <w:left w:val="single" w:color="auto" w:sz="4" w:space="0"/>
              <w:bottom w:val="single" w:color="auto" w:sz="4" w:space="0"/>
              <w:right w:val="single" w:color="auto" w:sz="4" w:space="0"/>
            </w:tcBorders>
            <w:vAlign w:val="center"/>
          </w:tcPr>
          <w:p w14:paraId="690BC041">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投标文件有效期： 六十日。</w:t>
            </w:r>
          </w:p>
        </w:tc>
      </w:tr>
      <w:tr w14:paraId="360053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5133FF71">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21</w:t>
            </w:r>
          </w:p>
        </w:tc>
        <w:tc>
          <w:tcPr>
            <w:tcW w:w="9053" w:type="dxa"/>
            <w:tcBorders>
              <w:top w:val="single" w:color="auto" w:sz="4" w:space="0"/>
              <w:left w:val="single" w:color="auto" w:sz="4" w:space="0"/>
              <w:bottom w:val="single" w:color="auto" w:sz="4" w:space="0"/>
              <w:right w:val="single" w:color="auto" w:sz="4" w:space="0"/>
            </w:tcBorders>
            <w:vAlign w:val="center"/>
          </w:tcPr>
          <w:p w14:paraId="2E472641">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b/>
                <w:bCs/>
                <w:snapToGrid w:val="0"/>
                <w:color w:val="auto"/>
                <w:sz w:val="21"/>
                <w:szCs w:val="21"/>
                <w:highlight w:val="none"/>
                <w:u w:val="none"/>
              </w:rPr>
            </w:pPr>
            <w:r>
              <w:rPr>
                <w:rFonts w:hint="eastAsia" w:ascii="宋体" w:hAnsi="宋体" w:eastAsia="宋体" w:cs="宋体"/>
                <w:b/>
                <w:bCs/>
                <w:snapToGrid w:val="0"/>
                <w:color w:val="auto"/>
                <w:sz w:val="21"/>
                <w:szCs w:val="21"/>
                <w:highlight w:val="none"/>
                <w:u w:val="none"/>
              </w:rPr>
              <w:t>对招标文件、采购过程或者中标结果的质疑由采购人接收或采购代理机构代为接收，由采购人负责答复。</w:t>
            </w:r>
          </w:p>
          <w:p w14:paraId="2214864D">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b/>
                <w:bCs/>
                <w:snapToGrid w:val="0"/>
                <w:color w:val="auto"/>
                <w:sz w:val="21"/>
                <w:szCs w:val="21"/>
                <w:highlight w:val="none"/>
                <w:u w:val="none"/>
              </w:rPr>
            </w:pPr>
            <w:r>
              <w:rPr>
                <w:rFonts w:hint="eastAsia" w:ascii="宋体" w:hAnsi="宋体" w:eastAsia="宋体" w:cs="宋体"/>
                <w:b/>
                <w:bCs/>
                <w:snapToGrid w:val="0"/>
                <w:color w:val="auto"/>
                <w:sz w:val="21"/>
                <w:szCs w:val="21"/>
                <w:highlight w:val="none"/>
                <w:u w:val="none"/>
              </w:rPr>
              <w:t>接收质疑函方式：以书面形式。</w:t>
            </w:r>
          </w:p>
          <w:p w14:paraId="1FE05D85">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b/>
                <w:bCs/>
                <w:snapToGrid w:val="0"/>
                <w:color w:val="auto"/>
                <w:sz w:val="21"/>
                <w:szCs w:val="21"/>
                <w:highlight w:val="none"/>
                <w:u w:val="none"/>
              </w:rPr>
            </w:pPr>
            <w:r>
              <w:rPr>
                <w:rFonts w:hint="eastAsia" w:ascii="宋体" w:hAnsi="宋体" w:eastAsia="宋体" w:cs="宋体"/>
                <w:b/>
                <w:bCs/>
                <w:snapToGrid w:val="0"/>
                <w:color w:val="auto"/>
                <w:sz w:val="21"/>
                <w:szCs w:val="21"/>
                <w:highlight w:val="none"/>
                <w:u w:val="none"/>
              </w:rPr>
              <w:t>质疑联系部门及联系方式：</w:t>
            </w:r>
          </w:p>
          <w:p w14:paraId="63104D20">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b/>
                <w:bCs/>
                <w:snapToGrid w:val="0"/>
                <w:color w:val="auto"/>
                <w:sz w:val="21"/>
                <w:szCs w:val="21"/>
                <w:highlight w:val="none"/>
                <w:u w:val="none"/>
              </w:rPr>
            </w:pPr>
            <w:r>
              <w:rPr>
                <w:rFonts w:hint="eastAsia" w:ascii="宋体" w:hAnsi="宋体" w:eastAsia="宋体" w:cs="宋体"/>
                <w:b/>
                <w:bCs/>
                <w:snapToGrid w:val="0"/>
                <w:color w:val="auto"/>
                <w:sz w:val="21"/>
                <w:szCs w:val="21"/>
                <w:highlight w:val="none"/>
                <w:u w:val="none"/>
              </w:rPr>
              <w:t xml:space="preserve">（1）广西壮族自治区政府采购中心内审科     </w:t>
            </w:r>
          </w:p>
          <w:p w14:paraId="2747AC29">
            <w:pPr>
              <w:keepNext w:val="0"/>
              <w:keepLines w:val="0"/>
              <w:pageBreakBefore w:val="0"/>
              <w:kinsoku/>
              <w:wordWrap/>
              <w:overflowPunct/>
              <w:topLinePunct w:val="0"/>
              <w:autoSpaceDE/>
              <w:autoSpaceDN/>
              <w:bidi w:val="0"/>
              <w:adjustRightInd/>
              <w:spacing w:line="360" w:lineRule="exact"/>
              <w:ind w:firstLine="422" w:firstLineChars="200"/>
              <w:textAlignment w:val="auto"/>
              <w:rPr>
                <w:rFonts w:hint="eastAsia" w:ascii="宋体" w:hAnsi="宋体" w:eastAsia="宋体" w:cs="宋体"/>
                <w:b/>
                <w:bCs/>
                <w:snapToGrid w:val="0"/>
                <w:color w:val="auto"/>
                <w:sz w:val="21"/>
                <w:szCs w:val="21"/>
                <w:highlight w:val="none"/>
                <w:u w:val="none"/>
              </w:rPr>
            </w:pPr>
            <w:r>
              <w:rPr>
                <w:rFonts w:hint="eastAsia" w:ascii="宋体" w:hAnsi="宋体" w:eastAsia="宋体" w:cs="宋体"/>
                <w:b/>
                <w:bCs/>
                <w:snapToGrid w:val="0"/>
                <w:color w:val="auto"/>
                <w:sz w:val="21"/>
                <w:szCs w:val="21"/>
                <w:highlight w:val="none"/>
                <w:u w:val="none"/>
              </w:rPr>
              <w:t>电话：0771-8600453</w:t>
            </w:r>
          </w:p>
          <w:p w14:paraId="4669E7EA">
            <w:pPr>
              <w:keepNext w:val="0"/>
              <w:keepLines w:val="0"/>
              <w:pageBreakBefore w:val="0"/>
              <w:kinsoku/>
              <w:wordWrap/>
              <w:overflowPunct/>
              <w:topLinePunct w:val="0"/>
              <w:autoSpaceDE/>
              <w:autoSpaceDN/>
              <w:bidi w:val="0"/>
              <w:adjustRightInd/>
              <w:spacing w:line="360" w:lineRule="exact"/>
              <w:ind w:firstLine="422" w:firstLineChars="200"/>
              <w:textAlignment w:val="auto"/>
              <w:rPr>
                <w:rFonts w:hint="eastAsia" w:ascii="宋体" w:hAnsi="宋体" w:eastAsia="宋体" w:cs="宋体"/>
                <w:b/>
                <w:bCs/>
                <w:snapToGrid w:val="0"/>
                <w:color w:val="auto"/>
                <w:sz w:val="21"/>
                <w:szCs w:val="21"/>
                <w:highlight w:val="none"/>
                <w:u w:val="none"/>
              </w:rPr>
            </w:pPr>
            <w:r>
              <w:rPr>
                <w:rFonts w:hint="eastAsia" w:ascii="宋体" w:hAnsi="宋体" w:eastAsia="宋体" w:cs="宋体"/>
                <w:b/>
                <w:bCs/>
                <w:snapToGrid w:val="0"/>
                <w:color w:val="auto"/>
                <w:sz w:val="21"/>
                <w:szCs w:val="21"/>
                <w:highlight w:val="none"/>
                <w:u w:val="none"/>
              </w:rPr>
              <w:t>地址：广西南宁市星湖路22号</w:t>
            </w:r>
          </w:p>
          <w:p w14:paraId="4331FC8F">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b/>
                <w:bCs/>
                <w:color w:val="auto"/>
                <w:sz w:val="21"/>
                <w:szCs w:val="21"/>
                <w:highlight w:val="none"/>
                <w:u w:val="none"/>
                <w:lang w:eastAsia="zh-CN"/>
              </w:rPr>
            </w:pPr>
            <w:r>
              <w:rPr>
                <w:rFonts w:hint="eastAsia" w:ascii="宋体" w:hAnsi="宋体" w:eastAsia="宋体" w:cs="宋体"/>
                <w:b/>
                <w:bCs/>
                <w:color w:val="auto"/>
                <w:sz w:val="21"/>
                <w:szCs w:val="21"/>
                <w:highlight w:val="none"/>
                <w:u w:val="none"/>
              </w:rPr>
              <w:t>（2）</w:t>
            </w:r>
            <w:r>
              <w:rPr>
                <w:rFonts w:hint="eastAsia" w:ascii="宋体" w:hAnsi="宋体" w:eastAsia="宋体" w:cs="宋体"/>
                <w:b/>
                <w:bCs/>
                <w:color w:val="auto"/>
                <w:sz w:val="21"/>
                <w:szCs w:val="21"/>
                <w:highlight w:val="none"/>
                <w:u w:val="none"/>
                <w:lang w:eastAsia="zh-CN"/>
              </w:rPr>
              <w:t>广西中医药大学</w:t>
            </w:r>
          </w:p>
          <w:p w14:paraId="3DC15337">
            <w:pPr>
              <w:keepNext w:val="0"/>
              <w:keepLines w:val="0"/>
              <w:pageBreakBefore w:val="0"/>
              <w:kinsoku/>
              <w:wordWrap/>
              <w:overflowPunct/>
              <w:topLinePunct w:val="0"/>
              <w:autoSpaceDE/>
              <w:autoSpaceDN/>
              <w:bidi w:val="0"/>
              <w:adjustRightInd/>
              <w:snapToGrid w:val="0"/>
              <w:spacing w:line="360" w:lineRule="exact"/>
              <w:ind w:firstLine="422" w:firstLineChars="200"/>
              <w:textAlignment w:val="auto"/>
              <w:rPr>
                <w:rFonts w:hint="eastAsia" w:ascii="宋体" w:hAnsi="宋体" w:eastAsia="宋体" w:cs="宋体"/>
                <w:b/>
                <w:bCs/>
                <w:color w:val="auto"/>
                <w:sz w:val="21"/>
                <w:szCs w:val="21"/>
                <w:highlight w:val="none"/>
                <w:u w:val="none"/>
              </w:rPr>
            </w:pPr>
            <w:r>
              <w:rPr>
                <w:rFonts w:hint="eastAsia" w:ascii="宋体" w:hAnsi="宋体"/>
                <w:b/>
                <w:bCs/>
                <w:snapToGrid w:val="0"/>
                <w:color w:val="auto"/>
                <w:highlight w:val="none"/>
              </w:rPr>
              <w:t>采购人联系电话</w:t>
            </w:r>
            <w:r>
              <w:rPr>
                <w:rFonts w:hint="eastAsia" w:ascii="宋体" w:hAnsi="宋体" w:eastAsia="宋体" w:cs="宋体"/>
                <w:b/>
                <w:bCs/>
                <w:color w:val="auto"/>
                <w:sz w:val="21"/>
                <w:szCs w:val="21"/>
                <w:highlight w:val="none"/>
                <w:u w:val="none"/>
              </w:rPr>
              <w:t>：秦燕</w:t>
            </w:r>
            <w:r>
              <w:rPr>
                <w:rFonts w:hint="eastAsia" w:ascii="宋体" w:hAnsi="宋体" w:eastAsia="宋体" w:cs="宋体"/>
                <w:b/>
                <w:bCs/>
                <w:color w:val="auto"/>
                <w:sz w:val="21"/>
                <w:szCs w:val="21"/>
                <w:highlight w:val="none"/>
                <w:u w:val="none"/>
                <w:lang w:val="en-US" w:eastAsia="zh-CN"/>
              </w:rPr>
              <w:t xml:space="preserve"> </w:t>
            </w:r>
            <w:r>
              <w:rPr>
                <w:rFonts w:hint="eastAsia" w:ascii="宋体" w:hAnsi="宋体" w:eastAsia="宋体" w:cs="宋体"/>
                <w:b/>
                <w:bCs/>
                <w:color w:val="auto"/>
                <w:sz w:val="21"/>
                <w:szCs w:val="21"/>
                <w:highlight w:val="none"/>
                <w:u w:val="none"/>
              </w:rPr>
              <w:t>0771-4733924</w:t>
            </w:r>
          </w:p>
          <w:p w14:paraId="7AD9A95D">
            <w:pPr>
              <w:keepNext w:val="0"/>
              <w:keepLines w:val="0"/>
              <w:pageBreakBefore w:val="0"/>
              <w:kinsoku/>
              <w:wordWrap/>
              <w:overflowPunct/>
              <w:topLinePunct w:val="0"/>
              <w:autoSpaceDE/>
              <w:autoSpaceDN/>
              <w:bidi w:val="0"/>
              <w:adjustRightInd/>
              <w:snapToGrid w:val="0"/>
              <w:spacing w:line="360" w:lineRule="exact"/>
              <w:ind w:firstLine="422" w:firstLineChars="200"/>
              <w:textAlignment w:val="auto"/>
              <w:rPr>
                <w:rFonts w:hint="eastAsia" w:ascii="宋体" w:hAnsi="宋体" w:eastAsia="宋体" w:cs="宋体"/>
                <w:b/>
                <w:bCs/>
                <w:color w:val="auto"/>
                <w:sz w:val="21"/>
                <w:szCs w:val="21"/>
                <w:highlight w:val="none"/>
                <w:u w:val="none"/>
              </w:rPr>
            </w:pPr>
            <w:r>
              <w:rPr>
                <w:rFonts w:hint="eastAsia" w:ascii="宋体" w:hAnsi="宋体"/>
                <w:b/>
                <w:bCs/>
                <w:snapToGrid w:val="0"/>
                <w:color w:val="auto"/>
                <w:highlight w:val="none"/>
              </w:rPr>
              <w:t>采购人地址</w:t>
            </w:r>
            <w:r>
              <w:rPr>
                <w:rFonts w:hint="eastAsia" w:ascii="宋体" w:hAnsi="宋体" w:eastAsia="宋体" w:cs="宋体"/>
                <w:b/>
                <w:bCs/>
                <w:color w:val="auto"/>
                <w:sz w:val="21"/>
                <w:szCs w:val="21"/>
                <w:highlight w:val="none"/>
                <w:u w:val="none"/>
              </w:rPr>
              <w:t>：广西南宁市五合大道13号</w:t>
            </w:r>
          </w:p>
          <w:p w14:paraId="766C53CF">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b w:val="0"/>
                <w:bCs w:val="0"/>
                <w:snapToGrid w:val="0"/>
                <w:color w:val="auto"/>
                <w:sz w:val="21"/>
                <w:szCs w:val="21"/>
                <w:highlight w:val="none"/>
                <w:u w:val="none"/>
              </w:rPr>
              <w:t>现场提交质疑办理业务时间：质疑期内每个工作日采购人或采购代理机构正常工作时间，其中采购代理机构为9：00到12：00，14：00到17：00</w:t>
            </w:r>
          </w:p>
        </w:tc>
      </w:tr>
      <w:tr w14:paraId="423009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14:paraId="048E8412">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22</w:t>
            </w:r>
          </w:p>
        </w:tc>
        <w:tc>
          <w:tcPr>
            <w:tcW w:w="9053" w:type="dxa"/>
            <w:tcBorders>
              <w:top w:val="single" w:color="auto" w:sz="4" w:space="0"/>
              <w:left w:val="single" w:color="auto" w:sz="4" w:space="0"/>
              <w:bottom w:val="single" w:color="auto" w:sz="4" w:space="0"/>
              <w:right w:val="single" w:color="auto" w:sz="4" w:space="0"/>
            </w:tcBorders>
            <w:vAlign w:val="center"/>
          </w:tcPr>
          <w:p w14:paraId="6CB8EEBE">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本招标文件解释权属广西壮族自治区政府采购中心。</w:t>
            </w:r>
          </w:p>
        </w:tc>
      </w:tr>
    </w:tbl>
    <w:p w14:paraId="212D7386">
      <w:pPr>
        <w:spacing w:line="360" w:lineRule="exact"/>
        <w:jc w:val="center"/>
        <w:rPr>
          <w:rFonts w:hint="eastAsia" w:ascii="宋体" w:hAnsi="宋体" w:eastAsia="宋体" w:cs="宋体"/>
          <w:b/>
          <w:color w:val="auto"/>
          <w:sz w:val="32"/>
          <w:szCs w:val="32"/>
          <w:highlight w:val="none"/>
        </w:rPr>
      </w:pPr>
    </w:p>
    <w:p w14:paraId="6DED6A21">
      <w:pPr>
        <w:pStyle w:val="14"/>
        <w:snapToGrid w:val="0"/>
        <w:spacing w:before="120" w:after="120" w:line="360" w:lineRule="exact"/>
        <w:jc w:val="center"/>
        <w:rPr>
          <w:rFonts w:hint="eastAsia" w:ascii="宋体" w:hAnsi="宋体" w:eastAsia="宋体" w:cs="宋体"/>
          <w:b/>
          <w:color w:val="auto"/>
          <w:sz w:val="32"/>
          <w:szCs w:val="32"/>
          <w:highlight w:val="none"/>
        </w:rPr>
      </w:pPr>
    </w:p>
    <w:p w14:paraId="724A891F">
      <w:pPr>
        <w:pStyle w:val="14"/>
        <w:keepNext w:val="0"/>
        <w:keepLines w:val="0"/>
        <w:pageBreakBefore w:val="0"/>
        <w:widowControl w:val="0"/>
        <w:kinsoku/>
        <w:wordWrap/>
        <w:overflowPunct/>
        <w:topLinePunct w:val="0"/>
        <w:autoSpaceDE/>
        <w:autoSpaceDN/>
        <w:bidi w:val="0"/>
        <w:adjustRightInd/>
        <w:snapToGrid w:val="0"/>
        <w:spacing w:before="120" w:after="120" w:line="500" w:lineRule="exact"/>
        <w:jc w:val="center"/>
        <w:textAlignment w:val="auto"/>
        <w:rPr>
          <w:rFonts w:hint="eastAsia" w:ascii="宋体" w:hAnsi="宋体" w:eastAsia="宋体" w:cs="宋体"/>
          <w:b/>
          <w:color w:val="auto"/>
          <w:sz w:val="48"/>
          <w:szCs w:val="48"/>
          <w:highlight w:val="none"/>
        </w:rPr>
      </w:pPr>
      <w:r>
        <w:rPr>
          <w:rFonts w:hint="eastAsia" w:ascii="宋体" w:hAnsi="宋体" w:eastAsia="宋体" w:cs="宋体"/>
          <w:b/>
          <w:color w:val="auto"/>
          <w:sz w:val="32"/>
          <w:szCs w:val="32"/>
          <w:highlight w:val="none"/>
        </w:rPr>
        <w:br w:type="page"/>
      </w:r>
      <w:r>
        <w:rPr>
          <w:rFonts w:hint="eastAsia" w:ascii="宋体" w:hAnsi="宋体" w:eastAsia="宋体" w:cs="宋体"/>
          <w:b/>
          <w:color w:val="auto"/>
          <w:sz w:val="36"/>
          <w:szCs w:val="36"/>
          <w:highlight w:val="none"/>
        </w:rPr>
        <w:t>投标人须知</w:t>
      </w:r>
    </w:p>
    <w:p w14:paraId="75DB0791">
      <w:pPr>
        <w:pStyle w:val="6"/>
        <w:rPr>
          <w:rFonts w:hint="eastAsia"/>
          <w:color w:val="auto"/>
          <w:highlight w:val="none"/>
        </w:rPr>
      </w:pPr>
    </w:p>
    <w:p w14:paraId="71D144FF">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一、总  则</w:t>
      </w:r>
    </w:p>
    <w:p w14:paraId="108516EA">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 适用范围</w:t>
      </w:r>
    </w:p>
    <w:p w14:paraId="1DAB9D8E">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本招标文件适用本项目的招标、投标、评标、定标、验收、合同履约、付款等行为（法律、法规另有规定的，从其规定）。</w:t>
      </w:r>
    </w:p>
    <w:p w14:paraId="6062A24E">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（二）定义</w:t>
      </w:r>
    </w:p>
    <w:p w14:paraId="4B57E38A">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1.“采购人”系指组织本次招标的采购单位。</w:t>
      </w:r>
    </w:p>
    <w:p w14:paraId="00F7ECA1">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2.“采购代理机构”系指广西壮族自治区政府采购中心（以下简称“本中心”）。</w:t>
      </w:r>
    </w:p>
    <w:p w14:paraId="2BD90139">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3.“投标人”系指响应招标、参加投标竞争的法人、其他组织或者自然人。</w:t>
      </w:r>
    </w:p>
    <w:p w14:paraId="3EE4B5E5">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4.“产品”系指供方按招标文件规定，须向采购人提供的一切设备、保险、税金、备品备件、工具、手册及其它有关技术资料和材料。</w:t>
      </w:r>
    </w:p>
    <w:p w14:paraId="5B3B697C">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5.“服务”系指招标文件规定投标人须承担的安装、调试、技术协助、校准、培训、技术指导以及其他类似的义务。</w:t>
      </w:r>
    </w:p>
    <w:p w14:paraId="3B66725B">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6.“项目”系指投标人按招标文件规定向采购人提供的产品和服务。</w:t>
      </w:r>
    </w:p>
    <w:p w14:paraId="395A864C">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7.“书面形式”包括信函、传真、电报等。</w:t>
      </w:r>
    </w:p>
    <w:p w14:paraId="11EC1D28">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8.“▲”系指在投标人须知中的实质性要求条款。</w:t>
      </w:r>
    </w:p>
    <w:p w14:paraId="5445CB07">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outlineLvl w:val="1"/>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（三）招标方式</w:t>
      </w:r>
    </w:p>
    <w:p w14:paraId="625F834A">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公开招标方式。</w:t>
      </w:r>
    </w:p>
    <w:p w14:paraId="5514EA94">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（四）投标委托</w:t>
      </w:r>
    </w:p>
    <w:p w14:paraId="62BC2F2A">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如投标人代表不是法定代表人(负责人)，须有法定代表人(负责人)出具的授权委托书，格式见第六章《投标文件格式》。</w:t>
      </w:r>
    </w:p>
    <w:p w14:paraId="410A5418">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（五）投标费用</w:t>
      </w:r>
    </w:p>
    <w:p w14:paraId="4873CC5F">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投标人均应自行承担所有与投标有关的全部费用（招标文件有相关的规定除外）。</w:t>
      </w:r>
    </w:p>
    <w:p w14:paraId="4696BBD7">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（六）本项目不接受联合体投标</w:t>
      </w:r>
    </w:p>
    <w:p w14:paraId="73D1F907">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outlineLvl w:val="0"/>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（七）</w:t>
      </w:r>
      <w:r>
        <w:rPr>
          <w:rFonts w:hint="eastAsia" w:ascii="宋体" w:hAnsi="宋体" w:eastAsia="宋体" w:cs="宋体"/>
          <w:b/>
          <w:color w:val="auto"/>
          <w:kern w:val="0"/>
          <w:sz w:val="21"/>
          <w:szCs w:val="21"/>
          <w:highlight w:val="none"/>
        </w:rPr>
        <w:t>转包与分包</w:t>
      </w:r>
    </w:p>
    <w:p w14:paraId="6A65E6B1">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1.本项目不允许转包。</w:t>
      </w:r>
    </w:p>
    <w:p w14:paraId="71C8BD13">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2.本项目不可以分包。</w:t>
      </w:r>
    </w:p>
    <w:p w14:paraId="2B87D3E7">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（八）特别说明：</w:t>
      </w:r>
    </w:p>
    <w:p w14:paraId="7D0E8531">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▲1.单位负责人为同一人或者存在直接控股、管理关系的不同供应商，不得参加同一合同项下的政府采购活动。</w:t>
      </w:r>
    </w:p>
    <w:p w14:paraId="30A35331">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评标方法及评分标准》中的推荐原则确定一个投标人获得中标人推荐资格，其他同品牌投标人不作为中标候选人。</w:t>
      </w:r>
    </w:p>
    <w:p w14:paraId="6EB1DBE4">
      <w:pPr>
        <w:keepNext w:val="0"/>
        <w:keepLines w:val="0"/>
        <w:pageBreakBefore w:val="0"/>
        <w:widowControl w:val="0"/>
        <w:kinsoku w:val="0"/>
        <w:wordWrap/>
        <w:overflowPunct w:val="0"/>
        <w:topLinePunct w:val="0"/>
        <w:autoSpaceDE w:val="0"/>
        <w:autoSpaceDN w:val="0"/>
        <w:bidi w:val="0"/>
        <w:snapToGrid w:val="0"/>
        <w:spacing w:line="400" w:lineRule="exact"/>
        <w:ind w:leftChars="0"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非单一产品采购项目中，多家投标人提供的招标文件中载明的核心产品品牌相同的，视为提供相同品牌产品。</w:t>
      </w:r>
    </w:p>
    <w:p w14:paraId="32B5B704">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▲3.投标人应仔细阅读招标文件的所有内容，按照招标文件的要求提交投标文件，并对所提供的全部资料的真实性承担法律责任。</w:t>
      </w:r>
    </w:p>
    <w:p w14:paraId="0144C809">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▲4.投标人在投标活动中提供任何虚假材料、互相串通投标，其投标无效，并报监管部门查处。</w:t>
      </w:r>
    </w:p>
    <w:p w14:paraId="6BD7E9F0">
      <w:pPr>
        <w:pStyle w:val="14"/>
        <w:keepNext w:val="0"/>
        <w:keepLines w:val="0"/>
        <w:pageBreakBefore w:val="0"/>
        <w:widowControl w:val="0"/>
        <w:kinsoku w:val="0"/>
        <w:wordWrap/>
        <w:overflowPunct w:val="0"/>
        <w:topLinePunct w:val="0"/>
        <w:autoSpaceDE w:val="0"/>
        <w:autoSpaceDN w:val="0"/>
        <w:bidi w:val="0"/>
        <w:snapToGrid w:val="0"/>
        <w:spacing w:line="400" w:lineRule="exact"/>
        <w:ind w:left="2"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▲5.投标截止时间前三天，报名登记的供应商不足三家的，本中心将延迟截标和开标时间不少于十日，并书面通知已报名登记的供应商，并在财政部门指定的政府采购信息发布媒体及本中心网站上发布变更公告。</w:t>
      </w:r>
    </w:p>
    <w:p w14:paraId="731E0259">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中小企业价格评审优惠：根据《政府采购促进中小企业发展管理办法》（财库〔2020〕46号）的规定，对符合条件的小型、微型企业（以下简称“中小企业”）的报价给予价格扣除优惠，扣除比例详见评标方法及评分标准。投标人如申请享受此项价格扣除，必须按本文件“投标文件格式”要求，填写并提交《中小企业声明函》。未提交或提交不符合要求的，不享受扣除，按其原报价计算价格分。</w:t>
      </w:r>
    </w:p>
    <w:p w14:paraId="4CF8F23F">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本国产品价格扣除：根据《国务院办公厅关于在政府采购中实施本国产品标准及相关政策的通知》（国办发〔2025〕34号），在政府采购活动中既有本国产品又有非本国产品参与竞争的情况下，依法对本国产品给予价格评审优惠。 本项目对本国产品给予价格扣除，扣除比例详见评标方法及评分标准。投标人如申请享受此项价格扣除，必须按本文件“投标文件格式”要求，填写并提交《关于符合本国产品标准的声明函》。未提交或提交不符合要求的，不享受扣除，按其原报价计算价格分。</w:t>
      </w:r>
    </w:p>
    <w:p w14:paraId="746CB6E2">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异常低价投标的风险警示：为维护公平竞争和项目质量，评标委员会将对疑似异常低价的投标进行认定。若投标人的报价被认定为异常低价且无法在合理期限内证明其报价合理性的，其投标将被视为无效投标。具体认定标准和处理程序，详见“评标程序”及“评标方法及评分标准”。</w:t>
      </w:r>
    </w:p>
    <w:p w14:paraId="2DF0DDC9">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（九）</w:t>
      </w:r>
      <w:r>
        <w:rPr>
          <w:rFonts w:hint="eastAsia" w:ascii="宋体" w:hAnsi="宋体" w:eastAsia="宋体" w:cs="宋体"/>
          <w:b/>
          <w:color w:val="auto"/>
          <w:sz w:val="21"/>
          <w:szCs w:val="21"/>
          <w:highlight w:val="none"/>
        </w:rPr>
        <w:t>询问、质疑和投诉</w:t>
      </w:r>
    </w:p>
    <w:p w14:paraId="48DF0323">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投标人对政府采购活动事项有疑问的，可以向采购人、采购代理机构提出询问。</w:t>
      </w:r>
    </w:p>
    <w:p w14:paraId="5C66F046">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2.投标人认为招标文件、招标过程或中标结果使自己的合法权益受到损害的，应当在知道或者应知其权益受到损害之日起七个工作日内，以书面形式向采购人提出质疑。具体计算时间如下：</w:t>
      </w:r>
    </w:p>
    <w:p w14:paraId="3BC13DB1">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（一）对可以质疑的招标采购文件提出质疑的，为收到采购文件之日；</w:t>
      </w:r>
    </w:p>
    <w:p w14:paraId="009C1A44">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（二）对招标采购过程提出质疑的，为各采购程序环节结束之日；</w:t>
      </w:r>
    </w:p>
    <w:p w14:paraId="7705D5AE">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（三）对中标结果提出质疑的，为中标结果公告期限届满之日。投标人对采购单位的质疑答复不满意或者采购人未在规定时间内作出答复的，可以在答复期满后十五个工作日内向同级采购监管部门投诉。</w:t>
      </w:r>
    </w:p>
    <w:p w14:paraId="611CC0EB">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质疑、投诉应当采用书面形式，质疑书、投诉书均应明确阐述招标采购文件、招标采购过程、中标结果中使自己合法权益受到损害的实质性内容，提供相关事实、明确的请求、必要的证明材料，便于有关单位调查、答复和处理。</w:t>
      </w:r>
    </w:p>
    <w:p w14:paraId="26536B83">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4.采购人、采购代理机构接收质疑函的方式、联系部门、联系电话和地址等信息详见“投标人须知前附表”。</w:t>
      </w:r>
    </w:p>
    <w:p w14:paraId="2B112A7A">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rPr>
        <w:t>5.质</w:t>
      </w:r>
      <w:r>
        <w:rPr>
          <w:rFonts w:hint="eastAsia" w:ascii="宋体" w:hAnsi="宋体" w:eastAsia="宋体" w:cs="宋体"/>
          <w:color w:val="auto"/>
          <w:sz w:val="21"/>
          <w:szCs w:val="21"/>
          <w:highlight w:val="none"/>
        </w:rPr>
        <w:t>疑供应商提起质疑应当符合下列条件：</w:t>
      </w:r>
    </w:p>
    <w:p w14:paraId="7B120BED">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（1）质疑供应商是参与所质疑项目采购活动的供应商（潜在供应商已依法获取可之一的采购文件的，可以对该采购文件质疑）；</w:t>
      </w:r>
    </w:p>
    <w:p w14:paraId="681D0CA4">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（2）质疑函内容符合本章第3项的规定；</w:t>
      </w:r>
    </w:p>
    <w:p w14:paraId="291FC287">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（3）在质疑有效期限内提起质疑；</w:t>
      </w:r>
    </w:p>
    <w:p w14:paraId="5BF5A077">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（4）属于所质疑的采购人或采购人委托的采购代理机构组织的采购活动；</w:t>
      </w:r>
    </w:p>
    <w:p w14:paraId="5C4CA31A">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（5）同一质疑事项未经采购人或采购人委托的采购代理机构质疑处理； </w:t>
      </w:r>
    </w:p>
    <w:p w14:paraId="7EBD6136">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（6）供应商对同一采购程序环节的质疑应当在质疑有效期内一次性提出；</w:t>
      </w:r>
    </w:p>
    <w:p w14:paraId="06CABDBE">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（7）供应商提交质疑应当提交必要的证明材料，证明材料应以合法手段取得；</w:t>
      </w:r>
    </w:p>
    <w:p w14:paraId="6CF01FA6">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（8）财政部门规定的其他条件。</w:t>
      </w:r>
    </w:p>
    <w:p w14:paraId="4C40B0A1">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二、招标文件</w:t>
      </w:r>
    </w:p>
    <w:p w14:paraId="7B462EBC">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（一）招标文件的构成。</w:t>
      </w:r>
    </w:p>
    <w:p w14:paraId="4F9CFD7B">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1.公开招标公告；</w:t>
      </w:r>
    </w:p>
    <w:p w14:paraId="441B7DE1">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2.招标项目采购需求</w:t>
      </w:r>
    </w:p>
    <w:p w14:paraId="280533DF">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3.投标人须知；</w:t>
      </w:r>
    </w:p>
    <w:p w14:paraId="6B624E5F">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4.评标方法及评分标准；</w:t>
      </w:r>
    </w:p>
    <w:p w14:paraId="6559B633">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5.政府采购合同主要条款；</w:t>
      </w:r>
    </w:p>
    <w:p w14:paraId="7B752DB4">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6.投标文件格式。</w:t>
      </w:r>
    </w:p>
    <w:p w14:paraId="50AD40E4">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（二）投标人的风险</w:t>
      </w:r>
    </w:p>
    <w:p w14:paraId="7301776B">
      <w:pPr>
        <w:keepNext w:val="0"/>
        <w:keepLines w:val="0"/>
        <w:pageBreakBefore w:val="0"/>
        <w:widowControl w:val="0"/>
        <w:tabs>
          <w:tab w:val="left" w:pos="180"/>
          <w:tab w:val="left" w:pos="1620"/>
        </w:tabs>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应认真阅读招标文件，按照招标文件的要求编制投标文件。投标文件应对招标文件提出的要求和条件作出明确响应。投标人没有按照招标文件要求提供全部资料，或者投标人没有对招标文件在各方面作出明确响应是投标人的风险，并可能导致其投标被拒绝。</w:t>
      </w:r>
      <w:r>
        <w:rPr>
          <w:rFonts w:hint="eastAsia" w:ascii="宋体" w:hAnsi="宋体" w:eastAsia="宋体" w:cs="宋体"/>
          <w:color w:val="auto"/>
          <w:sz w:val="21"/>
          <w:szCs w:val="21"/>
          <w:highlight w:val="none"/>
        </w:rPr>
        <w:cr/>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2.对招标文件提出的实质性要求和条件作出明确响应是指投标人必须对招标文件中涉及招标项目的价格、采购货物的主要技术参数和性能配置、数量、交货（或竣工）时间、售后服务及其它要求、合同主要条款等内容作出明确响应。 </w:t>
      </w:r>
    </w:p>
    <w:p w14:paraId="2C4D1BA9">
      <w:pPr>
        <w:pStyle w:val="7"/>
        <w:keepNext w:val="0"/>
        <w:keepLines w:val="0"/>
        <w:pageBreakBefore w:val="0"/>
        <w:widowControl w:val="0"/>
        <w:numPr>
          <w:ilvl w:val="0"/>
          <w:numId w:val="0"/>
        </w:numPr>
        <w:tabs>
          <w:tab w:val="left" w:pos="720"/>
          <w:tab w:val="left" w:pos="840"/>
          <w:tab w:val="clear" w:pos="360"/>
        </w:tabs>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3.采购货物的主要技术参数和性能配置由评标委员会在评标前评定，但不能改变实质性内容。</w:t>
      </w:r>
    </w:p>
    <w:p w14:paraId="5B85F893">
      <w:pPr>
        <w:pStyle w:val="7"/>
        <w:keepNext w:val="0"/>
        <w:keepLines w:val="0"/>
        <w:pageBreakBefore w:val="0"/>
        <w:widowControl w:val="0"/>
        <w:numPr>
          <w:ilvl w:val="0"/>
          <w:numId w:val="0"/>
        </w:numPr>
        <w:tabs>
          <w:tab w:val="left" w:pos="720"/>
          <w:tab w:val="left" w:pos="840"/>
          <w:tab w:val="clear" w:pos="360"/>
        </w:tabs>
        <w:kinsoku w:val="0"/>
        <w:wordWrap/>
        <w:overflowPunct w:val="0"/>
        <w:topLinePunct w:val="0"/>
        <w:autoSpaceDE w:val="0"/>
        <w:autoSpaceDN w:val="0"/>
        <w:bidi w:val="0"/>
        <w:snapToGrid w:val="0"/>
        <w:spacing w:line="400" w:lineRule="exact"/>
        <w:ind w:leftChars="0" w:firstLine="422" w:firstLineChars="20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（三）招标文件的澄清与修改 </w:t>
      </w:r>
    </w:p>
    <w:p w14:paraId="6388F5B9">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rPr>
        <w:t>1.</w:t>
      </w:r>
      <w:r>
        <w:rPr>
          <w:rFonts w:hint="eastAsia" w:ascii="宋体" w:hAnsi="宋体" w:eastAsia="宋体" w:cs="宋体"/>
          <w:bCs/>
          <w:color w:val="auto"/>
          <w:sz w:val="21"/>
          <w:szCs w:val="21"/>
          <w:highlight w:val="none"/>
        </w:rPr>
        <w:t>投标人应认真阅</w:t>
      </w:r>
      <w:r>
        <w:rPr>
          <w:rFonts w:hint="eastAsia" w:ascii="宋体" w:hAnsi="宋体" w:eastAsia="宋体" w:cs="宋体"/>
          <w:bCs/>
          <w:color w:val="auto"/>
          <w:sz w:val="21"/>
          <w:szCs w:val="21"/>
          <w:highlight w:val="none"/>
          <w:u w:val="none"/>
        </w:rPr>
        <w:t>读本招标文件，发现其中有误或有不合理要求的，投</w:t>
      </w:r>
      <w:r>
        <w:rPr>
          <w:rFonts w:hint="eastAsia" w:ascii="宋体" w:hAnsi="宋体" w:eastAsia="宋体" w:cs="宋体"/>
          <w:b w:val="0"/>
          <w:bCs/>
          <w:color w:val="auto"/>
          <w:sz w:val="21"/>
          <w:szCs w:val="21"/>
          <w:highlight w:val="none"/>
          <w:u w:val="none"/>
        </w:rPr>
        <w:t>标人应当在“采购文件：第三章 《投标人须知及前附表》序号6”规定的时间前以书面形式要求招标采购单位答疑、澄清。本中心对已发出的招标文件进行必要澄清或者修改可能影响投标文件编制的，应当在招标文件要求提交投标文件截止时间15日前，在财政部门指定的政府采购信息发布媒体</w:t>
      </w:r>
      <w:r>
        <w:rPr>
          <w:rFonts w:hint="eastAsia" w:ascii="宋体" w:hAnsi="宋体" w:eastAsia="宋体" w:cs="宋体"/>
          <w:bCs/>
          <w:color w:val="auto"/>
          <w:sz w:val="21"/>
          <w:szCs w:val="21"/>
          <w:highlight w:val="none"/>
          <w:u w:val="none"/>
        </w:rPr>
        <w:t>及本中心网站上发布更正公告，并以书面形式通知所有招标文件收受人。该澄清或者修改的内容为招标文件的组成部分</w:t>
      </w:r>
      <w:r>
        <w:rPr>
          <w:rFonts w:hint="eastAsia" w:ascii="宋体" w:hAnsi="宋体" w:eastAsia="宋体" w:cs="宋体"/>
          <w:color w:val="auto"/>
          <w:sz w:val="21"/>
          <w:szCs w:val="21"/>
          <w:highlight w:val="none"/>
          <w:u w:val="none"/>
        </w:rPr>
        <w:t>。</w:t>
      </w:r>
    </w:p>
    <w:p w14:paraId="255A261A">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2.本中心必须以书面形式答复投标人要求澄清的问题，并将不包含问题来源的答复书面通知所有报名登记的投标人；除书面答复以外的其他澄清方式及澄清内容均无效。</w:t>
      </w:r>
    </w:p>
    <w:p w14:paraId="5A58A711">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3.招标文件的答疑、澄清、修改、补充的内容为招标文件的组成部分。当招标文件与招标文件的答疑、澄清、修改、补充通知就同一内容的表述不一致时，以最后发出的书面文件为准。</w:t>
      </w:r>
    </w:p>
    <w:p w14:paraId="519FD151">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4.招标文件的答疑、澄清、修改、补充都应该通过本中心以法定形式发布，采购人非通过本机构，不得擅自答疑、澄清、修改、补充招标文件。</w:t>
      </w:r>
    </w:p>
    <w:p w14:paraId="5FC38EBF">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5.本中心可以视采购具体情况，延长招标文件或者资格预审文件提供期限，并在财政部门指定的政府采购信息发布媒体及本中心网站上发布公告。</w:t>
      </w:r>
    </w:p>
    <w:p w14:paraId="2217D3AB">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outlineLvl w:val="1"/>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三、投标文件的编制</w:t>
      </w:r>
    </w:p>
    <w:p w14:paraId="3553B5AA">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outlineLvl w:val="0"/>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（一）投标文件的组成</w:t>
      </w:r>
    </w:p>
    <w:p w14:paraId="7294FC24">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投标文件由资格文件、资信及商务文件、技术文件、投标报价文件</w:t>
      </w:r>
      <w:r>
        <w:rPr>
          <w:rFonts w:hint="eastAsia" w:ascii="宋体" w:hAnsi="宋体" w:eastAsia="宋体" w:cs="宋体"/>
          <w:b/>
          <w:color w:val="auto"/>
          <w:sz w:val="21"/>
          <w:szCs w:val="21"/>
          <w:highlight w:val="none"/>
          <w:u w:val="none"/>
        </w:rPr>
        <w:t>四部份</w:t>
      </w:r>
      <w:r>
        <w:rPr>
          <w:rFonts w:hint="eastAsia" w:ascii="宋体" w:hAnsi="宋体" w:eastAsia="宋体" w:cs="宋体"/>
          <w:color w:val="auto"/>
          <w:sz w:val="21"/>
          <w:szCs w:val="21"/>
          <w:highlight w:val="none"/>
          <w:u w:val="none"/>
        </w:rPr>
        <w:t>组成。</w:t>
      </w:r>
    </w:p>
    <w:p w14:paraId="355F9F1A">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1.资格文件：</w:t>
      </w:r>
    </w:p>
    <w:p w14:paraId="241EEC72">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val="0"/>
          <w:bCs/>
          <w:color w:val="auto"/>
          <w:sz w:val="21"/>
          <w:szCs w:val="21"/>
          <w:highlight w:val="none"/>
          <w:u w:val="none"/>
        </w:rPr>
        <w:t>（1）有</w:t>
      </w:r>
      <w:r>
        <w:rPr>
          <w:rFonts w:hint="eastAsia" w:ascii="宋体" w:hAnsi="宋体" w:eastAsia="宋体" w:cs="宋体"/>
          <w:color w:val="auto"/>
          <w:sz w:val="21"/>
          <w:szCs w:val="21"/>
          <w:highlight w:val="none"/>
          <w:u w:val="none"/>
        </w:rPr>
        <w:t>效的营业执照等证明文件复印件；</w:t>
      </w:r>
    </w:p>
    <w:p w14:paraId="0A619541">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2" w:firstLineChars="200"/>
        <w:textAlignment w:val="auto"/>
        <w:rPr>
          <w:rFonts w:hint="eastAsia" w:ascii="宋体" w:hAnsi="宋体" w:eastAsia="宋体" w:cs="宋体"/>
          <w:b/>
          <w:color w:val="auto"/>
          <w:sz w:val="21"/>
          <w:szCs w:val="21"/>
          <w:highlight w:val="none"/>
          <w:u w:val="none"/>
        </w:rPr>
      </w:pPr>
      <w:r>
        <w:rPr>
          <w:rFonts w:hint="eastAsia" w:ascii="宋体" w:hAnsi="宋体" w:eastAsia="宋体" w:cs="宋体"/>
          <w:b/>
          <w:bCs/>
          <w:color w:val="auto"/>
          <w:sz w:val="21"/>
          <w:szCs w:val="21"/>
          <w:highlight w:val="none"/>
          <w:u w:val="none"/>
        </w:rPr>
        <w:t>①投标人有效的营业执照等证明文件扫描件或其他电子文件，同时要加盖单位公章</w:t>
      </w:r>
      <w:r>
        <w:rPr>
          <w:rFonts w:hint="eastAsia" w:ascii="宋体" w:hAnsi="宋体" w:eastAsia="宋体" w:cs="宋体"/>
          <w:b/>
          <w:color w:val="auto"/>
          <w:sz w:val="21"/>
          <w:szCs w:val="21"/>
          <w:highlight w:val="none"/>
          <w:u w:val="none"/>
        </w:rPr>
        <w:t>（必须提供）</w:t>
      </w:r>
      <w:r>
        <w:rPr>
          <w:rFonts w:hint="eastAsia" w:ascii="宋体" w:hAnsi="宋体" w:eastAsia="宋体" w:cs="宋体"/>
          <w:color w:val="auto"/>
          <w:sz w:val="21"/>
          <w:szCs w:val="21"/>
          <w:highlight w:val="none"/>
          <w:u w:val="none"/>
        </w:rPr>
        <w:t>；</w:t>
      </w:r>
    </w:p>
    <w:p w14:paraId="1D3AA0C6">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②对于有经营资质要求的，投标人必须提供有效的经营资质证书副本内页扫描件或其他电子文件，同时要加盖单位公章。</w:t>
      </w:r>
    </w:p>
    <w:p w14:paraId="736F2175">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b w:val="0"/>
          <w:bCs/>
          <w:color w:val="auto"/>
          <w:sz w:val="21"/>
          <w:szCs w:val="21"/>
          <w:highlight w:val="none"/>
          <w:u w:val="none"/>
        </w:rPr>
      </w:pPr>
      <w:r>
        <w:rPr>
          <w:rFonts w:hint="eastAsia" w:ascii="宋体" w:hAnsi="宋体" w:eastAsia="宋体" w:cs="宋体"/>
          <w:b/>
          <w:bCs w:val="0"/>
          <w:color w:val="auto"/>
          <w:sz w:val="21"/>
          <w:szCs w:val="21"/>
          <w:highlight w:val="none"/>
          <w:u w:val="none"/>
        </w:rPr>
        <w:t>（2）</w:t>
      </w:r>
      <w:r>
        <w:rPr>
          <w:rFonts w:hint="eastAsia" w:ascii="宋体" w:hAnsi="宋体" w:eastAsia="宋体" w:cs="宋体"/>
          <w:b/>
          <w:bCs w:val="0"/>
          <w:color w:val="auto"/>
          <w:kern w:val="0"/>
          <w:sz w:val="21"/>
          <w:szCs w:val="21"/>
          <w:highlight w:val="none"/>
          <w:u w:val="none"/>
        </w:rPr>
        <w:t>参加政府采购活动前三年内在经营活动中没有重大违法记录的书面声明</w:t>
      </w:r>
      <w:r>
        <w:rPr>
          <w:rFonts w:hint="eastAsia" w:ascii="宋体" w:hAnsi="宋体" w:eastAsia="宋体" w:cs="宋体"/>
          <w:b w:val="0"/>
          <w:bCs/>
          <w:color w:val="auto"/>
          <w:sz w:val="21"/>
          <w:szCs w:val="21"/>
          <w:highlight w:val="none"/>
          <w:u w:val="none"/>
        </w:rPr>
        <w:t>和信用记录查询方法；</w:t>
      </w:r>
    </w:p>
    <w:p w14:paraId="56B553A4">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bCs/>
          <w:color w:val="auto"/>
          <w:sz w:val="21"/>
          <w:szCs w:val="21"/>
          <w:highlight w:val="none"/>
          <w:u w:val="none"/>
        </w:rPr>
        <w:t>①</w:t>
      </w:r>
      <w:r>
        <w:rPr>
          <w:rFonts w:hint="eastAsia" w:ascii="宋体" w:hAnsi="宋体" w:eastAsia="宋体" w:cs="宋体"/>
          <w:b/>
          <w:bCs/>
          <w:color w:val="auto"/>
          <w:kern w:val="0"/>
          <w:sz w:val="21"/>
          <w:szCs w:val="21"/>
          <w:highlight w:val="none"/>
          <w:u w:val="none"/>
        </w:rPr>
        <w:t>参加政府采购活动前三年内在经营活动中没有重大违法记录的书面声明</w:t>
      </w:r>
      <w:r>
        <w:rPr>
          <w:rFonts w:hint="eastAsia" w:ascii="宋体" w:hAnsi="宋体" w:eastAsia="宋体" w:cs="宋体"/>
          <w:color w:val="auto"/>
          <w:sz w:val="21"/>
          <w:szCs w:val="21"/>
          <w:highlight w:val="none"/>
          <w:u w:val="none"/>
        </w:rPr>
        <w:t>（格式自拟，</w:t>
      </w:r>
      <w:r>
        <w:rPr>
          <w:rFonts w:hint="eastAsia" w:ascii="宋体" w:hAnsi="宋体" w:eastAsia="宋体" w:cs="宋体"/>
          <w:b/>
          <w:bCs/>
          <w:color w:val="auto"/>
          <w:sz w:val="21"/>
          <w:szCs w:val="21"/>
          <w:highlight w:val="none"/>
          <w:u w:val="none"/>
        </w:rPr>
        <w:t>必须提供</w:t>
      </w:r>
      <w:r>
        <w:rPr>
          <w:rFonts w:hint="eastAsia" w:ascii="宋体" w:hAnsi="宋体" w:eastAsia="宋体" w:cs="宋体"/>
          <w:color w:val="auto"/>
          <w:sz w:val="21"/>
          <w:szCs w:val="21"/>
          <w:highlight w:val="none"/>
          <w:u w:val="none"/>
        </w:rPr>
        <w:t>）；</w:t>
      </w:r>
    </w:p>
    <w:p w14:paraId="56C76BE2">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②供应商可在“信用中国”网站（www.creditchina.gov.cn）、中国政府采购网（www.ccgp.gov.cn）查询相关供应商主体信用记录。</w:t>
      </w:r>
    </w:p>
    <w:p w14:paraId="0E546AA3">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“信用中国”网站查询方法：投标人在本项目投标截止时间前10日内,进入投标人基本信息页面，点击“下载信用报告”后点击“下载”。</w:t>
      </w:r>
    </w:p>
    <w:p w14:paraId="61E57DCA">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“中国政府采购网”的查询方法：点击“政府采购严重违法失信行为记录名单”进行查询。截止时间为本项目投标截止时间前10日至投标截止时间中任意一天。</w:t>
      </w:r>
    </w:p>
    <w:p w14:paraId="263CD51C">
      <w:pPr>
        <w:keepNext w:val="0"/>
        <w:keepLines w:val="0"/>
        <w:pageBreakBefore w:val="0"/>
        <w:widowControl w:val="0"/>
        <w:kinsoku w:val="0"/>
        <w:wordWrap/>
        <w:overflowPunct w:val="0"/>
        <w:topLinePunct w:val="0"/>
        <w:autoSpaceDE w:val="0"/>
        <w:autoSpaceDN w:val="0"/>
        <w:bidi w:val="0"/>
        <w:snapToGrid w:val="0"/>
        <w:spacing w:line="400" w:lineRule="exact"/>
        <w:ind w:leftChars="0" w:firstLine="0" w:firstLineChars="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14:paraId="28B9C007">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2.资信及商务文件：</w:t>
      </w:r>
    </w:p>
    <w:p w14:paraId="36F26BC8">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color w:val="auto"/>
          <w:sz w:val="21"/>
          <w:szCs w:val="21"/>
          <w:highlight w:val="none"/>
          <w:u w:val="none"/>
        </w:rPr>
        <w:t>（1）投标保证金的相关证明扫描件或其他电子文件（必须提供）</w:t>
      </w:r>
      <w:r>
        <w:rPr>
          <w:rFonts w:hint="eastAsia" w:ascii="宋体" w:hAnsi="宋体" w:eastAsia="宋体" w:cs="宋体"/>
          <w:color w:val="auto"/>
          <w:sz w:val="21"/>
          <w:szCs w:val="21"/>
          <w:highlight w:val="none"/>
          <w:u w:val="none"/>
        </w:rPr>
        <w:t>；</w:t>
      </w:r>
    </w:p>
    <w:p w14:paraId="3F2B6CDE">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color w:val="auto"/>
          <w:sz w:val="21"/>
          <w:szCs w:val="21"/>
          <w:highlight w:val="none"/>
          <w:u w:val="none"/>
        </w:rPr>
        <w:t>（2）投标声明书 (格式见第六章)（必须提供）</w:t>
      </w:r>
      <w:r>
        <w:rPr>
          <w:rFonts w:hint="eastAsia" w:ascii="宋体" w:hAnsi="宋体" w:eastAsia="宋体" w:cs="宋体"/>
          <w:color w:val="auto"/>
          <w:sz w:val="21"/>
          <w:szCs w:val="21"/>
          <w:highlight w:val="none"/>
          <w:u w:val="none"/>
        </w:rPr>
        <w:t>；</w:t>
      </w:r>
    </w:p>
    <w:p w14:paraId="3F4CAE5B">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b w:val="0"/>
          <w:bCs/>
          <w:color w:val="auto"/>
          <w:sz w:val="21"/>
          <w:szCs w:val="21"/>
          <w:highlight w:val="none"/>
          <w:u w:val="none"/>
        </w:rPr>
      </w:pPr>
      <w:r>
        <w:rPr>
          <w:rFonts w:hint="eastAsia" w:ascii="宋体" w:hAnsi="宋体" w:eastAsia="宋体" w:cs="宋体"/>
          <w:b/>
          <w:color w:val="auto"/>
          <w:sz w:val="21"/>
          <w:szCs w:val="21"/>
          <w:highlight w:val="none"/>
          <w:u w:val="none"/>
        </w:rPr>
        <w:t>（3）法定代表人授权委托书和委托代理人身份证扫描件或其他电子文件（格式见第六章)（必须提供）</w:t>
      </w:r>
      <w:r>
        <w:rPr>
          <w:rFonts w:hint="eastAsia" w:ascii="宋体" w:hAnsi="宋体" w:eastAsia="宋体" w:cs="宋体"/>
          <w:color w:val="auto"/>
          <w:sz w:val="21"/>
          <w:szCs w:val="21"/>
          <w:highlight w:val="none"/>
          <w:u w:val="none"/>
        </w:rPr>
        <w:t>；</w:t>
      </w:r>
      <w:r>
        <w:rPr>
          <w:rFonts w:hint="eastAsia" w:ascii="宋体" w:hAnsi="宋体" w:eastAsia="宋体" w:cs="宋体"/>
          <w:b w:val="0"/>
          <w:bCs/>
          <w:color w:val="auto"/>
          <w:sz w:val="21"/>
          <w:szCs w:val="21"/>
          <w:highlight w:val="none"/>
          <w:u w:val="none"/>
        </w:rPr>
        <w:t>当法定代表人参加投标时，必须提供法定代表人身份证扫描件或其他电子文件；</w:t>
      </w:r>
    </w:p>
    <w:p w14:paraId="448A4D43">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（4）投标截止之日前半年内投标人连续三个月的依法缴纳税费或依法免缴税费的证明（扫描件或其他电子文件，格式自拟）（必须提供）；</w:t>
      </w:r>
      <w:r>
        <w:rPr>
          <w:rFonts w:hint="eastAsia" w:ascii="宋体" w:hAnsi="宋体" w:eastAsia="宋体" w:cs="宋体"/>
          <w:color w:val="auto"/>
          <w:sz w:val="21"/>
          <w:szCs w:val="21"/>
          <w:highlight w:val="none"/>
          <w:u w:val="none"/>
        </w:rPr>
        <w:t>无纳税记录的，应提供由投标人所在地主管国税或地税部门出具的《依法纳税或依法免税证明》（格式</w:t>
      </w:r>
      <w:r>
        <w:rPr>
          <w:rFonts w:hint="eastAsia" w:ascii="宋体" w:hAnsi="宋体" w:eastAsia="宋体" w:cs="宋体"/>
          <w:b w:val="0"/>
          <w:bCs w:val="0"/>
          <w:color w:val="auto"/>
          <w:sz w:val="21"/>
          <w:szCs w:val="21"/>
          <w:highlight w:val="none"/>
          <w:u w:val="none"/>
        </w:rPr>
        <w:t>自拟，扫描件或其他电子文件）。</w:t>
      </w:r>
    </w:p>
    <w:p w14:paraId="59998D37">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（5）投标截止之日前半年内投标人连续三个月的依法缴纳社保费的缴费凭证</w:t>
      </w:r>
      <w:r>
        <w:rPr>
          <w:rFonts w:hint="eastAsia" w:ascii="宋体" w:hAnsi="宋体" w:eastAsia="宋体" w:cs="宋体"/>
          <w:color w:val="auto"/>
          <w:sz w:val="21"/>
          <w:szCs w:val="21"/>
          <w:highlight w:val="none"/>
          <w:u w:val="none"/>
        </w:rPr>
        <w:t>（</w:t>
      </w:r>
      <w:r>
        <w:rPr>
          <w:rFonts w:hint="eastAsia" w:ascii="宋体" w:hAnsi="宋体" w:eastAsia="宋体" w:cs="宋体"/>
          <w:b/>
          <w:color w:val="auto"/>
          <w:sz w:val="21"/>
          <w:szCs w:val="21"/>
          <w:highlight w:val="none"/>
          <w:u w:val="none"/>
        </w:rPr>
        <w:t>扫描件或其他电子文件，格式自拟）（必须提供）；</w:t>
      </w:r>
      <w:r>
        <w:rPr>
          <w:rFonts w:hint="eastAsia" w:ascii="宋体" w:hAnsi="宋体" w:eastAsia="宋体" w:cs="宋体"/>
          <w:color w:val="auto"/>
          <w:sz w:val="21"/>
          <w:szCs w:val="21"/>
          <w:highlight w:val="none"/>
          <w:u w:val="none"/>
        </w:rPr>
        <w:t>无缴费记录的，应提供由投标人所在地</w:t>
      </w:r>
      <w:r>
        <w:rPr>
          <w:rFonts w:hint="eastAsia" w:ascii="宋体" w:hAnsi="宋体" w:eastAsia="宋体" w:cs="宋体"/>
          <w:b w:val="0"/>
          <w:bCs w:val="0"/>
          <w:color w:val="auto"/>
          <w:sz w:val="21"/>
          <w:szCs w:val="21"/>
          <w:highlight w:val="none"/>
          <w:u w:val="none"/>
        </w:rPr>
        <w:t>社保部门出具的《依法缴纳或依法免缴社保费证明》（格式自拟，扫描件或其他电子文件）。</w:t>
      </w:r>
    </w:p>
    <w:p w14:paraId="766FCC08">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（6）财务状况报告（格式自拟，必须提供）；</w:t>
      </w:r>
    </w:p>
    <w:p w14:paraId="5CC00F7A">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color w:val="auto"/>
          <w:kern w:val="0"/>
          <w:sz w:val="21"/>
          <w:szCs w:val="21"/>
          <w:highlight w:val="none"/>
          <w:u w:val="none"/>
        </w:rPr>
        <w:t>（7）</w:t>
      </w:r>
      <w:r>
        <w:rPr>
          <w:rFonts w:hint="eastAsia" w:ascii="宋体" w:hAnsi="宋体" w:eastAsia="宋体" w:cs="宋体"/>
          <w:b/>
          <w:color w:val="auto"/>
          <w:sz w:val="21"/>
          <w:szCs w:val="21"/>
          <w:highlight w:val="none"/>
          <w:u w:val="none"/>
        </w:rPr>
        <w:t>具备履行合同所必需的设备和专业技术能力的证明材料（内容、格式自拟，必须提供）</w:t>
      </w:r>
      <w:r>
        <w:rPr>
          <w:rFonts w:hint="eastAsia" w:ascii="宋体" w:hAnsi="宋体" w:eastAsia="宋体" w:cs="宋体"/>
          <w:b/>
          <w:color w:val="auto"/>
          <w:kern w:val="0"/>
          <w:sz w:val="21"/>
          <w:szCs w:val="21"/>
          <w:highlight w:val="none"/>
          <w:u w:val="none"/>
        </w:rPr>
        <w:t>；</w:t>
      </w:r>
    </w:p>
    <w:p w14:paraId="71C2F840">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（8）商务响应表</w:t>
      </w:r>
      <w:r>
        <w:rPr>
          <w:rFonts w:hint="eastAsia" w:ascii="宋体" w:hAnsi="宋体" w:eastAsia="宋体" w:cs="宋体"/>
          <w:color w:val="auto"/>
          <w:sz w:val="21"/>
          <w:szCs w:val="21"/>
          <w:highlight w:val="none"/>
          <w:u w:val="none"/>
        </w:rPr>
        <w:t>（格式见第六章）</w:t>
      </w:r>
      <w:r>
        <w:rPr>
          <w:rFonts w:hint="eastAsia" w:ascii="宋体" w:hAnsi="宋体" w:eastAsia="宋体" w:cs="宋体"/>
          <w:b/>
          <w:color w:val="auto"/>
          <w:sz w:val="21"/>
          <w:szCs w:val="21"/>
          <w:highlight w:val="none"/>
          <w:u w:val="none"/>
        </w:rPr>
        <w:t>（必须提供）；</w:t>
      </w:r>
    </w:p>
    <w:p w14:paraId="6AA09568">
      <w:pPr>
        <w:keepNext w:val="0"/>
        <w:keepLines w:val="0"/>
        <w:pageBreakBefore w:val="0"/>
        <w:widowControl w:val="0"/>
        <w:kinsoku w:val="0"/>
        <w:wordWrap/>
        <w:overflowPunct w:val="0"/>
        <w:topLinePunct w:val="0"/>
        <w:autoSpaceDE w:val="0"/>
        <w:autoSpaceDN w:val="0"/>
        <w:bidi w:val="0"/>
        <w:snapToGrid w:val="0"/>
        <w:spacing w:line="400" w:lineRule="exact"/>
        <w:ind w:leftChars="0" w:firstLine="0" w:firstLineChars="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 xml:space="preserve">  ▲（9）</w:t>
      </w:r>
      <w:r>
        <w:rPr>
          <w:rFonts w:hint="eastAsia" w:ascii="宋体" w:hAnsi="宋体" w:eastAsia="宋体" w:cs="宋体"/>
          <w:b/>
          <w:color w:val="auto"/>
          <w:sz w:val="21"/>
          <w:szCs w:val="21"/>
          <w:highlight w:val="none"/>
          <w:u w:val="none"/>
        </w:rPr>
        <w:t>招标项目采购需求中要求必须提供的材料等；</w:t>
      </w:r>
    </w:p>
    <w:p w14:paraId="443E157E">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（10）具备法律、行政法规规定的其他条件的证明材料</w:t>
      </w:r>
      <w:r>
        <w:rPr>
          <w:rFonts w:hint="eastAsia" w:ascii="宋体" w:hAnsi="宋体" w:eastAsia="宋体" w:cs="宋体"/>
          <w:b/>
          <w:color w:val="auto"/>
          <w:sz w:val="21"/>
          <w:szCs w:val="21"/>
          <w:highlight w:val="none"/>
          <w:u w:val="none"/>
        </w:rPr>
        <w:t>(如有规定,则必须提供)。</w:t>
      </w:r>
    </w:p>
    <w:p w14:paraId="112931F5">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bCs/>
          <w:color w:val="auto"/>
          <w:sz w:val="21"/>
          <w:szCs w:val="21"/>
          <w:highlight w:val="none"/>
          <w:u w:val="none"/>
          <w:lang w:eastAsia="zh-CN"/>
        </w:rPr>
        <w:t>以下</w:t>
      </w:r>
      <w:r>
        <w:rPr>
          <w:rFonts w:hint="eastAsia" w:ascii="宋体" w:hAnsi="宋体" w:eastAsia="宋体" w:cs="宋体"/>
          <w:b/>
          <w:bCs/>
          <w:color w:val="auto"/>
          <w:sz w:val="21"/>
          <w:szCs w:val="21"/>
          <w:highlight w:val="none"/>
          <w:u w:val="none"/>
        </w:rPr>
        <w:t xml:space="preserve">可作为投标人资信评分的资质证明材料（可选）  </w:t>
      </w:r>
    </w:p>
    <w:p w14:paraId="11BAB7EA">
      <w:pPr>
        <w:keepNext w:val="0"/>
        <w:keepLines w:val="0"/>
        <w:pageBreakBefore w:val="0"/>
        <w:widowControl w:val="0"/>
        <w:kinsoku w:val="0"/>
        <w:wordWrap/>
        <w:overflowPunct w:val="0"/>
        <w:topLinePunct w:val="0"/>
        <w:autoSpaceDE w:val="0"/>
        <w:autoSpaceDN w:val="0"/>
        <w:bidi w:val="0"/>
        <w:snapToGrid w:val="0"/>
        <w:spacing w:line="400" w:lineRule="exact"/>
        <w:ind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（11）类似案例成功的业绩（投标人同类项目实施情况一览表、合同扫描件）；</w:t>
      </w:r>
    </w:p>
    <w:p w14:paraId="0B4B4B89">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color w:val="auto"/>
          <w:sz w:val="21"/>
          <w:szCs w:val="21"/>
          <w:highlight w:val="none"/>
          <w:u w:val="none"/>
        </w:rPr>
        <w:t>（</w:t>
      </w:r>
      <w:r>
        <w:rPr>
          <w:rFonts w:hint="eastAsia" w:ascii="宋体" w:hAnsi="宋体" w:eastAsia="宋体" w:cs="宋体"/>
          <w:color w:val="auto"/>
          <w:sz w:val="21"/>
          <w:szCs w:val="21"/>
          <w:highlight w:val="none"/>
          <w:u w:val="none"/>
        </w:rPr>
        <w:t>12</w:t>
      </w:r>
      <w:r>
        <w:rPr>
          <w:rFonts w:hint="eastAsia" w:ascii="宋体" w:hAnsi="宋体" w:eastAsia="宋体" w:cs="宋体"/>
          <w:b/>
          <w:color w:val="auto"/>
          <w:sz w:val="21"/>
          <w:szCs w:val="21"/>
          <w:highlight w:val="none"/>
          <w:u w:val="none"/>
        </w:rPr>
        <w:t>）</w:t>
      </w:r>
      <w:r>
        <w:rPr>
          <w:rFonts w:hint="eastAsia" w:ascii="宋体" w:hAnsi="宋体" w:eastAsia="宋体" w:cs="宋体"/>
          <w:color w:val="auto"/>
          <w:sz w:val="21"/>
          <w:szCs w:val="21"/>
          <w:highlight w:val="none"/>
          <w:u w:val="none"/>
        </w:rPr>
        <w:t>其他特殊资质证书（如本地化服务能力等）；</w:t>
      </w:r>
    </w:p>
    <w:p w14:paraId="46A4804A">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（13）节能环保产品或政府强制采购节能产品清单证书</w:t>
      </w:r>
      <w:r>
        <w:rPr>
          <w:rFonts w:hint="eastAsia" w:ascii="宋体" w:hAnsi="宋体" w:eastAsia="宋体" w:cs="宋体"/>
          <w:b/>
          <w:color w:val="auto"/>
          <w:sz w:val="21"/>
          <w:szCs w:val="21"/>
          <w:highlight w:val="none"/>
          <w:u w:val="none"/>
        </w:rPr>
        <w:t>；</w:t>
      </w:r>
    </w:p>
    <w:p w14:paraId="7DA4F219">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（14）投标人质量管理和质量保证体系等方面的认证证书；</w:t>
      </w:r>
    </w:p>
    <w:p w14:paraId="25F26A38">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（15）投标人认为可以证明其能力或业绩的其他材料；</w:t>
      </w:r>
    </w:p>
    <w:p w14:paraId="2EF3774B">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（16）投标人关于产品生产时间、升级或者更新淘汰计划、配件供应以及本单位债务纠纷、违法违规记录等方面的情况（内容见投标声明书）；</w:t>
      </w:r>
    </w:p>
    <w:p w14:paraId="18C5A23D">
      <w:pPr>
        <w:keepNext w:val="0"/>
        <w:keepLines w:val="0"/>
        <w:pageBreakBefore w:val="0"/>
        <w:widowControl w:val="0"/>
        <w:kinsoku w:val="0"/>
        <w:wordWrap/>
        <w:overflowPunct w:val="0"/>
        <w:topLinePunct w:val="0"/>
        <w:autoSpaceDE w:val="0"/>
        <w:autoSpaceDN w:val="0"/>
        <w:bidi w:val="0"/>
        <w:adjustRightInd w:val="0"/>
        <w:snapToGrid w:val="0"/>
        <w:spacing w:line="400" w:lineRule="exact"/>
        <w:ind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（17）中小企业声明函（格式见第六章，如有请提供）；</w:t>
      </w:r>
    </w:p>
    <w:p w14:paraId="4201B6BB">
      <w:pPr>
        <w:keepNext w:val="0"/>
        <w:keepLines w:val="0"/>
        <w:pageBreakBefore w:val="0"/>
        <w:widowControl w:val="0"/>
        <w:kinsoku w:val="0"/>
        <w:wordWrap/>
        <w:overflowPunct w:val="0"/>
        <w:topLinePunct w:val="0"/>
        <w:autoSpaceDE w:val="0"/>
        <w:autoSpaceDN w:val="0"/>
        <w:bidi w:val="0"/>
        <w:adjustRightInd w:val="0"/>
        <w:snapToGrid w:val="0"/>
        <w:spacing w:line="400" w:lineRule="exact"/>
        <w:ind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（18）关于符合本国产品标准的声明函（格式见第六章，如有请提供）；</w:t>
      </w:r>
    </w:p>
    <w:p w14:paraId="225A81B3">
      <w:pPr>
        <w:keepNext w:val="0"/>
        <w:keepLines w:val="0"/>
        <w:pageBreakBefore w:val="0"/>
        <w:widowControl w:val="0"/>
        <w:kinsoku w:val="0"/>
        <w:wordWrap/>
        <w:overflowPunct w:val="0"/>
        <w:topLinePunct w:val="0"/>
        <w:autoSpaceDE w:val="0"/>
        <w:autoSpaceDN w:val="0"/>
        <w:bidi w:val="0"/>
        <w:adjustRightInd w:val="0"/>
        <w:snapToGrid w:val="0"/>
        <w:spacing w:line="400" w:lineRule="exact"/>
        <w:ind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（19）投标人情况介绍。</w:t>
      </w:r>
    </w:p>
    <w:p w14:paraId="705339F0">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3.技术文件</w:t>
      </w:r>
    </w:p>
    <w:p w14:paraId="289431CC">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（1）对本项目系统总体要求的理解；</w:t>
      </w:r>
    </w:p>
    <w:p w14:paraId="6D92ECB6">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（2）</w:t>
      </w:r>
      <w:r>
        <w:rPr>
          <w:rFonts w:hint="eastAsia" w:ascii="宋体" w:hAnsi="宋体" w:eastAsia="宋体" w:cs="宋体"/>
          <w:b/>
          <w:color w:val="auto"/>
          <w:sz w:val="21"/>
          <w:szCs w:val="21"/>
          <w:highlight w:val="none"/>
          <w:u w:val="none"/>
        </w:rPr>
        <w:t>技术响应表（必须提供）；</w:t>
      </w:r>
    </w:p>
    <w:p w14:paraId="2662EA64">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（3）设备配置清单（均不含报价）；</w:t>
      </w:r>
    </w:p>
    <w:p w14:paraId="7B3F8069">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rPr>
        <w:t>（4）</w:t>
      </w:r>
      <w:r>
        <w:rPr>
          <w:rFonts w:hint="eastAsia" w:ascii="宋体" w:hAnsi="宋体" w:eastAsia="宋体" w:cs="宋体"/>
          <w:b/>
          <w:color w:val="auto"/>
          <w:sz w:val="21"/>
          <w:szCs w:val="21"/>
          <w:highlight w:val="none"/>
          <w:u w:val="none"/>
        </w:rPr>
        <w:t>售后服务承诺书</w:t>
      </w:r>
      <w:r>
        <w:rPr>
          <w:rFonts w:hint="eastAsia" w:ascii="宋体" w:hAnsi="宋体" w:eastAsia="宋体" w:cs="宋体"/>
          <w:color w:val="auto"/>
          <w:sz w:val="21"/>
          <w:szCs w:val="21"/>
          <w:highlight w:val="none"/>
          <w:u w:val="none"/>
        </w:rPr>
        <w:t>（应据项目实际要求描述如：投标人建议的安装、调试、验收方法或方案；技术服务、技术培训、售后服务的内容和措施等），</w:t>
      </w:r>
      <w:r>
        <w:rPr>
          <w:rFonts w:hint="eastAsia" w:ascii="宋体" w:hAnsi="宋体" w:eastAsia="宋体" w:cs="宋体"/>
          <w:b/>
          <w:color w:val="auto"/>
          <w:sz w:val="21"/>
          <w:szCs w:val="21"/>
          <w:highlight w:val="none"/>
          <w:u w:val="none"/>
        </w:rPr>
        <w:t>(格式自拟,必须提供)</w:t>
      </w:r>
      <w:r>
        <w:rPr>
          <w:rFonts w:hint="eastAsia" w:ascii="宋体" w:hAnsi="宋体" w:eastAsia="宋体" w:cs="宋体"/>
          <w:color w:val="auto"/>
          <w:sz w:val="21"/>
          <w:szCs w:val="21"/>
          <w:highlight w:val="none"/>
        </w:rPr>
        <w:t>；</w:t>
      </w:r>
    </w:p>
    <w:p w14:paraId="7C8DBDBD">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（5）投标人拥有主要装备和检测设施的情况和现状（格式自拟）及项目实施人员一览表； </w:t>
      </w:r>
    </w:p>
    <w:p w14:paraId="54ECB69B">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（6）优惠条件：投标人承诺给予招标人的各种优惠条件，包括备品备件、专用耗材、售后服务等方面的优惠；</w:t>
      </w:r>
    </w:p>
    <w:p w14:paraId="49644FD1">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（7）投标人对本项目的合理化建议和改进措施；</w:t>
      </w:r>
    </w:p>
    <w:p w14:paraId="3AE61392">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（8）投标人需要说明的其他文件和说明（格式略）；</w:t>
      </w:r>
    </w:p>
    <w:p w14:paraId="529825FC">
      <w:pPr>
        <w:keepNext w:val="0"/>
        <w:keepLines w:val="0"/>
        <w:pageBreakBefore w:val="0"/>
        <w:widowControl w:val="0"/>
        <w:kinsoku w:val="0"/>
        <w:wordWrap/>
        <w:overflowPunct w:val="0"/>
        <w:topLinePunct w:val="0"/>
        <w:autoSpaceDE w:val="0"/>
        <w:autoSpaceDN w:val="0"/>
        <w:bidi w:val="0"/>
        <w:snapToGrid w:val="0"/>
        <w:spacing w:line="400" w:lineRule="exact"/>
        <w:ind w:leftChars="0"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▲（9）招标项目采购需求中要求必须提供的材料。</w:t>
      </w:r>
    </w:p>
    <w:p w14:paraId="6BA8793C">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4.报价文件：</w:t>
      </w:r>
    </w:p>
    <w:p w14:paraId="660C402F">
      <w:pPr>
        <w:keepNext w:val="0"/>
        <w:keepLines w:val="0"/>
        <w:pageBreakBefore w:val="0"/>
        <w:widowControl w:val="0"/>
        <w:tabs>
          <w:tab w:val="left" w:pos="3870"/>
          <w:tab w:val="left" w:pos="4085"/>
        </w:tabs>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（1）投标函（</w:t>
      </w:r>
      <w:r>
        <w:rPr>
          <w:rFonts w:hint="eastAsia" w:ascii="宋体" w:hAnsi="宋体" w:eastAsia="宋体" w:cs="宋体"/>
          <w:b/>
          <w:color w:val="auto"/>
          <w:sz w:val="21"/>
          <w:szCs w:val="21"/>
          <w:highlight w:val="none"/>
        </w:rPr>
        <w:t>必须提供</w:t>
      </w:r>
      <w:r>
        <w:rPr>
          <w:rFonts w:hint="eastAsia" w:ascii="宋体" w:hAnsi="宋体" w:eastAsia="宋体" w:cs="宋体"/>
          <w:color w:val="auto"/>
          <w:sz w:val="21"/>
          <w:szCs w:val="21"/>
          <w:highlight w:val="none"/>
        </w:rPr>
        <w:t xml:space="preserve">，格式见第六章）； </w:t>
      </w:r>
    </w:p>
    <w:p w14:paraId="5E10733E">
      <w:pPr>
        <w:keepNext w:val="0"/>
        <w:keepLines w:val="0"/>
        <w:pageBreakBefore w:val="0"/>
        <w:widowControl w:val="0"/>
        <w:tabs>
          <w:tab w:val="left" w:pos="3870"/>
          <w:tab w:val="left" w:pos="4085"/>
        </w:tabs>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（2）投标报价明细表（</w:t>
      </w:r>
      <w:r>
        <w:rPr>
          <w:rFonts w:hint="eastAsia" w:ascii="宋体" w:hAnsi="宋体" w:eastAsia="宋体" w:cs="宋体"/>
          <w:b/>
          <w:color w:val="auto"/>
          <w:sz w:val="21"/>
          <w:szCs w:val="21"/>
          <w:highlight w:val="none"/>
        </w:rPr>
        <w:t>必须提供</w:t>
      </w:r>
      <w:r>
        <w:rPr>
          <w:rFonts w:hint="eastAsia" w:ascii="宋体" w:hAnsi="宋体" w:eastAsia="宋体" w:cs="宋体"/>
          <w:color w:val="auto"/>
          <w:sz w:val="21"/>
          <w:szCs w:val="21"/>
          <w:highlight w:val="none"/>
        </w:rPr>
        <w:t>，格式见第六章）；</w:t>
      </w:r>
    </w:p>
    <w:p w14:paraId="051770FF">
      <w:pPr>
        <w:keepNext w:val="0"/>
        <w:keepLines w:val="0"/>
        <w:pageBreakBefore w:val="0"/>
        <w:widowControl w:val="0"/>
        <w:tabs>
          <w:tab w:val="left" w:pos="3870"/>
          <w:tab w:val="left" w:pos="4085"/>
        </w:tabs>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（3）投标人针对报价需要说明的其他文件和说明（格式自拟）；</w:t>
      </w:r>
    </w:p>
    <w:p w14:paraId="5E91147C">
      <w:pPr>
        <w:keepNext w:val="0"/>
        <w:keepLines w:val="0"/>
        <w:pageBreakBefore w:val="0"/>
        <w:widowControl w:val="0"/>
        <w:tabs>
          <w:tab w:val="left" w:pos="3870"/>
          <w:tab w:val="left" w:pos="4085"/>
        </w:tabs>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（4）开标一览表（</w:t>
      </w:r>
      <w:r>
        <w:rPr>
          <w:rFonts w:hint="eastAsia" w:ascii="宋体" w:hAnsi="宋体" w:eastAsia="宋体" w:cs="宋体"/>
          <w:b/>
          <w:color w:val="auto"/>
          <w:sz w:val="21"/>
          <w:szCs w:val="21"/>
          <w:highlight w:val="none"/>
        </w:rPr>
        <w:t>必须提供</w:t>
      </w:r>
      <w:r>
        <w:rPr>
          <w:rFonts w:hint="eastAsia" w:ascii="宋体" w:hAnsi="宋体" w:eastAsia="宋体" w:cs="宋体"/>
          <w:color w:val="auto"/>
          <w:sz w:val="21"/>
          <w:szCs w:val="21"/>
          <w:highlight w:val="none"/>
        </w:rPr>
        <w:t>,格式见第六章）。</w:t>
      </w:r>
    </w:p>
    <w:p w14:paraId="0D6D83BE">
      <w:pPr>
        <w:pStyle w:val="17"/>
        <w:keepNext w:val="0"/>
        <w:keepLines w:val="0"/>
        <w:pageBreakBefore w:val="0"/>
        <w:widowControl w:val="0"/>
        <w:kinsoku w:val="0"/>
        <w:wordWrap/>
        <w:overflowPunct w:val="0"/>
        <w:topLinePunct w:val="0"/>
        <w:autoSpaceDE w:val="0"/>
        <w:autoSpaceDN w:val="0"/>
        <w:bidi w:val="0"/>
        <w:snapToGrid w:val="0"/>
        <w:spacing w:after="0" w:line="400" w:lineRule="exact"/>
        <w:ind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注：法定代表人授权委托书、投标声明书、投标函、开标一览表必须按</w:t>
      </w:r>
      <w:r>
        <w:rPr>
          <w:rFonts w:hint="eastAsia" w:ascii="宋体" w:hAnsi="宋体" w:eastAsia="宋体" w:cs="宋体"/>
          <w:b/>
          <w:color w:val="auto"/>
          <w:sz w:val="21"/>
          <w:szCs w:val="21"/>
          <w:highlight w:val="none"/>
        </w:rPr>
        <w:t>招标文件格式要求签字或签章</w:t>
      </w:r>
      <w:r>
        <w:rPr>
          <w:rFonts w:hint="eastAsia" w:ascii="宋体" w:hAnsi="宋体" w:eastAsia="宋体" w:cs="宋体"/>
          <w:b/>
          <w:bCs/>
          <w:color w:val="auto"/>
          <w:sz w:val="21"/>
          <w:szCs w:val="21"/>
          <w:highlight w:val="none"/>
        </w:rPr>
        <w:t>并加盖单位公章。</w:t>
      </w:r>
    </w:p>
    <w:p w14:paraId="2B60FB5A">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（二）投标文件的语言及计量</w:t>
      </w:r>
    </w:p>
    <w:p w14:paraId="0D64F830">
      <w:pPr>
        <w:keepNext w:val="0"/>
        <w:keepLines w:val="0"/>
        <w:pageBreakBefore w:val="0"/>
        <w:widowControl w:val="0"/>
        <w:kinsoku w:val="0"/>
        <w:wordWrap/>
        <w:overflowPunct w:val="0"/>
        <w:topLinePunct w:val="0"/>
        <w:autoSpaceDE w:val="0"/>
        <w:autoSpaceDN w:val="0"/>
        <w:bidi w:val="0"/>
        <w:snapToGrid w:val="0"/>
        <w:spacing w:line="400" w:lineRule="exact"/>
        <w:ind w:leftChars="0"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投标文件以及投标方与招标方就有关投标事宜的所有来往函电，均应以中文汉语书写。除签名、盖章、专用名称等特殊情形外，以中文汉语以外的文字表述的投标文件视同未提供。</w:t>
      </w:r>
    </w:p>
    <w:p w14:paraId="0C633C5F">
      <w:pPr>
        <w:keepNext w:val="0"/>
        <w:keepLines w:val="0"/>
        <w:pageBreakBefore w:val="0"/>
        <w:widowControl w:val="0"/>
        <w:kinsoku w:val="0"/>
        <w:wordWrap/>
        <w:overflowPunct w:val="0"/>
        <w:topLinePunct w:val="0"/>
        <w:autoSpaceDE w:val="0"/>
        <w:autoSpaceDN w:val="0"/>
        <w:bidi w:val="0"/>
        <w:snapToGrid w:val="0"/>
        <w:spacing w:line="400" w:lineRule="exact"/>
        <w:ind w:leftChars="0"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投标计量单位，招标文件已有明确规定的，使用招标文件规定的计量单位；招标文件没有规定的，应采用中华人民共和国法定计量单位（货币单位：人民币元），否则视同未响应。</w:t>
      </w:r>
    </w:p>
    <w:p w14:paraId="6A652394">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（三）投标报价</w:t>
      </w:r>
    </w:p>
    <w:p w14:paraId="45B7C263">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1.投标报价应按招标文件中相关附表格式填写。</w:t>
      </w:r>
      <w:r>
        <w:rPr>
          <w:rFonts w:hint="eastAsia" w:ascii="宋体" w:hAnsi="宋体" w:eastAsia="宋体" w:cs="宋体"/>
          <w:b/>
          <w:bCs/>
          <w:color w:val="auto"/>
          <w:sz w:val="21"/>
          <w:szCs w:val="21"/>
          <w:highlight w:val="none"/>
        </w:rPr>
        <w:t>投标人可就《项目采购需求》中所有分标的货物和服务内容按分标分别作完整唯一报价，也可对某个分标或几个分标的货物和服务内容按分标分别作完整唯一报价。</w:t>
      </w:r>
    </w:p>
    <w:p w14:paraId="5C84240B">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2.投标报价是履行合同的最终价格，应包括货款、标准附件、备品备件、专用工具、包装、运输、装卸、保险、税金、货到就位以及安装、调试、培训、保修等一切税金和费用。</w:t>
      </w:r>
    </w:p>
    <w:p w14:paraId="294BC422">
      <w:pPr>
        <w:keepNext w:val="0"/>
        <w:keepLines w:val="0"/>
        <w:pageBreakBefore w:val="0"/>
        <w:widowControl w:val="0"/>
        <w:tabs>
          <w:tab w:val="left" w:pos="525"/>
        </w:tabs>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3.投标文件只允许有一个报价，有选择的或有条件的报价将不予接受。</w:t>
      </w:r>
    </w:p>
    <w:p w14:paraId="5BD1F6FB">
      <w:pPr>
        <w:pStyle w:val="7"/>
        <w:keepNext w:val="0"/>
        <w:keepLines w:val="0"/>
        <w:pageBreakBefore w:val="0"/>
        <w:widowControl w:val="0"/>
        <w:numPr>
          <w:ilvl w:val="0"/>
          <w:numId w:val="0"/>
        </w:numPr>
        <w:tabs>
          <w:tab w:val="left" w:pos="720"/>
          <w:tab w:val="left" w:pos="840"/>
          <w:tab w:val="clear" w:pos="360"/>
        </w:tabs>
        <w:kinsoku w:val="0"/>
        <w:wordWrap/>
        <w:overflowPunct w:val="0"/>
        <w:topLinePunct w:val="0"/>
        <w:autoSpaceDE w:val="0"/>
        <w:autoSpaceDN w:val="0"/>
        <w:bidi w:val="0"/>
        <w:snapToGrid w:val="0"/>
        <w:spacing w:line="400" w:lineRule="exact"/>
        <w:ind w:leftChars="0" w:firstLine="422" w:firstLineChars="20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（四）投标文件的有效期</w:t>
      </w:r>
    </w:p>
    <w:p w14:paraId="3E7B706E">
      <w:pPr>
        <w:pStyle w:val="7"/>
        <w:keepNext w:val="0"/>
        <w:keepLines w:val="0"/>
        <w:pageBreakBefore w:val="0"/>
        <w:widowControl w:val="0"/>
        <w:numPr>
          <w:ilvl w:val="0"/>
          <w:numId w:val="0"/>
        </w:numPr>
        <w:tabs>
          <w:tab w:val="left" w:pos="720"/>
          <w:tab w:val="left" w:pos="840"/>
          <w:tab w:val="clear" w:pos="360"/>
        </w:tabs>
        <w:kinsoku w:val="0"/>
        <w:wordWrap/>
        <w:overflowPunct w:val="0"/>
        <w:topLinePunct w:val="0"/>
        <w:autoSpaceDE w:val="0"/>
        <w:autoSpaceDN w:val="0"/>
        <w:bidi w:val="0"/>
        <w:snapToGrid w:val="0"/>
        <w:spacing w:line="400" w:lineRule="exact"/>
        <w:ind w:leftChars="0"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1.自投标截止日</w:t>
      </w:r>
      <w:r>
        <w:rPr>
          <w:rFonts w:hint="eastAsia" w:ascii="宋体" w:hAnsi="宋体" w:eastAsia="宋体" w:cs="宋体"/>
          <w:color w:val="auto"/>
          <w:sz w:val="21"/>
          <w:szCs w:val="21"/>
          <w:highlight w:val="none"/>
          <w:u w:val="none"/>
        </w:rPr>
        <w:t>起</w:t>
      </w:r>
      <w:r>
        <w:rPr>
          <w:rFonts w:hint="eastAsia" w:ascii="宋体" w:hAnsi="宋体" w:eastAsia="宋体" w:cs="宋体"/>
          <w:b/>
          <w:color w:val="auto"/>
          <w:sz w:val="21"/>
          <w:szCs w:val="21"/>
          <w:highlight w:val="none"/>
          <w:u w:val="none"/>
        </w:rPr>
        <w:t>六十日</w:t>
      </w:r>
      <w:r>
        <w:rPr>
          <w:rFonts w:hint="eastAsia" w:ascii="宋体" w:hAnsi="宋体" w:eastAsia="宋体" w:cs="宋体"/>
          <w:color w:val="auto"/>
          <w:sz w:val="21"/>
          <w:szCs w:val="21"/>
          <w:highlight w:val="none"/>
        </w:rPr>
        <w:t>投标文件应保持有效。有效期不足的投标文件将被拒绝。</w:t>
      </w:r>
    </w:p>
    <w:p w14:paraId="4CB7B7BB">
      <w:pPr>
        <w:pStyle w:val="7"/>
        <w:keepNext w:val="0"/>
        <w:keepLines w:val="0"/>
        <w:pageBreakBefore w:val="0"/>
        <w:widowControl w:val="0"/>
        <w:numPr>
          <w:ilvl w:val="0"/>
          <w:numId w:val="0"/>
        </w:numPr>
        <w:tabs>
          <w:tab w:val="left" w:pos="720"/>
          <w:tab w:val="left" w:pos="840"/>
          <w:tab w:val="clear" w:pos="360"/>
        </w:tabs>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2.在特殊情况下，招标人可与投标人协商延长投标书的有效期，这种要求和答复均以书面形式进行。</w:t>
      </w:r>
    </w:p>
    <w:p w14:paraId="72878304">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3.投标人可拒绝接受延期要求而不会导致投标保证金被没收。同意延长有效期的投标人需要相应延长投标保证金的有效期，但不能修改投标文件。</w:t>
      </w:r>
      <w:r>
        <w:rPr>
          <w:rFonts w:hint="eastAsia" w:ascii="宋体" w:hAnsi="宋体" w:eastAsia="宋体" w:cs="宋体"/>
          <w:b/>
          <w:color w:val="auto"/>
          <w:sz w:val="21"/>
          <w:szCs w:val="21"/>
          <w:highlight w:val="none"/>
        </w:rPr>
        <w:t xml:space="preserve"> </w:t>
      </w:r>
    </w:p>
    <w:p w14:paraId="79B6E862">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4.中标人的投标文件自开标之日起至合同履行完毕止均应保持有效。</w:t>
      </w:r>
    </w:p>
    <w:p w14:paraId="73D7290C">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（五）投标保证金</w:t>
      </w:r>
    </w:p>
    <w:p w14:paraId="64A64E20">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1.投标保证金应用人民币，投标人须按规定提交投标保证金。否则，其投标将被拒绝。</w:t>
      </w:r>
    </w:p>
    <w:p w14:paraId="06723B11">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2.保证金交纳形式：支票、汇票、本票、金融机构、担保机构出具的保函等非现金形式。</w:t>
      </w:r>
    </w:p>
    <w:p w14:paraId="5B82879D">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3.投标人应按本须知及招标公告中所明确的开户名称、开户银行、账号，于投标截止前交到本中心账户上（投标人交纳投标保证金时应充分考虑保证金到达本中心账户上的清算时间）。</w:t>
      </w:r>
    </w:p>
    <w:p w14:paraId="766DA534">
      <w:pPr>
        <w:pStyle w:val="14"/>
        <w:keepNext w:val="0"/>
        <w:keepLines w:val="0"/>
        <w:pageBreakBefore w:val="0"/>
        <w:widowControl w:val="0"/>
        <w:kinsoku w:val="0"/>
        <w:wordWrap/>
        <w:overflowPunct w:val="0"/>
        <w:topLinePunct w:val="0"/>
        <w:autoSpaceDE w:val="0"/>
        <w:autoSpaceDN w:val="0"/>
        <w:bidi w:val="0"/>
        <w:snapToGrid w:val="0"/>
        <w:spacing w:line="400" w:lineRule="exact"/>
        <w:ind w:left="1"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本项目保证金事宜请联系本中心财务处（地址：广西南宁市星湖路22号广西壮族自治区政府采购中心综合楼3楼306室；电话：0771-8600309）</w:t>
      </w:r>
    </w:p>
    <w:p w14:paraId="539C4B9D">
      <w:pPr>
        <w:pStyle w:val="14"/>
        <w:keepNext w:val="0"/>
        <w:keepLines w:val="0"/>
        <w:pageBreakBefore w:val="0"/>
        <w:widowControl w:val="0"/>
        <w:kinsoku w:val="0"/>
        <w:wordWrap/>
        <w:overflowPunct w:val="0"/>
        <w:topLinePunct w:val="0"/>
        <w:autoSpaceDE w:val="0"/>
        <w:autoSpaceDN w:val="0"/>
        <w:bidi w:val="0"/>
        <w:snapToGrid w:val="0"/>
        <w:spacing w:line="400" w:lineRule="exact"/>
        <w:ind w:left="1"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w:t>
      </w:r>
    </w:p>
    <w:p w14:paraId="48E9BA47">
      <w:pPr>
        <w:pStyle w:val="14"/>
        <w:keepNext w:val="0"/>
        <w:keepLines w:val="0"/>
        <w:pageBreakBefore w:val="0"/>
        <w:widowControl w:val="0"/>
        <w:kinsoku w:val="0"/>
        <w:wordWrap/>
        <w:overflowPunct w:val="0"/>
        <w:topLinePunct w:val="0"/>
        <w:autoSpaceDE w:val="0"/>
        <w:autoSpaceDN w:val="0"/>
        <w:bidi w:val="0"/>
        <w:snapToGrid w:val="0"/>
        <w:spacing w:line="400" w:lineRule="exact"/>
        <w:ind w:left="1"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①办理投标保证金手续时，请务必在保证金凭据上注明或写明项目名称及项目编号，以免耽误投标。</w:t>
      </w:r>
    </w:p>
    <w:p w14:paraId="7CE2D5AD">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②未中标人的投标保证金在中标通知书发出后4个工作日内退还，不计利息。</w:t>
      </w:r>
    </w:p>
    <w:p w14:paraId="30C4E6EC">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③</w:t>
      </w:r>
      <w:r>
        <w:rPr>
          <w:rFonts w:hint="eastAsia" w:ascii="宋体" w:hAnsi="宋体" w:eastAsia="宋体" w:cs="宋体"/>
          <w:b/>
          <w:color w:val="auto"/>
          <w:spacing w:val="-4"/>
          <w:sz w:val="21"/>
          <w:szCs w:val="21"/>
          <w:highlight w:val="none"/>
        </w:rPr>
        <w:t>中标人的投标保证金自政府采购合同签订之日起4个工作日内（合同签订后送达本中心)后退还，不计利息。</w:t>
      </w:r>
    </w:p>
    <w:p w14:paraId="2B753895">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kern w:val="0"/>
          <w:sz w:val="21"/>
          <w:szCs w:val="21"/>
          <w:highlight w:val="none"/>
        </w:rPr>
        <w:t>中标人应在中标通知书发出之日起</w:t>
      </w:r>
      <w:r>
        <w:rPr>
          <w:rFonts w:hint="eastAsia" w:ascii="宋体" w:hAnsi="宋体" w:eastAsia="宋体" w:cs="宋体"/>
          <w:color w:val="auto"/>
          <w:sz w:val="21"/>
          <w:szCs w:val="21"/>
          <w:highlight w:val="none"/>
          <w:u w:val="single"/>
        </w:rPr>
        <w:t>25</w:t>
      </w:r>
      <w:r>
        <w:rPr>
          <w:rFonts w:hint="eastAsia" w:ascii="宋体" w:hAnsi="宋体" w:eastAsia="宋体" w:cs="宋体"/>
          <w:color w:val="auto"/>
          <w:sz w:val="21"/>
          <w:szCs w:val="21"/>
          <w:highlight w:val="none"/>
        </w:rPr>
        <w:t>日内与采购人签订合同。</w:t>
      </w:r>
      <w:r>
        <w:rPr>
          <w:rFonts w:hint="eastAsia" w:ascii="宋体" w:hAnsi="宋体" w:eastAsia="宋体" w:cs="宋体"/>
          <w:bCs/>
          <w:color w:val="auto"/>
          <w:sz w:val="21"/>
          <w:szCs w:val="21"/>
          <w:highlight w:val="none"/>
        </w:rPr>
        <w:t>采购需求另有要求的，按照其要求执行。</w:t>
      </w:r>
    </w:p>
    <w:p w14:paraId="65C016F3">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5.投标保证金不计息。</w:t>
      </w:r>
    </w:p>
    <w:p w14:paraId="271E8409">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6.投标人有下列情形之一的，投标保证金将不予退还：</w:t>
      </w:r>
    </w:p>
    <w:p w14:paraId="54A4FB8C">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（1）投标人在投标有效期内撤回投标文件的；</w:t>
      </w:r>
    </w:p>
    <w:p w14:paraId="1BF171F8">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（2）投标人在投标过程中弄虚作假，提供虚假材料的；</w:t>
      </w:r>
    </w:p>
    <w:p w14:paraId="641AC01F">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（3）中标人无正当理由不与采购人签订合同的；</w:t>
      </w:r>
    </w:p>
    <w:p w14:paraId="29EAFD1F">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bCs/>
          <w:color w:val="auto"/>
          <w:spacing w:val="-6"/>
          <w:sz w:val="21"/>
          <w:szCs w:val="21"/>
          <w:highlight w:val="none"/>
        </w:rPr>
        <w:t>将中标项目转让给他人或者在投标文件中未说明且未经招标采购人同意，将中标项目分包给他人的；</w:t>
      </w:r>
    </w:p>
    <w:p w14:paraId="504415A3">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（5）拒绝履行合同义务的；</w:t>
      </w:r>
    </w:p>
    <w:p w14:paraId="03EEBC82">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（6）其他严重扰乱招投标程序的。</w:t>
      </w:r>
    </w:p>
    <w:p w14:paraId="188FE759">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（六）投标文件的签署和份数</w:t>
      </w:r>
    </w:p>
    <w:p w14:paraId="11052A61">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1.投标人应按本招标文件规定的格式和顺序编制投标文件并标注页码，投标文件内容不完整、编排混乱导致投标文件被误读、漏读或者查找不到相关内容的，是投标人的责任。</w:t>
      </w:r>
    </w:p>
    <w:p w14:paraId="440FCDB4">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2.投标文件份数：见投标人须知及前附表。</w:t>
      </w:r>
    </w:p>
    <w:p w14:paraId="3F299CE5">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3.投标文件须由投标人在规定位置盖章并由法定代表人或法定代表人的授权委托人签字或签章，投标人应写全称。</w:t>
      </w:r>
    </w:p>
    <w:p w14:paraId="1508F695">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4.投标文件不得涂改，若有修改错漏处，须加盖单位公章或者法定代表人或授权委托人签字或签章。投标文件扫描不清晰或乱码或表达不清所引起的后果由投标人负责。</w:t>
      </w:r>
    </w:p>
    <w:p w14:paraId="23F4BD80">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（七）投标文件的上传、提交、修改、撤回和解密</w:t>
      </w:r>
    </w:p>
    <w:p w14:paraId="599C5423">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210"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b/>
          <w:color w:val="auto"/>
          <w:sz w:val="21"/>
          <w:szCs w:val="21"/>
          <w:highlight w:val="none"/>
        </w:rPr>
        <w:t>投标文件的上传、提交：见投标人须知及前附表。</w:t>
      </w:r>
    </w:p>
    <w:p w14:paraId="3AC6594A">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kern w:val="0"/>
          <w:sz w:val="21"/>
          <w:szCs w:val="21"/>
          <w:highlight w:val="none"/>
          <w:lang w:val="zh-CN"/>
        </w:rPr>
        <w:t>投标文件的修改和撤回：供应商应当在投标截止时间前完成投标文件的上传、提交，并可以补充、修改或者撤回投标文件。补充或者修改投标文件的，应当先行撤回原文件，补充、修改后重新上传、提交。投标截止时间前未完成上传、提交的，视为撤回投标文件。投标截止时间后提交的投标文件，“广西政府采购云平台”将予以拒收。投标截止时间后，投标供应商不得撤回、修改投标文件。</w:t>
      </w:r>
    </w:p>
    <w:p w14:paraId="7B8A85EA">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04" w:firstLineChars="200"/>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w:t>
      </w:r>
      <w:r>
        <w:rPr>
          <w:rFonts w:hint="eastAsia" w:ascii="宋体" w:hAnsi="宋体" w:eastAsia="宋体" w:cs="宋体"/>
          <w:snapToGrid w:val="0"/>
          <w:color w:val="auto"/>
          <w:sz w:val="21"/>
          <w:szCs w:val="21"/>
          <w:highlight w:val="none"/>
        </w:rPr>
        <w:t>电子加密投标文件的解密：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p w14:paraId="321712C7">
      <w:pPr>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jc w:val="left"/>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4.投标人已经被推荐为第一中标候选供应商后撤回投标或放弃中标的，其投标保证金将不予退还，并上缴国库，给采购人造成损失的，还应当赔偿损失，并作为不良行为记录在案。</w:t>
      </w:r>
    </w:p>
    <w:p w14:paraId="4CE3D417">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（八）投标无效的情形</w:t>
      </w:r>
    </w:p>
    <w:p w14:paraId="54ED6BEC">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实质上没有响应招标文件要求的投标将被视为无效投标。投标人不得通过修正或撤销不合要求的偏离或保留从而使其投标成为实质上响应的投标，但经评标委会认定属于投标人疏忽、笔误所造成的差错，应当允许其在评标结束之前进行修改或者补正（可以是复印件、传真件等，原件必须加盖单位公章）。修改或者补正投标文件必须以书面形式进行，并应在中标结果公告之前查核原件。限期内不补正或经补正后仍不符合招标文件要求的，应认定其投标无效。投标人修改、补正投标文件后，不影响评标委员会对其投标文件所作的评价和评分结果。</w:t>
      </w:r>
    </w:p>
    <w:p w14:paraId="366CF857">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1.在符合性审查和资格性审查时，如发现下列情形之一的，投标文件将被视为无效：</w:t>
      </w:r>
    </w:p>
    <w:p w14:paraId="2A937C06">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（1）超越了按照法律法规规定必须获得行政许可或者行政审批的经营范围的；</w:t>
      </w:r>
    </w:p>
    <w:p w14:paraId="5A2F927A">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（2）资格证明文件不全的，或者不符合招标文件标明的资格要求的；</w:t>
      </w:r>
    </w:p>
    <w:p w14:paraId="6952A33F">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（3）投标文件无法定代表人（负责人）或其授权委托代理人签字或签章，或未提供法定代表人（负责人）授权委托书、投标声明书或者填写项目不齐全的；</w:t>
      </w:r>
    </w:p>
    <w:p w14:paraId="67B470BC">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（4）投标代表人未能出具身份证明或与法定代表人（负责人）授权委托人身份不符的；</w:t>
      </w:r>
    </w:p>
    <w:p w14:paraId="24F48A7A">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（5）项目不齐全或者内容虚假的；</w:t>
      </w:r>
    </w:p>
    <w:p w14:paraId="7A9F3E33">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（6）投标文件的实质性内容未使用中文表述、意思表述不明确、前后矛盾或者使用计量单位不符合投标文件要求的（经评标委员会认定并允许其当场更正的笔误除外）；</w:t>
      </w:r>
    </w:p>
    <w:p w14:paraId="54128195">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（7）投标有效期、交付使用时间、质保期等商务条款不能满足招标文件要求的；</w:t>
      </w:r>
    </w:p>
    <w:p w14:paraId="2EC5C5A4">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（8）未实质性响应招标文件要求或者投标文件有招标方不能接受的附加条件的；</w:t>
      </w:r>
    </w:p>
    <w:p w14:paraId="6731F94F">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（9）未按照招标文件的规定提交投标保证金的（说明：评标时，评标委员会将以本中心财务室编制的《采购文件购买名单及保证金收缴情况表》作为评审依据）。</w:t>
      </w:r>
    </w:p>
    <w:p w14:paraId="6B12578A">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2.在技术评审时，如发现下列情形之一的，投标文件将被视为无效：</w:t>
      </w:r>
    </w:p>
    <w:p w14:paraId="58BA4358">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（1）未提供或未如实提供投标货物的技术参数，或者投标文件标明的响应或偏离与事实不符或虚假投标的；</w:t>
      </w:r>
    </w:p>
    <w:p w14:paraId="734DDC41">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rPr>
        <w:t>（2）明显不符合招标文件要求的规格型号、质量标准，或者与招标文件中的技术指标、主要功能项目发生实质性偏离的；</w:t>
      </w:r>
    </w:p>
    <w:p w14:paraId="45283073">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6" w:firstLineChars="200"/>
        <w:textAlignment w:val="auto"/>
        <w:outlineLvl w:val="0"/>
        <w:rPr>
          <w:rFonts w:hint="eastAsia" w:ascii="宋体" w:hAnsi="宋体" w:eastAsia="宋体" w:cs="宋体"/>
          <w:b/>
          <w:bCs/>
          <w:color w:val="auto"/>
          <w:spacing w:val="-4"/>
          <w:sz w:val="21"/>
          <w:szCs w:val="21"/>
          <w:highlight w:val="none"/>
        </w:rPr>
      </w:pPr>
      <w:r>
        <w:rPr>
          <w:rFonts w:hint="eastAsia" w:ascii="宋体" w:hAnsi="宋体" w:eastAsia="宋体" w:cs="宋体"/>
          <w:b/>
          <w:bCs/>
          <w:color w:val="auto"/>
          <w:spacing w:val="-4"/>
          <w:sz w:val="21"/>
          <w:szCs w:val="21"/>
          <w:highlight w:val="none"/>
        </w:rPr>
        <w:t>（3）标星号“</w:t>
      </w:r>
      <w:r>
        <w:rPr>
          <w:rFonts w:hint="eastAsia" w:ascii="宋体" w:hAnsi="宋体" w:eastAsia="宋体" w:cs="宋体"/>
          <w:b/>
          <w:bCs/>
          <w:color w:val="auto"/>
          <w:kern w:val="0"/>
          <w:sz w:val="21"/>
          <w:szCs w:val="21"/>
          <w:highlight w:val="none"/>
        </w:rPr>
        <w:t>▲</w:t>
      </w:r>
      <w:r>
        <w:rPr>
          <w:rFonts w:hint="eastAsia" w:ascii="宋体" w:hAnsi="宋体" w:eastAsia="宋体" w:cs="宋体"/>
          <w:b/>
          <w:bCs/>
          <w:color w:val="auto"/>
          <w:spacing w:val="-4"/>
          <w:sz w:val="21"/>
          <w:szCs w:val="21"/>
          <w:highlight w:val="none"/>
        </w:rPr>
        <w:t>”的技术、性能指标发生负偏离达</w:t>
      </w:r>
      <w:r>
        <w:rPr>
          <w:rFonts w:hint="eastAsia" w:ascii="宋体" w:hAnsi="宋体" w:eastAsia="宋体" w:cs="宋体"/>
          <w:b/>
          <w:bCs/>
          <w:color w:val="auto"/>
          <w:spacing w:val="-4"/>
          <w:sz w:val="21"/>
          <w:szCs w:val="21"/>
          <w:highlight w:val="none"/>
          <w:u w:val="single"/>
        </w:rPr>
        <w:t xml:space="preserve">  1  </w:t>
      </w:r>
      <w:r>
        <w:rPr>
          <w:rFonts w:hint="eastAsia" w:ascii="宋体" w:hAnsi="宋体" w:eastAsia="宋体" w:cs="宋体"/>
          <w:b/>
          <w:bCs/>
          <w:color w:val="auto"/>
          <w:spacing w:val="-4"/>
          <w:sz w:val="21"/>
          <w:szCs w:val="21"/>
          <w:highlight w:val="none"/>
        </w:rPr>
        <w:t>项（含）以上的；</w:t>
      </w:r>
    </w:p>
    <w:p w14:paraId="0CB51A42">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（4）投标技术方案不明确，存在一个或一个以上备选（替换）投标方案的；</w:t>
      </w:r>
    </w:p>
    <w:p w14:paraId="395134FB">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（5）与其他参加本次投标供应商的投标文件（技术文件）的文字表述内容差错相同二处以上的。</w:t>
      </w:r>
    </w:p>
    <w:p w14:paraId="43F69041">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3.在报价评审时，如发现下列情形之一的，投标文件将被视为无效：</w:t>
      </w:r>
    </w:p>
    <w:p w14:paraId="7607D8D9">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（1）未采用人民币报价或者未按照招标文件标明的币种报价的；</w:t>
      </w:r>
    </w:p>
    <w:p w14:paraId="142F282D">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（2）报价超出最高限价，或者超出采购预算金额，采购人不能支付的；</w:t>
      </w:r>
    </w:p>
    <w:p w14:paraId="2B82C9AD">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（3）投标报价具有选择性，或者开标价格与投标文件承诺的优惠（折扣）价格不一致的。</w:t>
      </w:r>
    </w:p>
    <w:p w14:paraId="6673B695">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jc w:val="left"/>
        <w:textAlignment w:val="auto"/>
        <w:rPr>
          <w:rFonts w:hint="eastAsia" w:ascii="宋体" w:hAnsi="宋体" w:eastAsia="宋体" w:cs="宋体"/>
          <w:color w:val="auto"/>
          <w:kern w:val="0"/>
          <w:sz w:val="21"/>
          <w:szCs w:val="21"/>
          <w:highlight w:val="none"/>
          <w:lang w:val="zh-CN"/>
        </w:rPr>
      </w:pPr>
      <w:bookmarkStart w:id="4" w:name="_Toc40865068"/>
      <w:bookmarkStart w:id="5" w:name="_Toc40864952"/>
      <w:bookmarkStart w:id="6" w:name="_Toc40864676"/>
      <w:r>
        <w:rPr>
          <w:rFonts w:hint="eastAsia" w:ascii="宋体" w:hAnsi="宋体" w:eastAsia="宋体" w:cs="宋体"/>
          <w:color w:val="auto"/>
          <w:kern w:val="0"/>
          <w:sz w:val="21"/>
          <w:szCs w:val="21"/>
          <w:highlight w:val="none"/>
          <w:lang w:val="zh-CN"/>
        </w:rPr>
        <w:t>（4）评标委员会在评审中，经启动异常低价审查程序后供应商未能</w:t>
      </w:r>
      <w:r>
        <w:rPr>
          <w:rFonts w:hint="eastAsia" w:ascii="宋体" w:hAnsi="宋体" w:eastAsia="宋体" w:cs="宋体"/>
          <w:bCs/>
          <w:color w:val="auto"/>
          <w:sz w:val="21"/>
          <w:szCs w:val="21"/>
          <w:highlight w:val="none"/>
        </w:rPr>
        <w:t>证明其报价合理性的</w:t>
      </w:r>
      <w:r>
        <w:rPr>
          <w:rFonts w:hint="eastAsia" w:ascii="宋体" w:hAnsi="宋体" w:eastAsia="宋体" w:cs="宋体"/>
          <w:color w:val="auto"/>
          <w:kern w:val="0"/>
          <w:sz w:val="21"/>
          <w:szCs w:val="21"/>
          <w:highlight w:val="none"/>
          <w:lang w:val="zh-CN"/>
        </w:rPr>
        <w:t>。</w:t>
      </w:r>
      <w:bookmarkEnd w:id="4"/>
      <w:bookmarkEnd w:id="5"/>
      <w:bookmarkEnd w:id="6"/>
    </w:p>
    <w:p w14:paraId="0F9F324C">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4.有下列情形之一的视为投标人相互串通投标，投标文件将被视为无效:</w:t>
      </w:r>
    </w:p>
    <w:p w14:paraId="42CD0C22">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（1）不同投标人的投标文件由同一单位或者个人编制；或不同投标人报名的IP地址一致的；</w:t>
      </w:r>
    </w:p>
    <w:p w14:paraId="52D68B89">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（2）不同投标人委托同一单位或者个人办理投标事宜；</w:t>
      </w:r>
    </w:p>
    <w:p w14:paraId="18D450CC">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（3）不同投标人的投标文件载明的项目管理成员或者联系人员为同一人；</w:t>
      </w:r>
    </w:p>
    <w:p w14:paraId="09C188B9">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（4）不同投标人的投标文件异常一致或投标报价呈规律性差异；</w:t>
      </w:r>
    </w:p>
    <w:p w14:paraId="74328223">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（5）不同投标人的投标文件相互混装；</w:t>
      </w:r>
    </w:p>
    <w:p w14:paraId="428DC2F1">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（6）不同投标人的投标保证金从同一个单位或者个人账户转出。</w:t>
      </w:r>
    </w:p>
    <w:p w14:paraId="67DE61CA">
      <w:pPr>
        <w:pStyle w:val="13"/>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06"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5.</w:t>
      </w:r>
      <w:r>
        <w:rPr>
          <w:rFonts w:hint="eastAsia" w:ascii="宋体" w:hAnsi="宋体" w:eastAsia="宋体" w:cs="宋体"/>
          <w:b/>
          <w:bCs/>
          <w:color w:val="auto"/>
          <w:sz w:val="21"/>
          <w:szCs w:val="21"/>
          <w:highlight w:val="none"/>
        </w:rPr>
        <w:t>其他投标无效的情形：</w:t>
      </w:r>
    </w:p>
    <w:p w14:paraId="6552C9B5">
      <w:pPr>
        <w:pStyle w:val="13"/>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（1）投标文件未按招标文件要求签署或CA电子签章的；</w:t>
      </w:r>
    </w:p>
    <w:p w14:paraId="702FC253">
      <w:pPr>
        <w:pStyle w:val="13"/>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（2）供应商提交两份或两份以上内容不同的投标文件；</w:t>
      </w:r>
    </w:p>
    <w:p w14:paraId="0519D009">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（3）投标供应商在线制作投标文件时填写的报价金额与解密后“电子加密投标文件”中《开标一览表》填写的金额不一致并拒绝按招标文件要求接受调整的；</w:t>
      </w:r>
    </w:p>
    <w:p w14:paraId="104118C9">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b/>
          <w:bCs/>
          <w:color w:val="auto"/>
          <w:sz w:val="21"/>
          <w:szCs w:val="21"/>
          <w:highlight w:val="none"/>
        </w:rPr>
        <w:t>（4）法律、法规和招标文件规定的其他无效情形（或出现重大偏差）。</w:t>
      </w:r>
    </w:p>
    <w:p w14:paraId="2BD3CF1E">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6.被拒绝的投标文件为无效。</w:t>
      </w:r>
    </w:p>
    <w:p w14:paraId="448CC515">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outlineLvl w:val="0"/>
        <w:rPr>
          <w:rFonts w:hint="eastAsia" w:ascii="宋体" w:hAnsi="宋体" w:eastAsia="宋体" w:cs="宋体"/>
          <w:b/>
          <w:snapToGrid w:val="0"/>
          <w:color w:val="auto"/>
          <w:sz w:val="21"/>
          <w:szCs w:val="21"/>
          <w:highlight w:val="none"/>
        </w:rPr>
      </w:pPr>
      <w:r>
        <w:rPr>
          <w:rFonts w:hint="eastAsia" w:ascii="宋体" w:hAnsi="宋体" w:eastAsia="宋体" w:cs="宋体"/>
          <w:b/>
          <w:color w:val="auto"/>
          <w:sz w:val="21"/>
          <w:szCs w:val="21"/>
          <w:highlight w:val="none"/>
        </w:rPr>
        <w:t>四、开标</w:t>
      </w:r>
    </w:p>
    <w:p w14:paraId="6A264330">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（一）开标准备</w:t>
      </w:r>
    </w:p>
    <w:p w14:paraId="15F2463D">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本中心将</w:t>
      </w:r>
      <w:r>
        <w:rPr>
          <w:rFonts w:hint="eastAsia" w:ascii="宋体" w:hAnsi="宋体" w:eastAsia="宋体" w:cs="宋体"/>
          <w:color w:val="auto"/>
          <w:sz w:val="21"/>
          <w:szCs w:val="21"/>
          <w:highlight w:val="none"/>
        </w:rPr>
        <w:t>按招标文件规定的时间、地点通过“广西政府采购云平台”组织开标、开启投标文件，所有供应商均应当准时在线参加。投标供应商因未在线参加开标而导致投标文件无法按时解密等一切后果由供应商自行承担。</w:t>
      </w:r>
    </w:p>
    <w:p w14:paraId="1A087C1A">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（二）开标程序：</w:t>
      </w:r>
    </w:p>
    <w:p w14:paraId="4A7C22E3">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1.电子开标会由本中心主持</w:t>
      </w:r>
    </w:p>
    <w:p w14:paraId="4E843BBE">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2.本中心工作人员向各投标供应商发出电子加密投标文件【开始解密】通知，由供应商按招标文件规定的时间内自行进行投标文件解密。</w:t>
      </w:r>
      <w:r>
        <w:rPr>
          <w:rFonts w:hint="eastAsia" w:ascii="宋体" w:hAnsi="宋体" w:eastAsia="宋体" w:cs="宋体"/>
          <w:snapToGrid w:val="0"/>
          <w:color w:val="auto"/>
          <w:sz w:val="21"/>
          <w:szCs w:val="21"/>
          <w:highlight w:val="none"/>
        </w:rPr>
        <w:t>投标供应商未在规定时间内完成解密的，系统默认自动放弃。</w:t>
      </w:r>
    </w:p>
    <w:p w14:paraId="51797B23">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文件解密结束，开启报价文件。投标供应商在线制作投标文件时填写的报价金额与解密后“电子加密投标文件”中《开标一览表》填写的金额不一致的，以解密后“电子加密投标文件”中《开标一览表》填写的金额为准，投标供应商拒绝接受此调整的，按无效投标处理。</w:t>
      </w:r>
    </w:p>
    <w:p w14:paraId="3F941ACE">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4.进入资格文件审查环节，本中心或者招标采购单位依法对投标供应商的资格进行审查。</w:t>
      </w:r>
    </w:p>
    <w:p w14:paraId="4635584F">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5.开启资格审查通过的投标供应商的商务技术文件进入符合性审查及商务技术评审。</w:t>
      </w:r>
    </w:p>
    <w:p w14:paraId="26663184">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注：</w:t>
      </w:r>
    </w:p>
    <w:p w14:paraId="5DF200B6">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①当整个招标项目的投标人不足3家的不开标，本中心将按政府采购管理的有关规定处理。</w:t>
      </w:r>
    </w:p>
    <w:p w14:paraId="4ADF5016">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②开标后,某分标投标人不足3家的，本中心将按政府采购管理的有关规定处理。</w:t>
      </w:r>
    </w:p>
    <w:p w14:paraId="408DA9B4">
      <w:pPr>
        <w:pStyle w:val="14"/>
        <w:keepNext w:val="0"/>
        <w:keepLines w:val="0"/>
        <w:pageBreakBefore w:val="0"/>
        <w:widowControl w:val="0"/>
        <w:kinsoku w:val="0"/>
        <w:wordWrap/>
        <w:overflowPunct w:val="0"/>
        <w:topLinePunct w:val="0"/>
        <w:autoSpaceDE w:val="0"/>
        <w:autoSpaceDN w:val="0"/>
        <w:bidi w:val="0"/>
        <w:snapToGrid w:val="0"/>
        <w:spacing w:line="400" w:lineRule="exac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特别说明：如遇“广西政府采购云平台”电子化开标或评审程序调整的，按调整后程序执行。</w:t>
      </w:r>
    </w:p>
    <w:p w14:paraId="790E05B4">
      <w:pPr>
        <w:pStyle w:val="14"/>
        <w:keepNext w:val="0"/>
        <w:keepLines w:val="0"/>
        <w:pageBreakBefore w:val="0"/>
        <w:widowControl w:val="0"/>
        <w:kinsoku w:val="0"/>
        <w:wordWrap/>
        <w:overflowPunct w:val="0"/>
        <w:topLinePunct w:val="0"/>
        <w:autoSpaceDE w:val="0"/>
        <w:autoSpaceDN w:val="0"/>
        <w:bidi w:val="0"/>
        <w:snapToGrid w:val="0"/>
        <w:spacing w:line="400" w:lineRule="exact"/>
        <w:ind w:left="772" w:leftChars="0" w:firstLine="0" w:firstLineChars="0"/>
        <w:textAlignment w:val="auto"/>
        <w:outlineLvl w:val="1"/>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w:t>
      </w:r>
      <w:r>
        <w:rPr>
          <w:rFonts w:hint="eastAsia" w:ascii="宋体" w:hAnsi="宋体" w:eastAsia="宋体" w:cs="宋体"/>
          <w:b/>
          <w:bCs/>
          <w:color w:val="auto"/>
          <w:sz w:val="21"/>
          <w:szCs w:val="21"/>
          <w:highlight w:val="none"/>
        </w:rPr>
        <w:t>资格审查</w:t>
      </w:r>
    </w:p>
    <w:p w14:paraId="58620D58">
      <w:pPr>
        <w:pStyle w:val="14"/>
        <w:keepNext w:val="0"/>
        <w:keepLines w:val="0"/>
        <w:pageBreakBefore w:val="0"/>
        <w:widowControl w:val="0"/>
        <w:kinsoku w:val="0"/>
        <w:wordWrap/>
        <w:overflowPunct w:val="0"/>
        <w:topLinePunct w:val="0"/>
        <w:autoSpaceDE w:val="0"/>
        <w:autoSpaceDN w:val="0"/>
        <w:bidi w:val="0"/>
        <w:snapToGrid w:val="0"/>
        <w:spacing w:line="400" w:lineRule="exact"/>
        <w:ind w:firstLine="420" w:firstLineChars="200"/>
        <w:textAlignment w:val="auto"/>
        <w:outlineLvl w:val="1"/>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采购人</w:t>
      </w:r>
      <w:r>
        <w:rPr>
          <w:rFonts w:hint="eastAsia" w:ascii="宋体" w:hAnsi="宋体" w:eastAsia="宋体" w:cs="宋体"/>
          <w:color w:val="auto"/>
          <w:spacing w:val="-4"/>
          <w:sz w:val="21"/>
          <w:szCs w:val="21"/>
          <w:highlight w:val="none"/>
        </w:rPr>
        <w:t>或本中心工作人员</w:t>
      </w:r>
      <w:r>
        <w:rPr>
          <w:rFonts w:hint="eastAsia" w:ascii="宋体" w:hAnsi="宋体" w:eastAsia="宋体" w:cs="宋体"/>
          <w:color w:val="auto"/>
          <w:sz w:val="21"/>
          <w:szCs w:val="21"/>
          <w:highlight w:val="none"/>
        </w:rPr>
        <w:t>依法对投标人的资格进行审查。合格投标人不足3家的，不得评标。</w:t>
      </w:r>
    </w:p>
    <w:p w14:paraId="38B3F421">
      <w:pPr>
        <w:pStyle w:val="14"/>
        <w:keepNext w:val="0"/>
        <w:keepLines w:val="0"/>
        <w:pageBreakBefore w:val="0"/>
        <w:widowControl w:val="0"/>
        <w:kinsoku w:val="0"/>
        <w:wordWrap/>
        <w:overflowPunct w:val="0"/>
        <w:topLinePunct w:val="0"/>
        <w:autoSpaceDE w:val="0"/>
        <w:autoSpaceDN w:val="0"/>
        <w:bidi w:val="0"/>
        <w:snapToGrid w:val="0"/>
        <w:spacing w:line="400" w:lineRule="exact"/>
        <w:ind w:left="772" w:leftChars="0" w:firstLine="0" w:firstLineChars="0"/>
        <w:textAlignment w:val="auto"/>
        <w:outlineLvl w:val="1"/>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六、评标</w:t>
      </w:r>
    </w:p>
    <w:p w14:paraId="52C2DB9C">
      <w:pPr>
        <w:pStyle w:val="14"/>
        <w:keepNext w:val="0"/>
        <w:keepLines w:val="0"/>
        <w:pageBreakBefore w:val="0"/>
        <w:widowControl w:val="0"/>
        <w:kinsoku w:val="0"/>
        <w:wordWrap/>
        <w:overflowPunct w:val="0"/>
        <w:topLinePunct w:val="0"/>
        <w:autoSpaceDE w:val="0"/>
        <w:autoSpaceDN w:val="0"/>
        <w:bidi w:val="0"/>
        <w:snapToGrid w:val="0"/>
        <w:spacing w:line="400" w:lineRule="exact"/>
        <w:ind w:left="690" w:leftChars="0"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（一）组建评标委员会</w:t>
      </w:r>
    </w:p>
    <w:p w14:paraId="5C480824">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0" w:firstLineChars="0"/>
        <w:textAlignment w:val="auto"/>
        <w:rPr>
          <w:rFonts w:hint="eastAsia" w:ascii="宋体" w:hAnsi="宋体" w:eastAsia="宋体" w:cs="宋体"/>
          <w:color w:val="auto"/>
          <w:spacing w:val="-4"/>
          <w:sz w:val="21"/>
          <w:szCs w:val="21"/>
          <w:highlight w:val="none"/>
        </w:rPr>
      </w:pPr>
      <w:r>
        <w:rPr>
          <w:rFonts w:hint="eastAsia" w:ascii="宋体" w:hAnsi="宋体" w:eastAsia="宋体" w:cs="宋体"/>
          <w:bCs/>
          <w:color w:val="auto"/>
          <w:sz w:val="21"/>
          <w:szCs w:val="21"/>
          <w:highlight w:val="none"/>
        </w:rPr>
        <w:t>本招标采购项目的</w:t>
      </w:r>
      <w:r>
        <w:rPr>
          <w:rFonts w:hint="eastAsia" w:ascii="宋体" w:hAnsi="宋体" w:eastAsia="宋体" w:cs="宋体"/>
          <w:color w:val="auto"/>
          <w:spacing w:val="-4"/>
          <w:sz w:val="21"/>
          <w:szCs w:val="21"/>
          <w:highlight w:val="none"/>
        </w:rPr>
        <w:t>评标委员会由采购人代表和评审专家组成，成员人数应当为5人以上单数，其中评审专家不得少于成员总数的三分之二。</w:t>
      </w:r>
    </w:p>
    <w:p w14:paraId="7F76A8D7">
      <w:pPr>
        <w:pStyle w:val="14"/>
        <w:keepNext w:val="0"/>
        <w:keepLines w:val="0"/>
        <w:pageBreakBefore w:val="0"/>
        <w:widowControl w:val="0"/>
        <w:kinsoku w:val="0"/>
        <w:wordWrap/>
        <w:overflowPunct w:val="0"/>
        <w:topLinePunct w:val="0"/>
        <w:autoSpaceDE w:val="0"/>
        <w:autoSpaceDN w:val="0"/>
        <w:bidi w:val="0"/>
        <w:snapToGrid w:val="0"/>
        <w:spacing w:line="400" w:lineRule="exact"/>
        <w:ind w:left="690" w:leftChars="0"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（二）评标的方式</w:t>
      </w:r>
    </w:p>
    <w:p w14:paraId="237ECC97">
      <w:pPr>
        <w:pStyle w:val="14"/>
        <w:keepNext w:val="0"/>
        <w:keepLines w:val="0"/>
        <w:pageBreakBefore w:val="0"/>
        <w:widowControl w:val="0"/>
        <w:kinsoku w:val="0"/>
        <w:wordWrap/>
        <w:overflowPunct w:val="0"/>
        <w:topLinePunct w:val="0"/>
        <w:autoSpaceDE w:val="0"/>
        <w:autoSpaceDN w:val="0"/>
        <w:bidi w:val="0"/>
        <w:snapToGrid w:val="0"/>
        <w:spacing w:line="400" w:lineRule="exact"/>
        <w:ind w:left="689"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本项目采用不公开方式评标，评标的依据为招标文件和投标文件。</w:t>
      </w:r>
    </w:p>
    <w:p w14:paraId="13F8F604">
      <w:pPr>
        <w:pStyle w:val="14"/>
        <w:keepNext w:val="0"/>
        <w:keepLines w:val="0"/>
        <w:pageBreakBefore w:val="0"/>
        <w:widowControl w:val="0"/>
        <w:kinsoku w:val="0"/>
        <w:wordWrap/>
        <w:overflowPunct w:val="0"/>
        <w:topLinePunct w:val="0"/>
        <w:autoSpaceDE w:val="0"/>
        <w:autoSpaceDN w:val="0"/>
        <w:bidi w:val="0"/>
        <w:snapToGrid w:val="0"/>
        <w:spacing w:line="400" w:lineRule="exact"/>
        <w:ind w:left="690" w:leftChars="0"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w:t>
      </w:r>
      <w:r>
        <w:rPr>
          <w:rFonts w:hint="eastAsia" w:ascii="宋体" w:hAnsi="宋体" w:eastAsia="宋体" w:cs="宋体"/>
          <w:b/>
          <w:bCs/>
          <w:color w:val="auto"/>
          <w:sz w:val="21"/>
          <w:szCs w:val="21"/>
          <w:highlight w:val="none"/>
        </w:rPr>
        <w:t>评标程序</w:t>
      </w:r>
    </w:p>
    <w:p w14:paraId="4C9C986D">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评标委员会仅对通过资格审查的投标文件进行后续评审，程序如下：</w:t>
      </w:r>
    </w:p>
    <w:p w14:paraId="49815836">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（1）符合性审查：评标委员会审查投标文件是否实质性响应招标文件要求。未通过审查的投标，不进入详细评审。</w:t>
      </w:r>
    </w:p>
    <w:p w14:paraId="247EE6CC">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询标与澄清：在评标过程中，如评标委员会认为有必要，可通过广西政府采购云平台的电子询标功能，要求投标人对投标文件中的有关事项进行澄清或说明。投标人须在规定时间内，通过系统以加盖电子签章的正式文件进行回复。澄清或说明的内容不得改变投标文件的实质性内容。 投标人代表超过规定时间或者拒绝澄清，或者澄清的内容改变了投标文件实质性内容的，评标委员会有权否决其投标。</w:t>
      </w:r>
    </w:p>
    <w:p w14:paraId="7A91D97C">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（3）商务与技术评审：评标委员会依据评分标准，对通过符合性审查的投标进行详细评审。</w:t>
      </w:r>
    </w:p>
    <w:p w14:paraId="69C859A8">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（4）报价评审</w:t>
      </w:r>
    </w:p>
    <w:p w14:paraId="3AC8ADE5">
      <w:pPr>
        <w:keepNext w:val="0"/>
        <w:keepLines w:val="0"/>
        <w:pageBreakBefore w:val="0"/>
        <w:widowControl w:val="0"/>
        <w:kinsoku w:val="0"/>
        <w:wordWrap/>
        <w:overflowPunct w:val="0"/>
        <w:topLinePunct w:val="0"/>
        <w:autoSpaceDE w:val="0"/>
        <w:autoSpaceDN w:val="0"/>
        <w:bidi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报价符合性审查：评标委员会审查投标报价是否符合招标文件关于报价的格式、币种、范围（如报价是否完全响应并覆盖招标文件“采购需求”及“货物/服务”清单中所列全部内容、是否超采购预算或最高限价）等基础要求。</w:t>
      </w:r>
    </w:p>
    <w:p w14:paraId="113B0819">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b)异常低价甄别与说明：对通过报价符合性审查的投标，如触发下列情形，评标委员会应当启动异常低价审查程序：</w:t>
      </w:r>
    </w:p>
    <w:p w14:paraId="3D12A3D5">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１）报价低于全部通过符合性审查投标人投标报价平均值</w:t>
      </w:r>
      <w:r>
        <w:rPr>
          <w:rFonts w:hint="eastAsia" w:ascii="宋体" w:hAnsi="宋体" w:eastAsia="宋体" w:cs="宋体"/>
          <w:b/>
          <w:bCs/>
          <w:color w:val="auto"/>
          <w:sz w:val="21"/>
          <w:szCs w:val="21"/>
          <w:highlight w:val="none"/>
          <w:lang w:val="en-US" w:eastAsia="zh-CN"/>
        </w:rPr>
        <w:t>65</w:t>
      </w:r>
      <w:r>
        <w:rPr>
          <w:rFonts w:hint="eastAsia" w:ascii="宋体" w:hAnsi="宋体" w:eastAsia="宋体" w:cs="宋体"/>
          <w:b/>
          <w:bCs/>
          <w:color w:val="auto"/>
          <w:sz w:val="21"/>
          <w:szCs w:val="21"/>
          <w:highlight w:val="none"/>
        </w:rPr>
        <w:t>%的；</w:t>
      </w:r>
    </w:p>
    <w:p w14:paraId="09315BF5">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２）报价低于通过符合性审查的次低报价投标人投标报价</w:t>
      </w:r>
      <w:r>
        <w:rPr>
          <w:rFonts w:hint="eastAsia" w:ascii="宋体" w:hAnsi="宋体" w:eastAsia="宋体" w:cs="宋体"/>
          <w:b/>
          <w:bCs/>
          <w:color w:val="auto"/>
          <w:sz w:val="21"/>
          <w:szCs w:val="21"/>
          <w:highlight w:val="none"/>
          <w:lang w:val="en-US" w:eastAsia="zh-CN"/>
        </w:rPr>
        <w:t>65</w:t>
      </w:r>
      <w:r>
        <w:rPr>
          <w:rFonts w:hint="eastAsia" w:ascii="宋体" w:hAnsi="宋体" w:eastAsia="宋体" w:cs="宋体"/>
          <w:b/>
          <w:bCs/>
          <w:color w:val="auto"/>
          <w:sz w:val="21"/>
          <w:szCs w:val="21"/>
          <w:highlight w:val="none"/>
        </w:rPr>
        <w:t>%的；</w:t>
      </w:r>
    </w:p>
    <w:p w14:paraId="767F6749">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３）报价低于采购项目最高限价</w:t>
      </w:r>
      <w:r>
        <w:rPr>
          <w:rFonts w:hint="eastAsia" w:ascii="宋体" w:hAnsi="宋体" w:eastAsia="宋体" w:cs="宋体"/>
          <w:b/>
          <w:bCs/>
          <w:color w:val="auto"/>
          <w:sz w:val="21"/>
          <w:szCs w:val="21"/>
          <w:highlight w:val="none"/>
          <w:lang w:val="en-US" w:eastAsia="zh-CN"/>
        </w:rPr>
        <w:t>65</w:t>
      </w:r>
      <w:r>
        <w:rPr>
          <w:rFonts w:hint="eastAsia" w:ascii="宋体" w:hAnsi="宋体" w:eastAsia="宋体" w:cs="宋体"/>
          <w:b/>
          <w:bCs/>
          <w:color w:val="auto"/>
          <w:sz w:val="21"/>
          <w:szCs w:val="21"/>
          <w:highlight w:val="none"/>
        </w:rPr>
        <w:t>%的；</w:t>
      </w:r>
    </w:p>
    <w:p w14:paraId="47DE983F">
      <w:pPr>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４）评标委员会基于专业判断，认为投标人报价过低，有可能影响产品质量或者不能诚信履约的其他情形。</w:t>
      </w:r>
    </w:p>
    <w:p w14:paraId="1272B63A">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通过电子询标方式，要求相关投标人在规定时间内提供有关书面说明及必要的证明材料。投标人不能提供书面说明、证明材料，或者提供的提供书面说明、证明材料不能证明其报价合理性的，评标委员会应将其作为无效投标处理。</w:t>
      </w:r>
    </w:p>
    <w:p w14:paraId="04E14475">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c)价格评分：对通过上述全部审查的有效报价，由系统按招标文件规定计算价格分。</w:t>
      </w:r>
    </w:p>
    <w:p w14:paraId="20614097">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（5）评分汇总与推荐：评标委员会在评审系统内完成评审后，系统将自动计算、汇总得分并生成排序结果。评标委员会据此集体审议推荐中标候选人，并对《评标报告》予以确认。</w:t>
      </w:r>
    </w:p>
    <w:p w14:paraId="508AC9B1">
      <w:pPr>
        <w:pStyle w:val="14"/>
        <w:keepNext w:val="0"/>
        <w:keepLines w:val="0"/>
        <w:pageBreakBefore w:val="0"/>
        <w:widowControl w:val="0"/>
        <w:kinsoku w:val="0"/>
        <w:wordWrap/>
        <w:overflowPunct w:val="0"/>
        <w:topLinePunct w:val="0"/>
        <w:autoSpaceDE w:val="0"/>
        <w:autoSpaceDN w:val="0"/>
        <w:bidi w:val="0"/>
        <w:snapToGrid w:val="0"/>
        <w:spacing w:line="400" w:lineRule="exact"/>
        <w:ind w:left="689" w:leftChars="0" w:firstLine="0" w:firstLineChars="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（四）</w:t>
      </w:r>
      <w:r>
        <w:rPr>
          <w:rFonts w:hint="eastAsia" w:ascii="宋体" w:hAnsi="宋体" w:eastAsia="宋体" w:cs="宋体"/>
          <w:b/>
          <w:color w:val="auto"/>
          <w:sz w:val="21"/>
          <w:szCs w:val="21"/>
          <w:highlight w:val="none"/>
        </w:rPr>
        <w:t>错误修正</w:t>
      </w:r>
    </w:p>
    <w:p w14:paraId="54754549">
      <w:pPr>
        <w:pStyle w:val="14"/>
        <w:keepNext w:val="0"/>
        <w:keepLines w:val="0"/>
        <w:pageBreakBefore w:val="0"/>
        <w:widowControl w:val="0"/>
        <w:kinsoku w:val="0"/>
        <w:wordWrap/>
        <w:overflowPunct w:val="0"/>
        <w:topLinePunct w:val="0"/>
        <w:autoSpaceDE w:val="0"/>
        <w:autoSpaceDN w:val="0"/>
        <w:bidi w:val="0"/>
        <w:snapToGrid w:val="0"/>
        <w:spacing w:line="400" w:lineRule="exact"/>
        <w:ind w:left="689"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投标文件如果出现计算或表达上的错误，修正错误的原则如下：</w:t>
      </w:r>
    </w:p>
    <w:p w14:paraId="77D4D7C2">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1.投标文件中开标一览表（报价表）内容与投标文件中相应内容不一致的，以开标一览表（报价表）为准；</w:t>
      </w:r>
    </w:p>
    <w:p w14:paraId="51E03526">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2.大写金额和小写金额不一致的，以大写金额为准；</w:t>
      </w:r>
    </w:p>
    <w:p w14:paraId="71B78855">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3.单价金额小数点或者百分比有明显错位的，以开标一览表的总价为准，并修改单价；</w:t>
      </w:r>
    </w:p>
    <w:p w14:paraId="6B7ACF5E">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4.总价金额与按单价汇总金额不一致的，以单价金额计算结果为准。</w:t>
      </w:r>
    </w:p>
    <w:p w14:paraId="45625D17">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5.对不同文字文本投标文件的解释发生异议的，以中文文本为准。</w:t>
      </w:r>
    </w:p>
    <w:p w14:paraId="5C8DFD35">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同时出现两种以上不一致的，按照前款规定的顺序修正。</w:t>
      </w:r>
    </w:p>
    <w:p w14:paraId="78881311">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按上述修正错误的原则及方法调整或修正投标文件的投标报价，投标人同意并签字或签章确认后，调整后的投标报价对投标人具有约束作用。如果投标人不接受修正后的报价，则其投标将作为无效投标处理。</w:t>
      </w:r>
    </w:p>
    <w:p w14:paraId="3D6AA0AD">
      <w:pPr>
        <w:pStyle w:val="14"/>
        <w:keepNext w:val="0"/>
        <w:keepLines w:val="0"/>
        <w:pageBreakBefore w:val="0"/>
        <w:widowControl w:val="0"/>
        <w:tabs>
          <w:tab w:val="left" w:pos="630"/>
        </w:tabs>
        <w:kinsoku w:val="0"/>
        <w:wordWrap/>
        <w:overflowPunct w:val="0"/>
        <w:topLinePunct w:val="0"/>
        <w:autoSpaceDE w:val="0"/>
        <w:autoSpaceDN w:val="0"/>
        <w:bidi w:val="0"/>
        <w:snapToGrid w:val="0"/>
        <w:spacing w:line="400" w:lineRule="exact"/>
        <w:ind w:leftChars="0" w:firstLine="422" w:firstLineChars="20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（五）评标原则和评标方法</w:t>
      </w:r>
    </w:p>
    <w:p w14:paraId="323CA979">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rPr>
        <w:t>1.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4DF13CFD">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rPr>
        <w:t>2.评标方法。本项目评标方法是</w:t>
      </w:r>
      <w:r>
        <w:rPr>
          <w:rFonts w:hint="eastAsia" w:ascii="宋体" w:hAnsi="宋体" w:eastAsia="宋体" w:cs="宋体"/>
          <w:b/>
          <w:color w:val="auto"/>
          <w:sz w:val="21"/>
          <w:szCs w:val="21"/>
          <w:highlight w:val="none"/>
          <w:u w:val="none"/>
        </w:rPr>
        <w:t>综合评分法</w:t>
      </w:r>
      <w:r>
        <w:rPr>
          <w:rFonts w:hint="eastAsia" w:ascii="宋体" w:hAnsi="宋体" w:eastAsia="宋体" w:cs="宋体"/>
          <w:color w:val="auto"/>
          <w:sz w:val="21"/>
          <w:szCs w:val="21"/>
          <w:highlight w:val="none"/>
          <w:u w:val="none"/>
        </w:rPr>
        <w:t>，</w:t>
      </w:r>
      <w:r>
        <w:rPr>
          <w:rFonts w:hint="eastAsia" w:ascii="宋体" w:hAnsi="宋体" w:eastAsia="宋体" w:cs="宋体"/>
          <w:color w:val="auto"/>
          <w:sz w:val="21"/>
          <w:szCs w:val="21"/>
          <w:highlight w:val="none"/>
        </w:rPr>
        <w:t>具体评标内容及评分标准等详见第四章：评标方法及评分标准。</w:t>
      </w:r>
    </w:p>
    <w:p w14:paraId="28D309D2">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（六）评标过程的监控</w:t>
      </w:r>
    </w:p>
    <w:p w14:paraId="07F65D13">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本项目评标过程实行全程录音、录像监控，投标人在评标过程中所进行的试图影响评标结果的不公正活动，可能导致其投标被拒绝。</w:t>
      </w:r>
    </w:p>
    <w:p w14:paraId="53F674C5">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outlineLvl w:val="1"/>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七、评标结果</w:t>
      </w:r>
    </w:p>
    <w:p w14:paraId="3AAE776B">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rPr>
        <w:t>（一）</w:t>
      </w:r>
      <w:r>
        <w:rPr>
          <w:rFonts w:hint="eastAsia" w:ascii="宋体" w:hAnsi="宋体" w:eastAsia="宋体" w:cs="宋体"/>
          <w:color w:val="auto"/>
          <w:sz w:val="21"/>
          <w:szCs w:val="21"/>
          <w:highlight w:val="none"/>
        </w:rPr>
        <w:t>本中心将在评标结束后2个工作日内将评标报告送采购人，采购人在5个工作日内按照评标报告中推荐的中标候选供应商顺序确定中标供应商。</w:t>
      </w:r>
    </w:p>
    <w:p w14:paraId="6768D934">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（二）中标供应商确定后，本中心在中国政府采购网、广西财政网、广西壮族自治区政府采购中心网站发布中标结果公告。</w:t>
      </w:r>
    </w:p>
    <w:p w14:paraId="75E54A7A">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（三）在发布中标结果公告的同时，本中心向中标供应商发出中标通知书。</w:t>
      </w:r>
    </w:p>
    <w:p w14:paraId="7EFB812B">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（四）</w:t>
      </w:r>
      <w:r>
        <w:rPr>
          <w:rFonts w:hint="eastAsia" w:ascii="宋体" w:hAnsi="宋体" w:eastAsia="宋体" w:cs="宋体"/>
          <w:bCs/>
          <w:color w:val="auto"/>
          <w:sz w:val="21"/>
          <w:szCs w:val="21"/>
          <w:highlight w:val="none"/>
        </w:rPr>
        <w:t>投标人认为招标文件、招标过程和中标结果使自己的权益受到损害的，可以在知道或者应知其权益受到损害之日起七个工作日内，以书面形式向本中心提出质疑，并及时索要书面回执。</w:t>
      </w:r>
    </w:p>
    <w:p w14:paraId="2AB26ACB">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w:t>
      </w:r>
      <w:r>
        <w:rPr>
          <w:rFonts w:hint="eastAsia" w:ascii="宋体" w:hAnsi="宋体" w:eastAsia="宋体" w:cs="宋体"/>
          <w:bCs/>
          <w:color w:val="auto"/>
          <w:sz w:val="21"/>
          <w:szCs w:val="21"/>
          <w:highlight w:val="none"/>
        </w:rPr>
        <w:t>本中心应当按照有关规定就采购人委托授权范围内的事项在收到投标人的书面质疑后七个工作日内做出答复，但答复的内容不得涉及商业秘密。</w:t>
      </w:r>
    </w:p>
    <w:p w14:paraId="694CE60A">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outlineLvl w:val="1"/>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八、签订合同</w:t>
      </w:r>
    </w:p>
    <w:p w14:paraId="473F73AC">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outlineLvl w:val="1"/>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（一）合同授予标准</w:t>
      </w:r>
    </w:p>
    <w:p w14:paraId="414EF30F">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合同将授予被确定投标文件满足招标文件全部实质性要求，具备履行合同能力，评审得分最高，综合评分排名第一的供应商。</w:t>
      </w:r>
    </w:p>
    <w:p w14:paraId="44721364">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outlineLvl w:val="1"/>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（二）签订合同</w:t>
      </w:r>
    </w:p>
    <w:p w14:paraId="5AEEBC82">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（1）投标人接到中标通知书后，应按中标通知书规定的时间、地点与采购人签订合同。中标人无正当理由不得放弃中标。</w:t>
      </w:r>
    </w:p>
    <w:p w14:paraId="7259AB02">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（2）如中标供应商不按中标通知书的规定签订合同，则按中标供应商违约处理，本中心将没收中标供应商投标的全部投标保证金。</w:t>
      </w:r>
    </w:p>
    <w:p w14:paraId="466A85DF">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3）中标供应商拒绝与采购人签订合同或因不可抗力或者自身原因不能履行采购合同的，采购人可以与中标供应商之后排名第一的中标候选供应商签订采购合同，以此类推,也可以重新招标。中标供应商放弃中标项目，拒绝与采购人签订合同的，其投标保证金将不予退还，并上缴国库，给采购人造成损失的，还应当赔偿损失，并作为不良行为记录在案。</w:t>
      </w:r>
    </w:p>
    <w:p w14:paraId="6B31834D">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九、其他事项</w:t>
      </w:r>
    </w:p>
    <w:p w14:paraId="5928FC5A">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（1）解释权：</w:t>
      </w:r>
      <w:r>
        <w:rPr>
          <w:rFonts w:hint="eastAsia" w:ascii="宋体" w:hAnsi="宋体" w:eastAsia="宋体" w:cs="宋体"/>
          <w:color w:val="auto"/>
          <w:spacing w:val="-4"/>
          <w:sz w:val="21"/>
          <w:szCs w:val="21"/>
          <w:highlight w:val="none"/>
        </w:rPr>
        <w:t>本招标文件解释权属本中心。</w:t>
      </w:r>
    </w:p>
    <w:p w14:paraId="4C9F75DB">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（2）有关事宜</w:t>
      </w:r>
    </w:p>
    <w:p w14:paraId="35C38807">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bookmarkStart w:id="7" w:name="_Toc254970689"/>
      <w:bookmarkStart w:id="8" w:name="_Toc254970548"/>
      <w:r>
        <w:rPr>
          <w:rFonts w:hint="eastAsia" w:ascii="宋体" w:hAnsi="宋体" w:eastAsia="宋体" w:cs="宋体"/>
          <w:color w:val="auto"/>
          <w:sz w:val="21"/>
          <w:szCs w:val="21"/>
          <w:highlight w:val="none"/>
        </w:rPr>
        <w:t>所有与本招标文件有关的函件请按下列通讯地址联系：</w:t>
      </w:r>
    </w:p>
    <w:p w14:paraId="7C79BCDA">
      <w:pPr>
        <w:pStyle w:val="14"/>
        <w:keepNext w:val="0"/>
        <w:keepLines w:val="0"/>
        <w:pageBreakBefore w:val="0"/>
        <w:widowControl w:val="0"/>
        <w:tabs>
          <w:tab w:val="left" w:pos="1990"/>
        </w:tabs>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邮政编码：530022</w:t>
      </w:r>
    </w:p>
    <w:p w14:paraId="4D3D09AE">
      <w:pPr>
        <w:pStyle w:val="14"/>
        <w:keepNext w:val="0"/>
        <w:keepLines w:val="0"/>
        <w:pageBreakBefore w:val="0"/>
        <w:widowControl w:val="0"/>
        <w:tabs>
          <w:tab w:val="left" w:pos="1990"/>
        </w:tabs>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b w:val="0"/>
          <w:bCs w:val="0"/>
          <w:color w:val="auto"/>
          <w:spacing w:val="-4"/>
          <w:sz w:val="21"/>
          <w:szCs w:val="21"/>
          <w:highlight w:val="none"/>
        </w:rPr>
      </w:pPr>
      <w:r>
        <w:rPr>
          <w:rFonts w:hint="eastAsia" w:ascii="宋体" w:hAnsi="宋体" w:eastAsia="宋体" w:cs="宋体"/>
          <w:b w:val="0"/>
          <w:bCs w:val="0"/>
          <w:color w:val="auto"/>
          <w:sz w:val="21"/>
          <w:szCs w:val="21"/>
          <w:highlight w:val="none"/>
        </w:rPr>
        <w:t xml:space="preserve">通讯地址：广西南宁市星湖路22号 </w:t>
      </w:r>
    </w:p>
    <w:p w14:paraId="1735C1D3">
      <w:pPr>
        <w:pStyle w:val="14"/>
        <w:keepNext w:val="0"/>
        <w:keepLines w:val="0"/>
        <w:pageBreakBefore w:val="0"/>
        <w:widowControl w:val="0"/>
        <w:kinsoku w:val="0"/>
        <w:wordWrap/>
        <w:overflowPunct w:val="0"/>
        <w:topLinePunct w:val="0"/>
        <w:autoSpaceDE w:val="0"/>
        <w:autoSpaceDN w:val="0"/>
        <w:bidi w:val="0"/>
        <w:snapToGrid w:val="0"/>
        <w:spacing w:line="400" w:lineRule="exac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电    话：0771-</w:t>
      </w:r>
      <w:r>
        <w:rPr>
          <w:rFonts w:hint="eastAsia" w:hAnsi="宋体" w:eastAsia="宋体" w:cs="宋体"/>
          <w:b w:val="0"/>
          <w:bCs w:val="0"/>
          <w:color w:val="auto"/>
          <w:sz w:val="21"/>
          <w:szCs w:val="21"/>
          <w:highlight w:val="none"/>
          <w:lang w:eastAsia="zh-CN"/>
        </w:rPr>
        <w:t>8600434</w:t>
      </w:r>
      <w:r>
        <w:rPr>
          <w:rFonts w:hint="eastAsia" w:ascii="宋体" w:hAnsi="宋体" w:eastAsia="宋体" w:cs="宋体"/>
          <w:b w:val="0"/>
          <w:bCs w:val="0"/>
          <w:color w:val="auto"/>
          <w:sz w:val="21"/>
          <w:szCs w:val="21"/>
          <w:highlight w:val="none"/>
        </w:rPr>
        <w:t xml:space="preserve"> </w:t>
      </w:r>
    </w:p>
    <w:p w14:paraId="70A77E3F">
      <w:pPr>
        <w:pStyle w:val="14"/>
        <w:keepNext w:val="0"/>
        <w:keepLines w:val="0"/>
        <w:pageBreakBefore w:val="0"/>
        <w:widowControl w:val="0"/>
        <w:kinsoku w:val="0"/>
        <w:wordWrap/>
        <w:overflowPunct w:val="0"/>
        <w:topLinePunct w:val="0"/>
        <w:autoSpaceDE w:val="0"/>
        <w:autoSpaceDN w:val="0"/>
        <w:bidi w:val="0"/>
        <w:snapToGrid w:val="0"/>
        <w:spacing w:line="360" w:lineRule="exact"/>
        <w:ind w:firstLine="824"/>
        <w:textAlignment w:val="auto"/>
        <w:rPr>
          <w:rFonts w:hint="eastAsia" w:ascii="宋体" w:hAnsi="宋体" w:eastAsia="宋体" w:cs="宋体"/>
          <w:color w:val="auto"/>
          <w:sz w:val="32"/>
          <w:szCs w:val="32"/>
          <w:highlight w:val="none"/>
        </w:rPr>
      </w:pPr>
    </w:p>
    <w:p w14:paraId="6B4257F0">
      <w:pPr>
        <w:pStyle w:val="14"/>
        <w:snapToGrid w:val="0"/>
        <w:spacing w:before="120" w:after="120"/>
        <w:jc w:val="center"/>
        <w:outlineLvl w:val="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499E7D87">
      <w:pPr>
        <w:pStyle w:val="14"/>
        <w:snapToGrid w:val="0"/>
        <w:spacing w:before="120" w:after="120"/>
        <w:jc w:val="center"/>
        <w:outlineLvl w:val="0"/>
        <w:rPr>
          <w:rFonts w:hint="eastAsia" w:ascii="宋体" w:hAnsi="宋体" w:eastAsia="宋体" w:cs="宋体"/>
          <w:b/>
          <w:color w:val="auto"/>
          <w:sz w:val="32"/>
          <w:szCs w:val="32"/>
          <w:highlight w:val="none"/>
        </w:rPr>
      </w:pPr>
    </w:p>
    <w:p w14:paraId="1B6E1063">
      <w:pPr>
        <w:pStyle w:val="14"/>
        <w:snapToGrid w:val="0"/>
        <w:spacing w:before="120" w:after="120"/>
        <w:jc w:val="center"/>
        <w:outlineLvl w:val="0"/>
        <w:rPr>
          <w:rFonts w:hint="eastAsia" w:ascii="宋体" w:hAnsi="宋体" w:eastAsia="宋体" w:cs="宋体"/>
          <w:b/>
          <w:color w:val="auto"/>
          <w:sz w:val="32"/>
          <w:szCs w:val="32"/>
          <w:highlight w:val="none"/>
        </w:rPr>
      </w:pPr>
    </w:p>
    <w:p w14:paraId="209A86CE">
      <w:pPr>
        <w:pStyle w:val="14"/>
        <w:snapToGrid w:val="0"/>
        <w:spacing w:before="120" w:after="120"/>
        <w:jc w:val="center"/>
        <w:outlineLvl w:val="0"/>
        <w:rPr>
          <w:rFonts w:hint="eastAsia" w:ascii="宋体" w:hAnsi="宋体" w:eastAsia="宋体" w:cs="宋体"/>
          <w:b/>
          <w:color w:val="auto"/>
          <w:sz w:val="32"/>
          <w:szCs w:val="32"/>
          <w:highlight w:val="none"/>
        </w:rPr>
      </w:pPr>
    </w:p>
    <w:p w14:paraId="17FF9065">
      <w:pPr>
        <w:pStyle w:val="14"/>
        <w:snapToGrid w:val="0"/>
        <w:spacing w:before="120" w:after="120"/>
        <w:jc w:val="center"/>
        <w:outlineLvl w:val="0"/>
        <w:rPr>
          <w:rFonts w:hint="eastAsia" w:ascii="宋体" w:hAnsi="宋体" w:eastAsia="宋体" w:cs="宋体"/>
          <w:b/>
          <w:color w:val="auto"/>
          <w:sz w:val="32"/>
          <w:szCs w:val="32"/>
          <w:highlight w:val="none"/>
        </w:rPr>
      </w:pPr>
    </w:p>
    <w:p w14:paraId="7289211A">
      <w:pPr>
        <w:pStyle w:val="14"/>
        <w:snapToGrid w:val="0"/>
        <w:spacing w:before="120" w:after="120"/>
        <w:jc w:val="center"/>
        <w:outlineLvl w:val="0"/>
        <w:rPr>
          <w:rFonts w:hint="eastAsia" w:ascii="宋体" w:hAnsi="宋体" w:eastAsia="宋体" w:cs="宋体"/>
          <w:b/>
          <w:color w:val="auto"/>
          <w:sz w:val="32"/>
          <w:szCs w:val="32"/>
          <w:highlight w:val="none"/>
        </w:rPr>
      </w:pPr>
    </w:p>
    <w:p w14:paraId="3F5A07B3">
      <w:pPr>
        <w:pStyle w:val="14"/>
        <w:snapToGrid w:val="0"/>
        <w:spacing w:before="120" w:after="120"/>
        <w:jc w:val="center"/>
        <w:outlineLvl w:val="0"/>
        <w:rPr>
          <w:rFonts w:hint="eastAsia" w:ascii="宋体" w:hAnsi="宋体" w:eastAsia="宋体" w:cs="宋体"/>
          <w:b/>
          <w:color w:val="auto"/>
          <w:sz w:val="32"/>
          <w:szCs w:val="32"/>
          <w:highlight w:val="none"/>
        </w:rPr>
      </w:pPr>
    </w:p>
    <w:p w14:paraId="3C3E66B4">
      <w:pPr>
        <w:pStyle w:val="14"/>
        <w:snapToGrid w:val="0"/>
        <w:spacing w:before="120" w:after="120"/>
        <w:jc w:val="center"/>
        <w:outlineLvl w:val="0"/>
        <w:rPr>
          <w:rFonts w:hint="eastAsia" w:ascii="宋体" w:hAnsi="宋体" w:eastAsia="宋体" w:cs="宋体"/>
          <w:b/>
          <w:color w:val="auto"/>
          <w:sz w:val="32"/>
          <w:szCs w:val="32"/>
          <w:highlight w:val="none"/>
        </w:rPr>
      </w:pPr>
    </w:p>
    <w:p w14:paraId="2F4F3762">
      <w:pPr>
        <w:pStyle w:val="14"/>
        <w:snapToGrid w:val="0"/>
        <w:spacing w:before="120" w:after="120"/>
        <w:jc w:val="center"/>
        <w:outlineLvl w:val="0"/>
        <w:rPr>
          <w:rFonts w:hint="eastAsia" w:ascii="宋体" w:hAnsi="宋体" w:eastAsia="宋体" w:cs="宋体"/>
          <w:b/>
          <w:color w:val="auto"/>
          <w:sz w:val="32"/>
          <w:szCs w:val="32"/>
          <w:highlight w:val="none"/>
        </w:rPr>
      </w:pPr>
    </w:p>
    <w:p w14:paraId="74B27A33">
      <w:pPr>
        <w:pStyle w:val="14"/>
        <w:snapToGrid w:val="0"/>
        <w:spacing w:before="120" w:after="120"/>
        <w:jc w:val="center"/>
        <w:outlineLvl w:val="0"/>
        <w:rPr>
          <w:rFonts w:hint="eastAsia" w:ascii="宋体" w:hAnsi="宋体" w:eastAsia="宋体" w:cs="宋体"/>
          <w:b/>
          <w:color w:val="auto"/>
          <w:sz w:val="32"/>
          <w:szCs w:val="32"/>
          <w:highlight w:val="none"/>
        </w:rPr>
      </w:pPr>
    </w:p>
    <w:p w14:paraId="46A6AE1B">
      <w:pPr>
        <w:pStyle w:val="14"/>
        <w:snapToGrid w:val="0"/>
        <w:spacing w:before="120" w:after="120"/>
        <w:jc w:val="center"/>
        <w:outlineLvl w:val="0"/>
        <w:rPr>
          <w:rFonts w:hint="eastAsia" w:ascii="宋体" w:hAnsi="宋体" w:eastAsia="宋体" w:cs="宋体"/>
          <w:b/>
          <w:color w:val="auto"/>
          <w:sz w:val="32"/>
          <w:szCs w:val="32"/>
          <w:highlight w:val="none"/>
        </w:rPr>
      </w:pPr>
    </w:p>
    <w:p w14:paraId="59428424">
      <w:pPr>
        <w:pStyle w:val="5"/>
        <w:rPr>
          <w:rFonts w:hint="eastAsia" w:ascii="宋体" w:hAnsi="宋体" w:eastAsia="宋体" w:cs="宋体"/>
          <w:color w:val="auto"/>
          <w:sz w:val="48"/>
          <w:szCs w:val="48"/>
          <w:highlight w:val="none"/>
        </w:rPr>
      </w:pPr>
    </w:p>
    <w:bookmarkEnd w:id="7"/>
    <w:bookmarkEnd w:id="8"/>
    <w:p w14:paraId="1BF36ACD">
      <w:pPr>
        <w:pStyle w:val="14"/>
        <w:snapToGrid w:val="0"/>
        <w:spacing w:before="120" w:after="120"/>
        <w:jc w:val="center"/>
        <w:outlineLvl w:val="0"/>
        <w:rPr>
          <w:rFonts w:hint="eastAsia" w:ascii="宋体" w:hAnsi="宋体" w:eastAsia="宋体" w:cs="宋体"/>
          <w:b/>
          <w:color w:val="auto"/>
          <w:sz w:val="48"/>
          <w:szCs w:val="48"/>
          <w:highlight w:val="none"/>
        </w:rPr>
      </w:pPr>
      <w:r>
        <w:rPr>
          <w:rFonts w:hint="eastAsia" w:ascii="宋体" w:hAnsi="宋体" w:eastAsia="宋体" w:cs="宋体"/>
          <w:b/>
          <w:color w:val="auto"/>
          <w:sz w:val="48"/>
          <w:szCs w:val="48"/>
          <w:highlight w:val="none"/>
        </w:rPr>
        <w:t>第四章  评标方法及评分标准</w:t>
      </w:r>
    </w:p>
    <w:p w14:paraId="587B5633">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宋体" w:cs="宋体"/>
          <w:b/>
          <w:color w:val="auto"/>
          <w:sz w:val="32"/>
          <w:szCs w:val="32"/>
          <w:highlight w:val="none"/>
        </w:rPr>
      </w:pPr>
      <w:r>
        <w:rPr>
          <w:rFonts w:hint="eastAsia" w:ascii="宋体" w:hAnsi="宋体" w:eastAsia="宋体" w:cs="宋体"/>
          <w:bCs/>
          <w:color w:val="auto"/>
          <w:sz w:val="32"/>
          <w:szCs w:val="32"/>
          <w:highlight w:val="none"/>
        </w:rPr>
        <w:br w:type="page"/>
      </w:r>
      <w:r>
        <w:rPr>
          <w:rFonts w:hint="eastAsia" w:ascii="宋体" w:hAnsi="宋体" w:eastAsia="宋体" w:cs="宋体"/>
          <w:b/>
          <w:color w:val="auto"/>
          <w:sz w:val="36"/>
          <w:szCs w:val="36"/>
          <w:highlight w:val="none"/>
        </w:rPr>
        <w:t>评标方法及评分标准</w:t>
      </w:r>
    </w:p>
    <w:p w14:paraId="6C434CAF">
      <w:pPr>
        <w:pStyle w:val="19"/>
        <w:ind w:left="0" w:leftChars="0" w:firstLine="0" w:firstLineChars="0"/>
        <w:jc w:val="center"/>
        <w:rPr>
          <w:rFonts w:hint="eastAsia" w:ascii="宋体" w:hAnsi="宋体" w:eastAsia="宋体" w:cs="宋体"/>
          <w:color w:val="auto"/>
          <w:sz w:val="21"/>
          <w:szCs w:val="21"/>
          <w:highlight w:val="none"/>
        </w:rPr>
      </w:pPr>
    </w:p>
    <w:p w14:paraId="44C3C1C7">
      <w:pPr>
        <w:pStyle w:val="14"/>
        <w:pageBreakBefore w:val="0"/>
        <w:kinsoku/>
        <w:wordWrap/>
        <w:overflowPunct/>
        <w:topLinePunct w:val="0"/>
        <w:autoSpaceDE/>
        <w:autoSpaceDN/>
        <w:bidi w:val="0"/>
        <w:spacing w:line="400" w:lineRule="exact"/>
        <w:ind w:firstLine="517" w:firstLineChars="245"/>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一、评标原则</w:t>
      </w:r>
    </w:p>
    <w:p w14:paraId="0AAB242E">
      <w:pPr>
        <w:pStyle w:val="14"/>
        <w:pageBreakBefore w:val="0"/>
        <w:kinsoku/>
        <w:wordWrap/>
        <w:overflowPunct/>
        <w:topLinePunct w:val="0"/>
        <w:autoSpaceDE/>
        <w:autoSpaceDN/>
        <w:bidi w:val="0"/>
        <w:spacing w:line="400" w:lineRule="exact"/>
        <w:ind w:firstLine="482" w:firstLineChars="23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(一)评委组成：本招标采购项目的</w:t>
      </w:r>
      <w:r>
        <w:rPr>
          <w:rFonts w:hint="eastAsia" w:ascii="宋体" w:hAnsi="宋体" w:eastAsia="宋体" w:cs="宋体"/>
          <w:color w:val="auto"/>
          <w:spacing w:val="-4"/>
          <w:sz w:val="21"/>
          <w:szCs w:val="21"/>
          <w:highlight w:val="none"/>
        </w:rPr>
        <w:t>评标委员会由采购人代表和评审专家组成，成员人数应当为5人以上单数，其中评审专家不得少于成员总数的三分之二。</w:t>
      </w:r>
    </w:p>
    <w:p w14:paraId="7C0F9D01">
      <w:pPr>
        <w:pStyle w:val="14"/>
        <w:pageBreakBefore w:val="0"/>
        <w:kinsoku/>
        <w:wordWrap/>
        <w:overflowPunct/>
        <w:topLinePunct w:val="0"/>
        <w:autoSpaceDE/>
        <w:autoSpaceDN/>
        <w:bidi w:val="0"/>
        <w:spacing w:line="400" w:lineRule="exact"/>
        <w:ind w:firstLine="499" w:firstLineChars="238"/>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(二)评标依据：评委将以招投标文件为评标依据，对投标人的投标内容按百分制打分。</w:t>
      </w:r>
    </w:p>
    <w:p w14:paraId="7BDB7904">
      <w:pPr>
        <w:pStyle w:val="14"/>
        <w:pageBreakBefore w:val="0"/>
        <w:kinsoku/>
        <w:wordWrap/>
        <w:overflowPunct/>
        <w:topLinePunct w:val="0"/>
        <w:autoSpaceDE/>
        <w:autoSpaceDN/>
        <w:bidi w:val="0"/>
        <w:spacing w:line="400" w:lineRule="exact"/>
        <w:ind w:firstLine="510" w:firstLineChars="243"/>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(三)评标方式：以封闭方式进行。</w:t>
      </w:r>
    </w:p>
    <w:p w14:paraId="6A65C0F0">
      <w:pPr>
        <w:pStyle w:val="5"/>
        <w:pageBreakBefore w:val="0"/>
        <w:kinsoku/>
        <w:wordWrap/>
        <w:overflowPunct/>
        <w:topLinePunct w:val="0"/>
        <w:autoSpaceDE/>
        <w:autoSpaceDN/>
        <w:bidi w:val="0"/>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（四）无效投标处理原则：在评标过程中，包括在异常低价认定程序中被认定为无效的投标，其投标文件不再进入后续评审阶段，也不参与得分计算与汇总排名。</w:t>
      </w:r>
    </w:p>
    <w:p w14:paraId="50871CE5">
      <w:pPr>
        <w:pStyle w:val="14"/>
        <w:pageBreakBefore w:val="0"/>
        <w:kinsoku/>
        <w:wordWrap/>
        <w:overflowPunct/>
        <w:topLinePunct w:val="0"/>
        <w:autoSpaceDE/>
        <w:autoSpaceDN/>
        <w:bidi w:val="0"/>
        <w:spacing w:line="400" w:lineRule="exact"/>
        <w:ind w:firstLine="512" w:firstLineChars="243"/>
        <w:textAlignment w:val="auto"/>
        <w:rPr>
          <w:rFonts w:hint="eastAsia" w:ascii="宋体" w:hAnsi="宋体" w:eastAsia="宋体" w:cs="宋体"/>
          <w:b/>
          <w:color w:val="auto"/>
          <w:sz w:val="21"/>
          <w:szCs w:val="21"/>
          <w:highlight w:val="none"/>
        </w:rPr>
      </w:pPr>
      <w:r>
        <w:rPr>
          <w:rFonts w:hint="eastAsia" w:ascii="宋体" w:hAnsi="宋体" w:eastAsia="宋体" w:cs="宋体"/>
          <w:b/>
          <w:bCs w:val="0"/>
          <w:color w:val="auto"/>
          <w:sz w:val="21"/>
          <w:szCs w:val="21"/>
          <w:highlight w:val="none"/>
        </w:rPr>
        <w:t>二、评</w:t>
      </w:r>
      <w:r>
        <w:rPr>
          <w:rFonts w:hint="eastAsia" w:ascii="宋体" w:hAnsi="宋体" w:eastAsia="宋体" w:cs="宋体"/>
          <w:b/>
          <w:color w:val="auto"/>
          <w:sz w:val="21"/>
          <w:szCs w:val="21"/>
          <w:highlight w:val="none"/>
        </w:rPr>
        <w:t>标方法</w:t>
      </w:r>
    </w:p>
    <w:p w14:paraId="1032B74F">
      <w:pPr>
        <w:pStyle w:val="14"/>
        <w:pageBreakBefore w:val="0"/>
        <w:kinsoku/>
        <w:wordWrap/>
        <w:overflowPunct/>
        <w:topLinePunct w:val="0"/>
        <w:autoSpaceDE/>
        <w:autoSpaceDN/>
        <w:bidi w:val="0"/>
        <w:spacing w:line="400" w:lineRule="exact"/>
        <w:ind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（一）对进入详评的，采用百分制综合评分法。</w:t>
      </w:r>
    </w:p>
    <w:p w14:paraId="734D37FA">
      <w:pPr>
        <w:pStyle w:val="14"/>
        <w:pageBreakBefore w:val="0"/>
        <w:kinsoku/>
        <w:wordWrap/>
        <w:overflowPunct/>
        <w:topLinePunct w:val="0"/>
        <w:autoSpaceDE/>
        <w:autoSpaceDN/>
        <w:bidi w:val="0"/>
        <w:spacing w:line="400" w:lineRule="exact"/>
        <w:ind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（二）计分办法（按四舍五入取至百分位）：</w:t>
      </w:r>
    </w:p>
    <w:p w14:paraId="228B9CC8">
      <w:pPr>
        <w:pStyle w:val="14"/>
        <w:pageBreakBefore w:val="0"/>
        <w:kinsoku/>
        <w:wordWrap/>
        <w:overflowPunct/>
        <w:topLinePunct w:val="0"/>
        <w:autoSpaceDE/>
        <w:autoSpaceDN/>
        <w:bidi w:val="0"/>
        <w:spacing w:line="400" w:lineRule="exact"/>
        <w:ind w:firstLine="502" w:firstLineChars="238"/>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1、价格分</w:t>
      </w:r>
      <w:r>
        <w:rPr>
          <w:rFonts w:hint="eastAsia" w:ascii="宋体" w:hAnsi="宋体" w:eastAsia="宋体" w:cs="宋体"/>
          <w:b/>
          <w:bCs/>
          <w:color w:val="auto"/>
          <w:spacing w:val="-8"/>
          <w:sz w:val="21"/>
          <w:szCs w:val="21"/>
          <w:highlight w:val="none"/>
        </w:rPr>
        <w:t>………………………………………………………………………………………</w:t>
      </w:r>
      <w:r>
        <w:rPr>
          <w:rFonts w:hint="eastAsia" w:ascii="宋体" w:hAnsi="宋体" w:eastAsia="宋体" w:cs="宋体"/>
          <w:b/>
          <w:color w:val="auto"/>
          <w:sz w:val="21"/>
          <w:szCs w:val="21"/>
          <w:highlight w:val="none"/>
        </w:rPr>
        <w:t>30分</w:t>
      </w:r>
    </w:p>
    <w:p w14:paraId="2F8BCDE2">
      <w:pPr>
        <w:pStyle w:val="30"/>
        <w:pageBreakBefore w:val="0"/>
        <w:kinsoku/>
        <w:wordWrap/>
        <w:overflowPunct/>
        <w:topLinePunct w:val="0"/>
        <w:autoSpaceDE/>
        <w:autoSpaceDN/>
        <w:bidi w:val="0"/>
        <w:adjustRightInd w:val="0"/>
        <w:snapToGrid w:val="0"/>
        <w:spacing w:line="400" w:lineRule="exact"/>
        <w:ind w:firstLine="378" w:firstLineChars="1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bCs/>
          <w:color w:val="auto"/>
          <w:sz w:val="21"/>
          <w:szCs w:val="21"/>
          <w:highlight w:val="none"/>
        </w:rPr>
        <w:t>符合《政府采购促进中小企业发展管理办法》（财库〔2020〕46号）规定条件且按该办法中规定的格式提供了《中小企业声明函》的小型和微型企业参与投标，对其投标报价给予10%的扣除，</w:t>
      </w:r>
      <w:r>
        <w:rPr>
          <w:rFonts w:hint="eastAsia" w:ascii="宋体" w:hAnsi="宋体" w:eastAsia="宋体" w:cs="宋体"/>
          <w:color w:val="auto"/>
          <w:sz w:val="21"/>
          <w:szCs w:val="21"/>
          <w:highlight w:val="none"/>
        </w:rPr>
        <w:t>扣除后的价格为评标价，即评标价=投标价×（1-10%）；</w:t>
      </w:r>
    </w:p>
    <w:p w14:paraId="4BEC3C73">
      <w:pPr>
        <w:pStyle w:val="30"/>
        <w:pageBreakBefore w:val="0"/>
        <w:kinsoku/>
        <w:wordWrap/>
        <w:overflowPunct/>
        <w:topLinePunct w:val="0"/>
        <w:autoSpaceDE/>
        <w:autoSpaceDN/>
        <w:bidi w:val="0"/>
        <w:adjustRightInd w:val="0"/>
        <w:snapToGrid w:val="0"/>
        <w:spacing w:line="400" w:lineRule="exact"/>
        <w:ind w:firstLine="378" w:firstLineChars="1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符合《国务院办公厅关于在政府采购中实施本国产品标准及相关政策的通知》（国办发〔2025〕34号）规定</w:t>
      </w:r>
      <w:r>
        <w:rPr>
          <w:rFonts w:hint="eastAsia" w:ascii="宋体" w:hAnsi="宋体" w:eastAsia="宋体" w:cs="宋体"/>
          <w:bCs/>
          <w:color w:val="auto"/>
          <w:sz w:val="21"/>
          <w:szCs w:val="21"/>
          <w:highlight w:val="none"/>
        </w:rPr>
        <w:t>条件且按该通知中规定的格式提供了《关于符合本国产品标准的声明函》的供应商参与投标，对其投标报价给予20%的扣除，</w:t>
      </w:r>
      <w:r>
        <w:rPr>
          <w:rFonts w:hint="eastAsia" w:ascii="宋体" w:hAnsi="宋体" w:eastAsia="宋体" w:cs="宋体"/>
          <w:color w:val="auto"/>
          <w:sz w:val="21"/>
          <w:szCs w:val="21"/>
          <w:highlight w:val="none"/>
        </w:rPr>
        <w:t>扣除后的价格为评标价，即评标价=投标价×（1-20%）；除上述情况外，评标价=投标价。</w:t>
      </w:r>
    </w:p>
    <w:p w14:paraId="30BF2FF3">
      <w:pPr>
        <w:pStyle w:val="14"/>
        <w:pageBreakBefore w:val="0"/>
        <w:kinsoku/>
        <w:wordWrap/>
        <w:overflowPunct/>
        <w:topLinePunct w:val="0"/>
        <w:autoSpaceDE/>
        <w:autoSpaceDN/>
        <w:bidi w:val="0"/>
        <w:spacing w:line="400" w:lineRule="exact"/>
        <w:ind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投标产品生产企业</w:t>
      </w:r>
      <w:r>
        <w:rPr>
          <w:rFonts w:hint="eastAsia" w:ascii="宋体" w:hAnsi="宋体" w:eastAsia="宋体" w:cs="宋体"/>
          <w:color w:val="auto"/>
          <w:sz w:val="21"/>
          <w:szCs w:val="21"/>
          <w:highlight w:val="none"/>
        </w:rPr>
        <w:t>提供企业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14:paraId="73A27A63">
      <w:pPr>
        <w:pStyle w:val="14"/>
        <w:pageBreakBefore w:val="0"/>
        <w:kinsoku/>
        <w:wordWrap/>
        <w:overflowPunct/>
        <w:topLinePunct w:val="0"/>
        <w:autoSpaceDE/>
        <w:autoSpaceDN/>
        <w:bidi w:val="0"/>
        <w:spacing w:line="400" w:lineRule="exact"/>
        <w:ind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rPr>
        <w:t>投标产品提供</w:t>
      </w:r>
      <w:r>
        <w:rPr>
          <w:rFonts w:hint="eastAsia" w:ascii="宋体" w:hAnsi="宋体" w:eastAsia="宋体" w:cs="宋体"/>
          <w:color w:val="auto"/>
          <w:sz w:val="21"/>
          <w:szCs w:val="21"/>
          <w:highlight w:val="none"/>
        </w:rPr>
        <w:t>企业按《关于促进残疾人就业政府采购政策的通知》(财库〔2017〕141号)认定为残疾人福利性单位的，在政府采购活动中，残疾人福利性单位视同小型、微型企业。残疾人福利性单位参加政府采购活动时，应当提供该通知规定的《残疾人福利性单位声明函》，并对声明的真实性负责。</w:t>
      </w:r>
    </w:p>
    <w:p w14:paraId="1D4831F4">
      <w:pPr>
        <w:pStyle w:val="14"/>
        <w:pageBreakBefore w:val="0"/>
        <w:kinsoku/>
        <w:wordWrap/>
        <w:overflowPunct/>
        <w:topLinePunct w:val="0"/>
        <w:autoSpaceDE/>
        <w:autoSpaceDN/>
        <w:bidi w:val="0"/>
        <w:spacing w:line="400" w:lineRule="exact"/>
        <w:ind w:firstLine="210" w:firstLineChars="1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（2）以满足招标文件要求且评标价最低的投标人的评标价为评标基准价，其价格分为</w:t>
      </w:r>
      <w:r>
        <w:rPr>
          <w:rFonts w:hint="eastAsia" w:ascii="宋体" w:hAnsi="宋体" w:eastAsia="宋体" w:cs="宋体"/>
          <w:b/>
          <w:color w:val="auto"/>
          <w:sz w:val="21"/>
          <w:szCs w:val="21"/>
          <w:highlight w:val="none"/>
        </w:rPr>
        <w:t>30</w:t>
      </w:r>
      <w:r>
        <w:rPr>
          <w:rFonts w:hint="eastAsia" w:ascii="宋体" w:hAnsi="宋体" w:eastAsia="宋体" w:cs="宋体"/>
          <w:color w:val="auto"/>
          <w:sz w:val="21"/>
          <w:szCs w:val="21"/>
          <w:highlight w:val="none"/>
        </w:rPr>
        <w:t>分。</w:t>
      </w:r>
    </w:p>
    <w:p w14:paraId="2EC1BBF4">
      <w:pPr>
        <w:pStyle w:val="14"/>
        <w:pageBreakBefore w:val="0"/>
        <w:kinsoku/>
        <w:wordWrap/>
        <w:overflowPunct/>
        <w:topLinePunct w:val="0"/>
        <w:autoSpaceDE/>
        <w:autoSpaceDN/>
        <w:bidi w:val="0"/>
        <w:spacing w:line="400" w:lineRule="exac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 xml:space="preserve">   （3）某投标人价格分</w:t>
      </w:r>
      <w:r>
        <w:rPr>
          <w:rFonts w:hint="eastAsia" w:ascii="宋体" w:hAnsi="宋体" w:eastAsia="宋体" w:cs="宋体"/>
          <w:b/>
          <w:color w:val="auto"/>
          <w:sz w:val="21"/>
          <w:szCs w:val="21"/>
          <w:highlight w:val="none"/>
        </w:rPr>
        <w:t xml:space="preserve"> =评标基准价（金额）/某投标人评标价（金额）×30分</w:t>
      </w:r>
    </w:p>
    <w:p w14:paraId="4CDF25CF">
      <w:pPr>
        <w:pageBreakBefore w:val="0"/>
        <w:kinsoku/>
        <w:wordWrap/>
        <w:overflowPunct/>
        <w:topLinePunct w:val="0"/>
        <w:autoSpaceDE/>
        <w:autoSpaceDN/>
        <w:bidi w:val="0"/>
        <w:spacing w:line="400" w:lineRule="exact"/>
        <w:ind w:firstLine="422"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bCs w:val="0"/>
          <w:color w:val="auto"/>
          <w:sz w:val="21"/>
          <w:szCs w:val="21"/>
          <w:highlight w:val="none"/>
          <w:lang w:val="en-US" w:eastAsia="zh-CN"/>
        </w:rPr>
        <w:t>2、</w:t>
      </w:r>
      <w:r>
        <w:rPr>
          <w:rFonts w:hint="eastAsia" w:ascii="宋体" w:hAnsi="宋体" w:eastAsia="宋体" w:cs="宋体"/>
          <w:b/>
          <w:bCs w:val="0"/>
          <w:color w:val="auto"/>
          <w:sz w:val="21"/>
          <w:szCs w:val="21"/>
          <w:highlight w:val="none"/>
        </w:rPr>
        <w:t>技术分</w:t>
      </w:r>
      <w:r>
        <w:rPr>
          <w:rFonts w:hint="eastAsia" w:ascii="宋体" w:hAnsi="宋体" w:eastAsia="宋体" w:cs="宋体"/>
          <w:b/>
          <w:bCs w:val="0"/>
          <w:color w:val="auto"/>
          <w:spacing w:val="-8"/>
          <w:sz w:val="21"/>
          <w:szCs w:val="21"/>
          <w:highlight w:val="none"/>
        </w:rPr>
        <w:t>…………………………………………………………………………………………</w:t>
      </w:r>
      <w:r>
        <w:rPr>
          <w:rFonts w:hint="eastAsia" w:ascii="宋体" w:hAnsi="宋体" w:eastAsia="宋体" w:cs="宋体"/>
          <w:b/>
          <w:bCs w:val="0"/>
          <w:color w:val="auto"/>
          <w:sz w:val="21"/>
          <w:szCs w:val="21"/>
          <w:highlight w:val="none"/>
          <w:lang w:val="en-US" w:eastAsia="zh-CN"/>
        </w:rPr>
        <w:t>63</w:t>
      </w:r>
      <w:r>
        <w:rPr>
          <w:rFonts w:hint="eastAsia" w:ascii="宋体" w:hAnsi="宋体" w:eastAsia="宋体" w:cs="宋体"/>
          <w:b/>
          <w:bCs w:val="0"/>
          <w:color w:val="auto"/>
          <w:sz w:val="21"/>
          <w:szCs w:val="21"/>
          <w:highlight w:val="none"/>
        </w:rPr>
        <w:t>分</w:t>
      </w:r>
    </w:p>
    <w:p w14:paraId="7804B40C">
      <w:pPr>
        <w:pageBreakBefore w:val="0"/>
        <w:kinsoku/>
        <w:wordWrap/>
        <w:overflowPunct/>
        <w:topLinePunct w:val="0"/>
        <w:autoSpaceDE/>
        <w:autoSpaceDN/>
        <w:bidi w:val="0"/>
        <w:spacing w:line="400" w:lineRule="exact"/>
        <w:ind w:firstLine="420" w:firstLineChars="200"/>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技术性能分（满分25分）</w:t>
      </w:r>
    </w:p>
    <w:p w14:paraId="19586735">
      <w:pPr>
        <w:keepNext w:val="0"/>
        <w:keepLines w:val="0"/>
        <w:pageBreakBefore w:val="0"/>
        <w:widowControl/>
        <w:numPr>
          <w:ilvl w:val="-1"/>
          <w:numId w:val="0"/>
        </w:numPr>
        <w:kinsoku/>
        <w:wordWrap w:val="0"/>
        <w:overflowPunct/>
        <w:topLinePunct w:val="0"/>
        <w:autoSpaceDE/>
        <w:autoSpaceDN/>
        <w:bidi w:val="0"/>
        <w:adjustRightInd/>
        <w:spacing w:line="400" w:lineRule="exact"/>
        <w:ind w:firstLine="405" w:firstLineChars="0"/>
        <w:jc w:val="left"/>
        <w:textAlignment w:val="auto"/>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sz w:val="21"/>
          <w:szCs w:val="21"/>
          <w:highlight w:val="none"/>
        </w:rPr>
        <w:t>1）</w:t>
      </w:r>
      <w:r>
        <w:rPr>
          <w:rFonts w:hint="eastAsia" w:ascii="宋体" w:hAnsi="宋体" w:eastAsia="宋体" w:cs="宋体"/>
          <w:color w:val="auto"/>
          <w:szCs w:val="21"/>
          <w:highlight w:val="none"/>
          <w:lang w:bidi="ar"/>
        </w:rPr>
        <w:t>陶瓷台面耐污染性能：依据 GB/T 24820-2024 检测，试件正面及截面（测试对象为同一块样品）污染物接触时间不少于 48 h，污染物至少包含二氯甲烷（99.8%）、丙酮（99.5%）、碘伏（碘酒）等，检测结果均为 5 级，表面无明显变化；其中截面区域指台面四周可见截面或杯槽开孔截面。满足要求并提供检测报告复印件的，得 1 分。陶瓷台面表面质量：依据 GB/T 3810.2-2016 检验（委托抽样检验），至少 98% 的陶瓷台面主要区域无明显缺陷，检测结果符合要求并提供检测报告复印件的，得 1 分。陶瓷台面尺寸允许偏差：依据 GB/T 3810.2-2016 检验（委托抽样检验），长度、宽度的实际尺寸与工作尺寸偏差不超过 ±0.3%，最大不超过 ±5 mm，检测结果符合要求并提供检测报告复印件的，得 1 分。本项最高得 3 分。</w:t>
      </w:r>
    </w:p>
    <w:p w14:paraId="587488B0">
      <w:pPr>
        <w:keepNext w:val="0"/>
        <w:keepLines w:val="0"/>
        <w:pageBreakBefore w:val="0"/>
        <w:widowControl/>
        <w:numPr>
          <w:ilvl w:val="-1"/>
          <w:numId w:val="0"/>
        </w:numPr>
        <w:kinsoku/>
        <w:wordWrap w:val="0"/>
        <w:overflowPunct/>
        <w:topLinePunct w:val="0"/>
        <w:autoSpaceDE/>
        <w:autoSpaceDN/>
        <w:bidi w:val="0"/>
        <w:adjustRightInd/>
        <w:spacing w:line="400" w:lineRule="exact"/>
        <w:ind w:firstLine="405" w:firstLineChars="0"/>
        <w:jc w:val="left"/>
        <w:textAlignment w:val="auto"/>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2）</w:t>
      </w:r>
      <w:r>
        <w:rPr>
          <w:rFonts w:hint="eastAsia" w:ascii="宋体" w:hAnsi="宋体" w:eastAsia="宋体" w:cs="宋体"/>
          <w:color w:val="auto"/>
          <w:kern w:val="2"/>
          <w:sz w:val="21"/>
          <w:szCs w:val="21"/>
          <w:highlight w:val="none"/>
          <w:lang w:eastAsia="zh-CN" w:bidi="ar"/>
        </w:rPr>
        <w:t xml:space="preserve"> 依据 GB/T 17657-2022 检测，实芯理化板台面物理性能满足以下技术参数：拉伸强度 ≥69.9 MPa；抗弯强度 ≥136 MPa；弯曲弹性模量 ≥1.71×10⁴ MPa；抗冲击性能（0.324 kg，1 m）：压痕直径 ≤5.40 mm，无破损；表观密度 ≥1.45 g/cm³；表面耐高温性能：表面无裂纹；表面耐干热：5 级，无变化；表面耐龟裂性：5 级，用 6 倍放大镜观察表面无裂纹；表面耐污染性能：5 级，无变化；耐磨性能符合 GB/T 17657-2022 中 4.45 的规定。满足要求并提供检测报告复印件的，得 3 分。依据 GB/T 17657-2022 检测，实芯理化板化学性能：经 65% 硝酸、85% 磷酸、40% 氢氧化钠、98% 硫酸、99% 醋酸、40% 氢氟酸 6 种实验室常用化学试剂，在室温 24 h、覆盖及不覆盖玻璃板条件下测试，检验结果均为"无明显变化"，分级结果为 5 级。满足要求并提供检测报告复印件的，得 1 分。本项最高得 4 分。</w:t>
      </w:r>
    </w:p>
    <w:p w14:paraId="65225391">
      <w:pPr>
        <w:keepNext w:val="0"/>
        <w:keepLines w:val="0"/>
        <w:pageBreakBefore w:val="0"/>
        <w:widowControl/>
        <w:numPr>
          <w:ilvl w:val="-1"/>
          <w:numId w:val="0"/>
        </w:numPr>
        <w:kinsoku/>
        <w:wordWrap w:val="0"/>
        <w:overflowPunct/>
        <w:topLinePunct w:val="0"/>
        <w:autoSpaceDE/>
        <w:autoSpaceDN/>
        <w:bidi w:val="0"/>
        <w:adjustRightInd/>
        <w:spacing w:line="400" w:lineRule="exact"/>
        <w:ind w:firstLine="405" w:firstLineChars="0"/>
        <w:jc w:val="left"/>
        <w:textAlignment w:val="auto"/>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3</w:t>
      </w:r>
      <w:r>
        <w:rPr>
          <w:rFonts w:hint="eastAsia" w:ascii="宋体" w:hAnsi="宋体" w:eastAsia="宋体" w:cs="宋体"/>
          <w:color w:val="auto"/>
          <w:kern w:val="2"/>
          <w:sz w:val="21"/>
          <w:szCs w:val="21"/>
          <w:highlight w:val="none"/>
          <w:lang w:eastAsia="zh-CN" w:bidi="ar"/>
        </w:rPr>
        <w:t>）</w:t>
      </w:r>
      <w:r>
        <w:rPr>
          <w:rFonts w:hint="eastAsia" w:ascii="宋体" w:hAnsi="宋体" w:eastAsia="宋体" w:cs="宋体"/>
          <w:color w:val="auto"/>
          <w:kern w:val="2"/>
          <w:sz w:val="21"/>
          <w:szCs w:val="21"/>
          <w:highlight w:val="none"/>
          <w:lang w:eastAsia="zh-CN" w:bidi="ar"/>
        </w:rPr>
        <w:t>依据 GB/T 17657-2022 检测，通风柜内衬板物理性能要求：耐高温性能，至少 3 个试件表面无裂纹；耐水蒸气性能，5 级；耐开裂性能，在 50 ℃ 环境中处理 6 h 后试件装饰面无开裂；耐沸水性能，表面质量 5 级、边缘质量 5 级。满足要求并提供检测报告复印件的，得 2 分。</w:t>
      </w:r>
    </w:p>
    <w:p w14:paraId="2E036C46">
      <w:pPr>
        <w:pageBreakBefore w:val="0"/>
        <w:numPr>
          <w:ilvl w:val="-1"/>
          <w:numId w:val="0"/>
        </w:numPr>
        <w:kinsoku/>
        <w:wordWrap w:val="0"/>
        <w:overflowPunct/>
        <w:topLinePunct w:val="0"/>
        <w:autoSpaceDE/>
        <w:autoSpaceDN/>
        <w:bidi w:val="0"/>
        <w:spacing w:line="400" w:lineRule="exact"/>
        <w:ind w:firstLine="405"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strike w:val="0"/>
          <w:dstrike w:val="0"/>
          <w:color w:val="auto"/>
          <w:sz w:val="21"/>
          <w:szCs w:val="21"/>
          <w:highlight w:val="none"/>
          <w:lang w:val="en-US" w:eastAsia="zh-CN"/>
        </w:rPr>
        <w:t>提供</w:t>
      </w:r>
      <w:r>
        <w:rPr>
          <w:rFonts w:hint="eastAsia" w:ascii="宋体" w:hAnsi="宋体" w:eastAsia="宋体" w:cs="宋体"/>
          <w:color w:val="auto"/>
          <w:sz w:val="21"/>
          <w:szCs w:val="21"/>
          <w:highlight w:val="none"/>
          <w:lang w:val="en-US" w:eastAsia="zh-CN"/>
        </w:rPr>
        <w:t>水槽的检测报告复印件，</w:t>
      </w:r>
      <w:r>
        <w:rPr>
          <w:rFonts w:hint="eastAsia" w:ascii="宋体" w:hAnsi="宋体" w:eastAsia="宋体" w:cs="宋体"/>
          <w:color w:val="auto"/>
          <w:kern w:val="2"/>
          <w:sz w:val="21"/>
          <w:szCs w:val="21"/>
          <w:highlight w:val="none"/>
          <w:lang w:bidi="ar"/>
        </w:rPr>
        <w:t>依据GB/T17657-2022标准，同一份检测报告需包含</w:t>
      </w:r>
      <w:r>
        <w:rPr>
          <w:rFonts w:hint="eastAsia" w:ascii="宋体" w:hAnsi="宋体" w:eastAsia="宋体" w:cs="宋体"/>
          <w:color w:val="auto"/>
          <w:kern w:val="2"/>
          <w:sz w:val="21"/>
          <w:szCs w:val="21"/>
          <w:highlight w:val="none"/>
          <w:lang w:val="en-US" w:eastAsia="zh-CN" w:bidi="ar"/>
        </w:rPr>
        <w:t>以下</w:t>
      </w:r>
      <w:r>
        <w:rPr>
          <w:rFonts w:hint="eastAsia" w:ascii="宋体" w:hAnsi="宋体" w:eastAsia="宋体" w:cs="宋体"/>
          <w:color w:val="auto"/>
          <w:kern w:val="2"/>
          <w:sz w:val="21"/>
          <w:szCs w:val="21"/>
          <w:highlight w:val="none"/>
          <w:lang w:bidi="ar"/>
        </w:rPr>
        <w:t>有机、无机试剂</w:t>
      </w:r>
      <w:r>
        <w:rPr>
          <w:rFonts w:hint="eastAsia" w:ascii="宋体" w:hAnsi="宋体" w:eastAsia="宋体" w:cs="宋体"/>
          <w:color w:val="auto"/>
          <w:kern w:val="2"/>
          <w:sz w:val="21"/>
          <w:szCs w:val="21"/>
          <w:highlight w:val="none"/>
          <w:lang w:val="en-US" w:eastAsia="zh-CN" w:bidi="ar"/>
        </w:rPr>
        <w:t>：</w:t>
      </w:r>
      <w:r>
        <w:rPr>
          <w:rFonts w:hint="eastAsia" w:ascii="宋体" w:hAnsi="宋体" w:eastAsia="宋体" w:cs="宋体"/>
          <w:color w:val="auto"/>
          <w:kern w:val="2"/>
          <w:sz w:val="21"/>
          <w:szCs w:val="21"/>
          <w:highlight w:val="none"/>
          <w:lang w:bidi="ar"/>
        </w:rPr>
        <w:t>甲酸（AR，85%）、抗坏血酸（AR）、氨水（氢氧化铵）（AR）、氢氧化钙（AR）、氢氧化钾（AR，≥85.0%）、硫代硫酸钠（≥99.5%）、硫氰酸钾（GR，99%）、已烷（AR，≥97.0%）、四氯化碳、丁酮（甲基乙基酮、甲乙酮）（AR，≥99.0%）、二氯甲烷（AR，≥99.5%）</w:t>
      </w:r>
      <w:r>
        <w:rPr>
          <w:rFonts w:hint="eastAsia" w:ascii="宋体" w:hAnsi="宋体" w:eastAsia="宋体" w:cs="宋体"/>
          <w:color w:val="auto"/>
          <w:kern w:val="2"/>
          <w:sz w:val="21"/>
          <w:szCs w:val="21"/>
          <w:highlight w:val="none"/>
          <w:lang w:eastAsia="zh-CN" w:bidi="ar"/>
        </w:rPr>
        <w:t>，</w:t>
      </w:r>
      <w:r>
        <w:rPr>
          <w:rFonts w:hint="eastAsia" w:ascii="宋体" w:hAnsi="宋体" w:eastAsia="宋体" w:cs="宋体"/>
          <w:color w:val="auto"/>
          <w:kern w:val="2"/>
          <w:sz w:val="21"/>
          <w:szCs w:val="21"/>
          <w:highlight w:val="none"/>
          <w:lang w:bidi="ar"/>
        </w:rPr>
        <w:t>耐污染接触时间≥48h，覆盖/未覆盖玻璃盖板，检验结果均为5级（无明显变化）</w:t>
      </w:r>
      <w:r>
        <w:rPr>
          <w:rFonts w:hint="eastAsia" w:ascii="宋体" w:hAnsi="宋体" w:eastAsia="宋体" w:cs="宋体"/>
          <w:color w:val="auto"/>
          <w:sz w:val="21"/>
          <w:szCs w:val="21"/>
          <w:highlight w:val="none"/>
          <w:lang w:val="en-US" w:eastAsia="zh-CN"/>
        </w:rPr>
        <w:t>，得分2分。</w:t>
      </w:r>
    </w:p>
    <w:p w14:paraId="4A7FD886">
      <w:pPr>
        <w:keepNext w:val="0"/>
        <w:keepLines w:val="0"/>
        <w:pageBreakBefore w:val="0"/>
        <w:widowControl/>
        <w:numPr>
          <w:ilvl w:val="-1"/>
          <w:numId w:val="0"/>
        </w:numPr>
        <w:kinsoku/>
        <w:wordWrap w:val="0"/>
        <w:overflowPunct/>
        <w:topLinePunct w:val="0"/>
        <w:autoSpaceDE/>
        <w:autoSpaceDN/>
        <w:bidi w:val="0"/>
        <w:adjustRightInd/>
        <w:spacing w:line="400" w:lineRule="exact"/>
        <w:ind w:firstLine="405" w:firstLineChars="0"/>
        <w:jc w:val="left"/>
        <w:textAlignment w:val="auto"/>
        <w:rPr>
          <w:rFonts w:hint="eastAsia" w:ascii="宋体" w:hAnsi="宋体" w:eastAsia="宋体" w:cs="宋体"/>
          <w:color w:val="auto"/>
          <w:sz w:val="21"/>
          <w:szCs w:val="21"/>
          <w:highlight w:val="none"/>
          <w:lang w:val="en-US" w:bidi="ar"/>
        </w:rPr>
      </w:pPr>
      <w:r>
        <w:rPr>
          <w:rFonts w:hint="eastAsia" w:ascii="宋体" w:hAnsi="宋体" w:eastAsia="宋体" w:cs="宋体"/>
          <w:color w:val="auto"/>
          <w:sz w:val="21"/>
          <w:szCs w:val="21"/>
          <w:highlight w:val="none"/>
          <w:lang w:val="en-US" w:eastAsia="zh-CN"/>
        </w:rPr>
        <w:t>5）</w:t>
      </w:r>
      <w:r>
        <w:rPr>
          <w:rFonts w:hint="eastAsia" w:ascii="宋体" w:hAnsi="宋体" w:eastAsia="宋体" w:cs="宋体"/>
          <w:strike w:val="0"/>
          <w:dstrike w:val="0"/>
          <w:color w:val="auto"/>
          <w:sz w:val="21"/>
          <w:szCs w:val="21"/>
          <w:highlight w:val="none"/>
          <w:lang w:val="en-US" w:eastAsia="zh-CN"/>
        </w:rPr>
        <w:t>提供</w:t>
      </w:r>
      <w:r>
        <w:rPr>
          <w:rFonts w:hint="eastAsia" w:ascii="宋体" w:hAnsi="宋体" w:eastAsia="宋体" w:cs="宋体"/>
          <w:color w:val="auto"/>
          <w:sz w:val="21"/>
          <w:szCs w:val="21"/>
          <w:highlight w:val="none"/>
          <w:lang w:val="en-US" w:eastAsia="zh-CN"/>
        </w:rPr>
        <w:t>万向排气罩的检测报告复印件，耐污染性能：耐污染性能：同一份检测报告需包含以下有机、无机试剂：丙酮（AR，≥99.5%）、过氧化氢（双氧水30%）（AR，≥30.0%）、氨水（氢氧化铵）（AR，25-28%）、硼酸（AR）、环己烷（AR，≥99.5%）、己烷（AR，≥97.0%）、戊烷、液体石蜡（AR，99%）、丁酮（甲基乙基酮、甲乙酮）（AR，≥99.0%）、酚酞（分析纯）、甲酚，耐污染接触时间≥48h，覆盖/未覆盖玻璃盖板，检验结果均为5级（无明显变化），得分2分。</w:t>
      </w:r>
    </w:p>
    <w:p w14:paraId="4BDC0287">
      <w:pPr>
        <w:pageBreakBefore w:val="0"/>
        <w:numPr>
          <w:ilvl w:val="-1"/>
          <w:numId w:val="0"/>
        </w:numPr>
        <w:kinsoku/>
        <w:wordWrap w:val="0"/>
        <w:overflowPunct/>
        <w:topLinePunct w:val="0"/>
        <w:autoSpaceDE/>
        <w:autoSpaceDN/>
        <w:bidi w:val="0"/>
        <w:spacing w:line="400" w:lineRule="exact"/>
        <w:ind w:firstLine="405"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6）“陶瓷台面”和</w:t>
      </w:r>
      <w:r>
        <w:rPr>
          <w:rFonts w:hint="eastAsia" w:ascii="宋体" w:hAnsi="宋体" w:eastAsia="宋体" w:cs="宋体"/>
          <w:color w:val="auto"/>
          <w:kern w:val="2"/>
          <w:sz w:val="21"/>
          <w:szCs w:val="21"/>
          <w:highlight w:val="none"/>
          <w:lang w:eastAsia="zh-CN" w:bidi="ar"/>
        </w:rPr>
        <w:t>“</w:t>
      </w:r>
      <w:r>
        <w:rPr>
          <w:rFonts w:hint="eastAsia" w:ascii="宋体" w:hAnsi="宋体" w:eastAsia="宋体" w:cs="宋体"/>
          <w:color w:val="auto"/>
          <w:kern w:val="2"/>
          <w:sz w:val="21"/>
          <w:szCs w:val="21"/>
          <w:highlight w:val="none"/>
          <w:lang w:bidi="ar"/>
        </w:rPr>
        <w:t>实芯理化板</w:t>
      </w:r>
      <w:r>
        <w:rPr>
          <w:rFonts w:hint="eastAsia" w:ascii="宋体" w:hAnsi="宋体" w:eastAsia="宋体" w:cs="宋体"/>
          <w:color w:val="auto"/>
          <w:kern w:val="2"/>
          <w:sz w:val="21"/>
          <w:szCs w:val="21"/>
          <w:highlight w:val="none"/>
          <w:lang w:eastAsia="zh-CN" w:bidi="ar"/>
        </w:rPr>
        <w:t>”</w:t>
      </w:r>
      <w:r>
        <w:rPr>
          <w:rFonts w:hint="eastAsia" w:ascii="宋体" w:hAnsi="宋体" w:eastAsia="宋体" w:cs="宋体"/>
          <w:color w:val="auto"/>
          <w:kern w:val="2"/>
          <w:sz w:val="21"/>
          <w:szCs w:val="21"/>
          <w:highlight w:val="none"/>
          <w:lang w:val="en-US" w:eastAsia="zh-CN" w:bidi="ar"/>
        </w:rPr>
        <w:t>的</w:t>
      </w:r>
      <w:r>
        <w:rPr>
          <w:rFonts w:hint="eastAsia" w:ascii="宋体" w:hAnsi="宋体" w:eastAsia="宋体" w:cs="宋体"/>
          <w:color w:val="auto"/>
          <w:szCs w:val="21"/>
          <w:highlight w:val="none"/>
        </w:rPr>
        <w:t>甲醛释放量</w:t>
      </w:r>
      <w:r>
        <w:rPr>
          <w:rFonts w:hint="eastAsia" w:ascii="宋体" w:hAnsi="宋体" w:eastAsia="宋体" w:cs="宋体"/>
          <w:color w:val="auto"/>
          <w:szCs w:val="21"/>
          <w:highlight w:val="none"/>
          <w:lang w:val="en-US" w:eastAsia="zh-CN"/>
        </w:rPr>
        <w:t>符合</w:t>
      </w:r>
      <w:r>
        <w:rPr>
          <w:rFonts w:hint="eastAsia" w:ascii="宋体" w:hAnsi="宋体" w:eastAsia="宋体" w:cs="宋体"/>
          <w:color w:val="auto"/>
          <w:szCs w:val="21"/>
          <w:highlight w:val="none"/>
        </w:rPr>
        <w:t>E0级限量要求（甲醛释放量≤0.050mg/m³）</w:t>
      </w:r>
      <w:r>
        <w:rPr>
          <w:rFonts w:hint="eastAsia" w:ascii="宋体" w:hAnsi="宋体" w:eastAsia="宋体" w:cs="宋体"/>
          <w:color w:val="auto"/>
          <w:szCs w:val="21"/>
          <w:highlight w:val="none"/>
          <w:lang w:eastAsia="zh-CN"/>
        </w:rPr>
        <w:t>，</w:t>
      </w:r>
      <w:r>
        <w:rPr>
          <w:rFonts w:ascii="Segoe UI Emoji" w:hAnsi="Segoe UI Emoji" w:eastAsia="Segoe UI Emoji" w:cs="Segoe UI Emoji"/>
          <w:i w:val="0"/>
          <w:iCs w:val="0"/>
          <w:caps w:val="0"/>
          <w:color w:val="auto"/>
          <w:spacing w:val="0"/>
          <w:sz w:val="22"/>
          <w:szCs w:val="22"/>
          <w:highlight w:val="none"/>
          <w:shd w:val="clear" w:fill="FFFFFF"/>
        </w:rPr>
        <w:t>两者均</w:t>
      </w:r>
      <w:r>
        <w:rPr>
          <w:rFonts w:hint="eastAsia" w:ascii="宋体" w:hAnsi="宋体" w:eastAsia="宋体" w:cs="宋体"/>
          <w:color w:val="auto"/>
          <w:szCs w:val="21"/>
          <w:highlight w:val="none"/>
          <w:lang w:val="en-US" w:eastAsia="zh-CN"/>
        </w:rPr>
        <w:t>提供检测报告复印件，得2分。</w:t>
      </w:r>
    </w:p>
    <w:p w14:paraId="6A840C20">
      <w:pPr>
        <w:pageBreakBefore w:val="0"/>
        <w:numPr>
          <w:ilvl w:val="-1"/>
          <w:numId w:val="0"/>
        </w:numPr>
        <w:kinsoku/>
        <w:wordWrap w:val="0"/>
        <w:overflowPunct/>
        <w:topLinePunct w:val="0"/>
        <w:autoSpaceDE/>
        <w:autoSpaceDN/>
        <w:bidi w:val="0"/>
        <w:spacing w:line="400" w:lineRule="exact"/>
        <w:ind w:firstLine="405" w:firstLineChars="0"/>
        <w:textAlignment w:val="auto"/>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7）</w:t>
      </w:r>
      <w:r>
        <w:rPr>
          <w:rFonts w:hint="eastAsia" w:ascii="宋体" w:hAnsi="宋体" w:eastAsia="宋体" w:cs="宋体"/>
          <w:strike w:val="0"/>
          <w:dstrike w:val="0"/>
          <w:color w:val="auto"/>
          <w:sz w:val="21"/>
          <w:szCs w:val="21"/>
          <w:highlight w:val="none"/>
          <w:lang w:val="en-US" w:eastAsia="zh-CN"/>
        </w:rPr>
        <w:t>提供</w:t>
      </w:r>
      <w:r>
        <w:rPr>
          <w:rFonts w:hint="eastAsia" w:ascii="宋体" w:hAnsi="宋体" w:eastAsia="宋体" w:cs="宋体"/>
          <w:color w:val="auto"/>
          <w:kern w:val="2"/>
          <w:sz w:val="21"/>
          <w:szCs w:val="21"/>
          <w:highlight w:val="none"/>
          <w:lang w:eastAsia="zh-CN" w:bidi="ar"/>
        </w:rPr>
        <w:t>“陶瓷台面”</w:t>
      </w:r>
      <w:r>
        <w:rPr>
          <w:rFonts w:hint="eastAsia" w:ascii="宋体" w:hAnsi="宋体" w:eastAsia="宋体" w:cs="宋体"/>
          <w:color w:val="auto"/>
          <w:sz w:val="21"/>
          <w:szCs w:val="21"/>
          <w:highlight w:val="none"/>
          <w:lang w:val="en-US" w:eastAsia="zh-CN"/>
        </w:rPr>
        <w:t>的检测报告复印件：</w:t>
      </w:r>
      <w:r>
        <w:rPr>
          <w:rFonts w:hint="eastAsia" w:ascii="宋体" w:hAnsi="宋体" w:eastAsia="宋体" w:cs="宋体"/>
          <w:color w:val="auto"/>
          <w:szCs w:val="21"/>
          <w:highlight w:val="none"/>
        </w:rPr>
        <w:t>陶瓷台面</w:t>
      </w:r>
      <w:r>
        <w:rPr>
          <w:rFonts w:hint="eastAsia" w:ascii="宋体" w:hAnsi="宋体" w:eastAsia="宋体" w:cs="宋体"/>
          <w:color w:val="auto"/>
          <w:szCs w:val="21"/>
          <w:highlight w:val="none"/>
          <w:lang w:val="en-US" w:eastAsia="zh-CN"/>
        </w:rPr>
        <w:t>的</w:t>
      </w:r>
      <w:r>
        <w:rPr>
          <w:rFonts w:hint="eastAsia" w:ascii="宋体" w:hAnsi="宋体" w:eastAsia="宋体" w:cs="宋体"/>
          <w:color w:val="auto"/>
          <w:szCs w:val="21"/>
          <w:highlight w:val="none"/>
        </w:rPr>
        <w:t>放射性核素限量须符合GB 6566-2010《建筑材料放射性核素限量》中A类装饰装修材料的要求，且内照射指数IRa≤1.0、外照射指数Ir≤1.3（为保证更高安全标准，本项目技术要求不低于：IRa≤0.4，Ir≤0.9。）</w:t>
      </w:r>
      <w:r>
        <w:rPr>
          <w:rFonts w:hint="eastAsia" w:ascii="宋体" w:hAnsi="宋体" w:eastAsia="宋体" w:cs="宋体"/>
          <w:color w:val="auto"/>
          <w:kern w:val="2"/>
          <w:sz w:val="21"/>
          <w:szCs w:val="21"/>
          <w:highlight w:val="none"/>
          <w:lang w:eastAsia="zh-CN" w:bidi="ar"/>
        </w:rPr>
        <w:t>，</w:t>
      </w:r>
      <w:r>
        <w:rPr>
          <w:rFonts w:hint="eastAsia" w:ascii="宋体" w:hAnsi="宋体" w:eastAsia="宋体" w:cs="宋体"/>
          <w:color w:val="auto"/>
          <w:kern w:val="2"/>
          <w:sz w:val="21"/>
          <w:szCs w:val="21"/>
          <w:highlight w:val="none"/>
          <w:lang w:val="en-US" w:eastAsia="zh-CN" w:bidi="ar"/>
        </w:rPr>
        <w:t>得分1分。</w:t>
      </w:r>
    </w:p>
    <w:p w14:paraId="157FB810">
      <w:pPr>
        <w:pageBreakBefore w:val="0"/>
        <w:numPr>
          <w:ilvl w:val="-1"/>
          <w:numId w:val="0"/>
        </w:numPr>
        <w:kinsoku/>
        <w:wordWrap w:val="0"/>
        <w:overflowPunct/>
        <w:topLinePunct w:val="0"/>
        <w:autoSpaceDE/>
        <w:autoSpaceDN/>
        <w:bidi w:val="0"/>
        <w:spacing w:line="400" w:lineRule="exact"/>
        <w:ind w:firstLine="405"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8）</w:t>
      </w:r>
      <w:r>
        <w:rPr>
          <w:rFonts w:hint="eastAsia" w:ascii="宋体" w:hAnsi="宋体" w:eastAsia="宋体" w:cs="宋体"/>
          <w:strike w:val="0"/>
          <w:dstrike w:val="0"/>
          <w:color w:val="auto"/>
          <w:sz w:val="21"/>
          <w:szCs w:val="21"/>
          <w:highlight w:val="none"/>
          <w:lang w:val="en-US" w:eastAsia="zh-CN"/>
        </w:rPr>
        <w:t>提供</w:t>
      </w:r>
      <w:r>
        <w:rPr>
          <w:rFonts w:hint="eastAsia" w:ascii="宋体" w:hAnsi="宋体" w:eastAsia="宋体" w:cs="宋体"/>
          <w:color w:val="auto"/>
          <w:sz w:val="21"/>
          <w:szCs w:val="21"/>
          <w:highlight w:val="none"/>
          <w:lang w:val="en-US" w:eastAsia="zh-CN"/>
        </w:rPr>
        <w:t>通风柜内衬板的检测报告复印件，</w:t>
      </w:r>
      <w:r>
        <w:rPr>
          <w:rFonts w:hint="eastAsia" w:ascii="宋体" w:hAnsi="宋体" w:eastAsia="宋体" w:cs="宋体"/>
          <w:color w:val="auto"/>
          <w:szCs w:val="21"/>
          <w:highlight w:val="none"/>
        </w:rPr>
        <w:t>内衬板表面耐污染性能要求：参照GB/T 24820-2024判定依据，检测内容为：乙酸乙酯99%、乙醇99%、甲醛37%、盐酸37%、氢氧化钠饱和溶液、</w:t>
      </w:r>
      <w:r>
        <w:rPr>
          <w:rFonts w:hint="eastAsia" w:ascii="宋体" w:hAnsi="宋体" w:eastAsia="宋体" w:cs="宋体"/>
          <w:color w:val="auto"/>
          <w:szCs w:val="21"/>
          <w:highlight w:val="none"/>
          <w:lang w:eastAsia="zh-CN"/>
        </w:rPr>
        <w:t>马克笔、碘伏（碘酒）、红墨水</w:t>
      </w:r>
      <w:r>
        <w:rPr>
          <w:rFonts w:hint="eastAsia" w:ascii="宋体" w:hAnsi="宋体" w:eastAsia="宋体" w:cs="宋体"/>
          <w:color w:val="auto"/>
          <w:szCs w:val="21"/>
          <w:highlight w:val="none"/>
        </w:rPr>
        <w:t>等多种试剂，接触时长为24h，检测结果为5级</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无明显变化，</w:t>
      </w:r>
      <w:r>
        <w:rPr>
          <w:rFonts w:ascii="Segoe UI Emoji" w:hAnsi="Segoe UI Emoji" w:eastAsia="Segoe UI Emoji" w:cs="Segoe UI Emoji"/>
          <w:i w:val="0"/>
          <w:iCs w:val="0"/>
          <w:caps w:val="0"/>
          <w:color w:val="auto"/>
          <w:spacing w:val="0"/>
          <w:sz w:val="22"/>
          <w:szCs w:val="22"/>
          <w:highlight w:val="none"/>
          <w:shd w:val="clear" w:fill="FFFFFF"/>
        </w:rPr>
        <w:t>提供第三方检测机构出具的检测报告复印件的，</w:t>
      </w:r>
      <w:r>
        <w:rPr>
          <w:rFonts w:hint="eastAsia" w:ascii="宋体" w:hAnsi="宋体" w:eastAsia="宋体" w:cs="宋体"/>
          <w:color w:val="auto"/>
          <w:szCs w:val="21"/>
          <w:highlight w:val="none"/>
        </w:rPr>
        <w:t>得分1分。</w:t>
      </w:r>
    </w:p>
    <w:p w14:paraId="6594844E">
      <w:pPr>
        <w:pageBreakBefore w:val="0"/>
        <w:numPr>
          <w:ilvl w:val="-1"/>
          <w:numId w:val="0"/>
        </w:numPr>
        <w:kinsoku/>
        <w:wordWrap w:val="0"/>
        <w:overflowPunct/>
        <w:topLinePunct w:val="0"/>
        <w:autoSpaceDE/>
        <w:autoSpaceDN/>
        <w:bidi w:val="0"/>
        <w:spacing w:line="400" w:lineRule="exact"/>
        <w:ind w:firstLine="405"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strike w:val="0"/>
          <w:dstrike w:val="0"/>
          <w:color w:val="auto"/>
          <w:sz w:val="21"/>
          <w:szCs w:val="21"/>
          <w:highlight w:val="none"/>
          <w:lang w:val="en-US" w:eastAsia="zh-CN"/>
        </w:rPr>
        <w:t>提供</w:t>
      </w:r>
      <w:r>
        <w:rPr>
          <w:rFonts w:hint="eastAsia" w:ascii="宋体" w:hAnsi="宋体" w:eastAsia="宋体" w:cs="宋体"/>
          <w:color w:val="auto"/>
          <w:sz w:val="21"/>
          <w:szCs w:val="21"/>
          <w:highlight w:val="none"/>
          <w:lang w:val="en-US" w:eastAsia="zh-CN"/>
        </w:rPr>
        <w:t>通风柜的检测报告复印件，检测报告必须至少包含以下测试项目，</w:t>
      </w:r>
      <w:r>
        <w:rPr>
          <w:rFonts w:hint="eastAsia" w:ascii="宋体" w:hAnsi="宋体" w:eastAsia="宋体" w:cs="宋体"/>
          <w:color w:val="auto"/>
          <w:sz w:val="21"/>
          <w:szCs w:val="21"/>
          <w:highlight w:val="none"/>
          <w:lang w:val="en-US" w:eastAsia="zh-CN"/>
        </w:rPr>
        <w:t>且调节门开启至操作开度 500 mm±50 mm 时满足相应技术指标：</w:t>
      </w:r>
      <w:r>
        <w:rPr>
          <w:rFonts w:hint="eastAsia" w:ascii="宋体" w:hAnsi="宋体" w:eastAsia="宋体" w:cs="宋体"/>
          <w:color w:val="auto"/>
          <w:sz w:val="21"/>
          <w:szCs w:val="21"/>
          <w:highlight w:val="none"/>
          <w:lang w:val="en-US" w:eastAsia="zh-CN"/>
        </w:rPr>
        <w:t>a.平均面风速：0.3m/s（偏差不大于10%），面风速应分布均匀,其最大值、最小值与算术平均值的偏差不应大于10%；b.气流 局部及全面不低于A级；c.示踪气体—调节门静态\动态：平均值均不大于0.01mL/m³，峰值不应大于0.5mL/m³，</w:t>
      </w:r>
      <w:r>
        <w:rPr>
          <w:rFonts w:ascii="Segoe UI Emoji" w:hAnsi="Segoe UI Emoji" w:eastAsia="Segoe UI Emoji" w:cs="Segoe UI Emoji"/>
          <w:i w:val="0"/>
          <w:iCs w:val="0"/>
          <w:caps w:val="0"/>
          <w:color w:val="auto"/>
          <w:spacing w:val="0"/>
          <w:sz w:val="22"/>
          <w:szCs w:val="22"/>
          <w:highlight w:val="none"/>
          <w:shd w:val="clear" w:fill="FFFFFF"/>
        </w:rPr>
        <w:t>满足要求的，得 2 分。</w:t>
      </w:r>
    </w:p>
    <w:p w14:paraId="0B557D8E">
      <w:pPr>
        <w:wordWrap w:val="0"/>
        <w:spacing w:line="400" w:lineRule="exact"/>
        <w:ind w:firstLine="405"/>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10</w:t>
      </w:r>
      <w:r>
        <w:rPr>
          <w:rFonts w:hint="eastAsia" w:ascii="宋体" w:hAnsi="宋体" w:eastAsia="宋体" w:cs="宋体"/>
          <w:color w:val="auto"/>
          <w:kern w:val="2"/>
          <w:sz w:val="21"/>
          <w:szCs w:val="21"/>
          <w:highlight w:val="none"/>
          <w:lang w:eastAsia="zh-CN" w:bidi="ar-SA"/>
        </w:rPr>
        <w:t>）</w:t>
      </w:r>
      <w:r>
        <w:rPr>
          <w:rFonts w:hint="eastAsia" w:ascii="宋体" w:hAnsi="宋体" w:eastAsia="宋体" w:cs="宋体"/>
          <w:strike w:val="0"/>
          <w:dstrike w:val="0"/>
          <w:color w:val="auto"/>
          <w:sz w:val="21"/>
          <w:szCs w:val="21"/>
          <w:highlight w:val="none"/>
          <w:lang w:val="en-US" w:eastAsia="zh-CN"/>
        </w:rPr>
        <w:t>提供</w:t>
      </w:r>
      <w:r>
        <w:rPr>
          <w:rFonts w:hint="eastAsia" w:ascii="宋体" w:hAnsi="宋体" w:eastAsia="宋体" w:cs="宋体"/>
          <w:color w:val="auto"/>
          <w:sz w:val="21"/>
          <w:szCs w:val="21"/>
          <w:highlight w:val="none"/>
          <w:lang w:val="en-US" w:eastAsia="zh-CN"/>
        </w:rPr>
        <w:t>防火安全柜的检测报告复印件，</w:t>
      </w:r>
      <w:r>
        <w:rPr>
          <w:rFonts w:hint="eastAsia" w:ascii="宋体" w:hAnsi="宋体" w:eastAsia="宋体" w:cs="宋体"/>
          <w:color w:val="auto"/>
          <w:kern w:val="2"/>
          <w:sz w:val="21"/>
          <w:szCs w:val="21"/>
          <w:highlight w:val="none"/>
          <w:lang w:bidi="ar-SA"/>
        </w:rPr>
        <w:t>防火安全柜防火要求</w:t>
      </w:r>
      <w:r>
        <w:rPr>
          <w:rFonts w:hint="eastAsia" w:ascii="宋体" w:hAnsi="宋体" w:eastAsia="宋体" w:cs="宋体"/>
          <w:color w:val="auto"/>
          <w:kern w:val="2"/>
          <w:sz w:val="21"/>
          <w:szCs w:val="21"/>
          <w:highlight w:val="none"/>
          <w:lang w:eastAsia="zh-CN" w:bidi="ar-SA"/>
        </w:rPr>
        <w:t>，</w:t>
      </w:r>
      <w:r>
        <w:rPr>
          <w:rFonts w:hint="eastAsia" w:ascii="宋体" w:hAnsi="宋体" w:eastAsia="宋体" w:cs="宋体"/>
          <w:color w:val="auto"/>
          <w:kern w:val="2"/>
          <w:sz w:val="21"/>
          <w:szCs w:val="21"/>
          <w:highlight w:val="none"/>
          <w:lang w:bidi="ar-SA"/>
        </w:rPr>
        <w:t>在规定的≥30 min防火时间内保证柜内温度上升≤100℃</w:t>
      </w:r>
      <w:r>
        <w:rPr>
          <w:rFonts w:hint="eastAsia" w:ascii="宋体" w:hAnsi="宋体" w:eastAsia="宋体" w:cs="宋体"/>
          <w:color w:val="auto"/>
          <w:sz w:val="21"/>
          <w:szCs w:val="21"/>
          <w:highlight w:val="none"/>
          <w:lang w:val="en-US" w:eastAsia="zh-CN"/>
        </w:rPr>
        <w:t>，得分1分。</w:t>
      </w:r>
    </w:p>
    <w:p w14:paraId="4C98D958">
      <w:pPr>
        <w:pStyle w:val="2"/>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11）提供陶瓷台面的检测报告复印件</w:t>
      </w:r>
      <w:r>
        <w:rPr>
          <w:rFonts w:hint="eastAsia" w:ascii="宋体" w:hAnsi="宋体" w:eastAsia="宋体" w:cs="宋体"/>
          <w:color w:val="auto"/>
          <w:sz w:val="21"/>
          <w:szCs w:val="21"/>
          <w:highlight w:val="none"/>
          <w:lang w:val="en-US" w:eastAsia="zh-CN"/>
        </w:rPr>
        <w:t>或产品说明书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kern w:val="2"/>
          <w:sz w:val="21"/>
          <w:szCs w:val="21"/>
          <w:highlight w:val="none"/>
          <w:lang w:eastAsia="zh-CN" w:bidi="ar-SA"/>
        </w:rPr>
        <w:t>采用不少于20mm厚一体实芯烧制实验室专用A级不燃陶瓷板台面，台面基材坯体为黑色，台面颜色至少提供8色可供选择，台面根据使用需求配备防滑凹槽工艺，台面转角处做圆弧R10mm防撞安全光滑处理。水槽采用隐藏式凹凸嵌入式台下盆安装方式，采用卡条及托架支撑固定。使用水槽时水不接触水槽口和固定胶水而直接流入水槽内，耐污防霉，安全环保。水池台面采用双向导流防滑沥水槽陶瓷台面，台面四周一体阻水边工艺，</w:t>
      </w:r>
      <w:r>
        <w:rPr>
          <w:rFonts w:hint="eastAsia" w:ascii="宋体" w:hAnsi="宋体" w:eastAsia="宋体" w:cs="宋体"/>
          <w:color w:val="auto"/>
          <w:sz w:val="21"/>
          <w:szCs w:val="21"/>
          <w:highlight w:val="none"/>
          <w:lang w:val="en-US" w:eastAsia="zh-CN"/>
        </w:rPr>
        <w:t>满足要求的，得 2 分。</w:t>
      </w:r>
    </w:p>
    <w:p w14:paraId="693A9119">
      <w:pPr>
        <w:pageBreakBefore w:val="0"/>
        <w:numPr>
          <w:ilvl w:val="-1"/>
          <w:numId w:val="0"/>
        </w:numPr>
        <w:kinsoku/>
        <w:wordWrap w:val="0"/>
        <w:overflowPunct/>
        <w:topLinePunct w:val="0"/>
        <w:autoSpaceDE/>
        <w:autoSpaceDN/>
        <w:bidi w:val="0"/>
        <w:spacing w:line="400" w:lineRule="exact"/>
        <w:ind w:firstLine="405"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strike w:val="0"/>
          <w:dstrike w:val="0"/>
          <w:color w:val="auto"/>
          <w:sz w:val="21"/>
          <w:szCs w:val="21"/>
          <w:highlight w:val="none"/>
          <w:lang w:val="en-US" w:eastAsia="zh-CN"/>
        </w:rPr>
        <w:t>提供</w:t>
      </w:r>
      <w:r>
        <w:rPr>
          <w:rFonts w:hint="eastAsia" w:ascii="宋体" w:hAnsi="宋体" w:eastAsia="宋体" w:cs="宋体"/>
          <w:color w:val="auto"/>
          <w:kern w:val="2"/>
          <w:sz w:val="21"/>
          <w:szCs w:val="21"/>
          <w:highlight w:val="none"/>
          <w:lang w:bidi="ar-SA"/>
        </w:rPr>
        <w:t>防火安全柜</w:t>
      </w:r>
      <w:r>
        <w:rPr>
          <w:rFonts w:hint="eastAsia" w:ascii="宋体" w:hAnsi="宋体" w:eastAsia="宋体" w:cs="宋体"/>
          <w:color w:val="auto"/>
          <w:sz w:val="21"/>
          <w:szCs w:val="21"/>
          <w:highlight w:val="none"/>
          <w:lang w:val="en-US" w:eastAsia="zh-CN"/>
        </w:rPr>
        <w:t>的检测报告复印件或</w:t>
      </w:r>
      <w:r>
        <w:rPr>
          <w:rFonts w:hint="eastAsia" w:ascii="宋体" w:hAnsi="宋体" w:eastAsia="宋体" w:cs="宋体"/>
          <w:color w:val="auto"/>
          <w:sz w:val="21"/>
          <w:szCs w:val="21"/>
          <w:highlight w:val="none"/>
          <w:lang w:val="en-US" w:eastAsia="zh-CN"/>
        </w:rPr>
        <w:t>产品</w:t>
      </w:r>
      <w:r>
        <w:rPr>
          <w:rFonts w:hint="eastAsia" w:ascii="宋体" w:hAnsi="宋体" w:eastAsia="宋体" w:cs="宋体"/>
          <w:color w:val="auto"/>
          <w:sz w:val="21"/>
          <w:szCs w:val="21"/>
          <w:highlight w:val="none"/>
          <w:lang w:val="en-US" w:eastAsia="zh-CN"/>
        </w:rPr>
        <w:t>说明书，</w:t>
      </w:r>
      <w:r>
        <w:rPr>
          <w:rFonts w:hint="eastAsia" w:ascii="宋体" w:hAnsi="宋体" w:eastAsia="宋体" w:cs="宋体"/>
          <w:color w:val="auto"/>
          <w:kern w:val="2"/>
          <w:sz w:val="21"/>
          <w:szCs w:val="21"/>
          <w:highlight w:val="none"/>
          <w:lang w:bidi="ar-SA"/>
        </w:rPr>
        <w:t>整柜须采用多层防火、</w:t>
      </w:r>
      <w:r>
        <w:rPr>
          <w:rFonts w:hint="eastAsia" w:ascii="宋体" w:hAnsi="宋体" w:eastAsia="宋体" w:cs="宋体"/>
          <w:color w:val="auto"/>
          <w:kern w:val="2"/>
          <w:sz w:val="21"/>
          <w:szCs w:val="21"/>
          <w:highlight w:val="none"/>
          <w:lang w:bidi="ar"/>
        </w:rPr>
        <w:t>隔热结构设计，配置多层防火、阻燃、隔热复合材质的，整柜具备优良的防火、隔热性能，防火层总厚度≥45mm，从而提升实验室整体安全级别，降低实验室易燃试剂化学品的储存风险</w:t>
      </w:r>
      <w:r>
        <w:rPr>
          <w:rFonts w:hint="eastAsia" w:ascii="宋体" w:hAnsi="宋体" w:eastAsia="宋体" w:cs="宋体"/>
          <w:color w:val="auto"/>
          <w:sz w:val="21"/>
          <w:szCs w:val="21"/>
          <w:highlight w:val="none"/>
          <w:lang w:val="en-US" w:eastAsia="zh-CN"/>
        </w:rPr>
        <w:t>”的，得分1分。</w:t>
      </w:r>
    </w:p>
    <w:p w14:paraId="02F82AEF">
      <w:pPr>
        <w:pageBreakBefore w:val="0"/>
        <w:numPr>
          <w:ilvl w:val="-1"/>
          <w:numId w:val="0"/>
        </w:numPr>
        <w:kinsoku/>
        <w:wordWrap w:val="0"/>
        <w:overflowPunct/>
        <w:topLinePunct w:val="0"/>
        <w:autoSpaceDE/>
        <w:autoSpaceDN/>
        <w:bidi w:val="0"/>
        <w:spacing w:line="400" w:lineRule="exact"/>
        <w:ind w:firstLine="405"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r>
        <w:rPr>
          <w:rFonts w:hint="eastAsia" w:ascii="宋体" w:hAnsi="宋体" w:eastAsia="宋体" w:cs="宋体"/>
          <w:strike w:val="0"/>
          <w:dstrike w:val="0"/>
          <w:color w:val="auto"/>
          <w:sz w:val="21"/>
          <w:szCs w:val="21"/>
          <w:highlight w:val="none"/>
          <w:lang w:val="en-US" w:eastAsia="zh-CN"/>
        </w:rPr>
        <w:t>提供</w:t>
      </w:r>
      <w:r>
        <w:rPr>
          <w:rFonts w:hint="eastAsia" w:ascii="宋体" w:hAnsi="宋体" w:eastAsia="宋体" w:cs="宋体"/>
          <w:color w:val="auto"/>
          <w:sz w:val="21"/>
          <w:szCs w:val="21"/>
          <w:highlight w:val="none"/>
          <w:lang w:val="en-US" w:eastAsia="zh-CN"/>
        </w:rPr>
        <w:t>废液收集系统的检测报告复印件或说明书，“</w:t>
      </w:r>
      <w:r>
        <w:rPr>
          <w:rFonts w:hint="eastAsia" w:ascii="宋体" w:hAnsi="宋体" w:eastAsia="宋体" w:cs="宋体"/>
          <w:color w:val="auto"/>
          <w:kern w:val="2"/>
          <w:sz w:val="21"/>
          <w:szCs w:val="21"/>
          <w:highlight w:val="none"/>
          <w:lang w:bidi="ar"/>
        </w:rPr>
        <w:t>自动液位监测安全盖：带自动液位信号监测装置,液位信号与桶内气体完全隔离，可有效避免交叉接触风险，液位信号可无缝对接到自动液位报警系统，从而避免溢满风险</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lang w:val="en-US" w:eastAsia="zh-CN"/>
        </w:rPr>
        <w:t>满足要求的，得 1 分。</w:t>
      </w:r>
    </w:p>
    <w:p w14:paraId="2F0C3D9A">
      <w:pPr>
        <w:pageBreakBefore w:val="0"/>
        <w:numPr>
          <w:ilvl w:val="-1"/>
          <w:numId w:val="0"/>
        </w:numPr>
        <w:kinsoku/>
        <w:wordWrap w:val="0"/>
        <w:overflowPunct/>
        <w:topLinePunct w:val="0"/>
        <w:autoSpaceDE/>
        <w:autoSpaceDN/>
        <w:bidi w:val="0"/>
        <w:spacing w:line="400" w:lineRule="exact"/>
        <w:ind w:firstLine="405"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14）</w:t>
      </w:r>
      <w:r>
        <w:rPr>
          <w:rFonts w:hint="eastAsia" w:ascii="宋体" w:hAnsi="宋体" w:eastAsia="宋体" w:cs="宋体"/>
          <w:strike w:val="0"/>
          <w:dstrike w:val="0"/>
          <w:color w:val="auto"/>
          <w:sz w:val="21"/>
          <w:szCs w:val="21"/>
          <w:highlight w:val="none"/>
          <w:lang w:val="en-US" w:eastAsia="zh-CN"/>
        </w:rPr>
        <w:t>提供</w:t>
      </w:r>
      <w:r>
        <w:rPr>
          <w:rFonts w:hint="eastAsia" w:ascii="宋体" w:hAnsi="宋体" w:eastAsia="宋体" w:cs="宋体"/>
          <w:color w:val="auto"/>
          <w:sz w:val="21"/>
          <w:szCs w:val="21"/>
          <w:highlight w:val="none"/>
          <w:lang w:val="en-US" w:eastAsia="zh-CN"/>
        </w:rPr>
        <w:t>废液收集系统</w:t>
      </w:r>
      <w:r>
        <w:rPr>
          <w:rFonts w:hint="eastAsia" w:ascii="宋体" w:hAnsi="宋体" w:eastAsia="宋体" w:cs="宋体"/>
          <w:color w:val="auto"/>
          <w:kern w:val="0"/>
          <w:sz w:val="21"/>
          <w:szCs w:val="21"/>
          <w:highlight w:val="none"/>
          <w:lang w:bidi="ar"/>
        </w:rPr>
        <w:t>挥发性有害气体吸附过滤器</w:t>
      </w:r>
      <w:r>
        <w:rPr>
          <w:rFonts w:hint="eastAsia" w:ascii="宋体" w:hAnsi="宋体" w:eastAsia="宋体" w:cs="宋体"/>
          <w:color w:val="auto"/>
          <w:sz w:val="21"/>
          <w:szCs w:val="21"/>
          <w:highlight w:val="none"/>
          <w:lang w:val="en-US" w:eastAsia="zh-CN"/>
        </w:rPr>
        <w:t>的检测报告复印件或说明书</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bidi="ar"/>
        </w:rPr>
        <w:t>活性炭比表面积不小于 1000 m²/g，具备良好的挥发性有害气体吸附功能，吸附率不低于 90%；设有按压式计时器，清晰提示更换时间；提供样品核验，使用寿命不少于 3 个月。满足要求的，得 1 分。</w:t>
      </w:r>
    </w:p>
    <w:p w14:paraId="24BA14DA">
      <w:pPr>
        <w:pageBreakBefore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Cs w:val="21"/>
          <w:highlight w:val="none"/>
          <w:lang w:val="en-US" w:eastAsia="zh-CN"/>
        </w:rPr>
        <w:t>（注：1.不同类型的产品或不同尺寸的同类产品的技术参数加分项不能重复计分；2.提供具有检测资质的第三方检测机构的检测报告或产品说明书作为证明文件，可包含但不限于技术参数要求的检测指标。）</w:t>
      </w:r>
    </w:p>
    <w:p w14:paraId="1F7428EC">
      <w:pPr>
        <w:pageBreakBefore w:val="0"/>
        <w:kinsoku/>
        <w:wordWrap/>
        <w:overflowPunct/>
        <w:topLinePunct w:val="0"/>
        <w:autoSpaceDE/>
        <w:autoSpaceDN/>
        <w:bidi w:val="0"/>
        <w:spacing w:line="400" w:lineRule="exact"/>
        <w:ind w:firstLine="405"/>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）产品设计分(满分1</w:t>
      </w:r>
      <w:r>
        <w:rPr>
          <w:rFonts w:hint="eastAsia" w:ascii="宋体" w:hAnsi="宋体" w:eastAsia="宋体" w:cs="宋体"/>
          <w:b/>
          <w:bCs/>
          <w:color w:val="auto"/>
          <w:sz w:val="21"/>
          <w:szCs w:val="21"/>
          <w:highlight w:val="none"/>
          <w:lang w:eastAsia="zh-CN"/>
        </w:rPr>
        <w:t>5</w:t>
      </w:r>
      <w:r>
        <w:rPr>
          <w:rFonts w:hint="eastAsia" w:ascii="宋体" w:hAnsi="宋体" w:eastAsia="宋体" w:cs="宋体"/>
          <w:b/>
          <w:bCs/>
          <w:color w:val="auto"/>
          <w:sz w:val="21"/>
          <w:szCs w:val="21"/>
          <w:highlight w:val="none"/>
        </w:rPr>
        <w:t>分)</w:t>
      </w:r>
    </w:p>
    <w:p w14:paraId="025F09DB">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由评标委员会根据投标人提供的产品设计方案进行独立打分，所涉产品至少包含通风柜、中央台、边台、柜、桌椅，内容包括但不限于单面效果图、房间布局整体效果图、尺寸图、空间平面布置图等内容。</w:t>
      </w:r>
    </w:p>
    <w:p w14:paraId="2554D8F2">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分)：仅部分提供了上述要求的单面效果图、房间布局整体效果图、尺寸图、空间平面布置图等内容，有产品结构及使用功能描述但不够清晰完整，产品设计的安全性和实用性</w:t>
      </w:r>
      <w:r>
        <w:rPr>
          <w:rFonts w:hint="eastAsia" w:ascii="宋体" w:hAnsi="宋体" w:eastAsia="宋体" w:cs="宋体"/>
          <w:color w:val="auto"/>
          <w:sz w:val="21"/>
          <w:szCs w:val="21"/>
          <w:highlight w:val="none"/>
          <w:lang w:val="en-US" w:eastAsia="zh-CN"/>
        </w:rPr>
        <w:t>欠缺</w:t>
      </w:r>
      <w:r>
        <w:rPr>
          <w:rFonts w:hint="eastAsia" w:ascii="宋体" w:hAnsi="宋体" w:eastAsia="宋体" w:cs="宋体"/>
          <w:color w:val="auto"/>
          <w:sz w:val="21"/>
          <w:szCs w:val="21"/>
          <w:highlight w:val="none"/>
        </w:rPr>
        <w:t>，不够符合项目实际。</w:t>
      </w:r>
    </w:p>
    <w:p w14:paraId="7CF91E30">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分)：能够提供上述要求的单面效果图、房间布局整体效果图、尺寸图、空间平面布置图等内容，提供了产品部件图片（有台面、框架、柜体承重连接等部件），产品结构及使用功能描述清晰、完整，产品设计具有一定的安全性和实用性，符合项目实际，描述的清晰度和完整度一般。</w:t>
      </w:r>
    </w:p>
    <w:p w14:paraId="07B8DA79">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能够完整提供上述要求的单面效果图、房间布局整体效果图、结合本项目现场空间条件出具精准细化尺寸图、空间平面布置图等内容，提供产品部件图片（有台面、框架、挡水条边、柜体承重连接等部件），产品结构及使用功能描述清晰完整，产品设计安全、实用，符合项目实际，且描述清晰、完整。</w:t>
      </w:r>
    </w:p>
    <w:p w14:paraId="08453A4D">
      <w:pPr>
        <w:pageBreakBefore w:val="0"/>
        <w:kinsoku/>
        <w:wordWrap/>
        <w:overflowPunct/>
        <w:topLinePunct w:val="0"/>
        <w:autoSpaceDE/>
        <w:autoSpaceDN/>
        <w:bidi w:val="0"/>
        <w:spacing w:line="400" w:lineRule="exact"/>
        <w:ind w:firstLine="405"/>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）样品展示分（满分</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分）</w:t>
      </w:r>
    </w:p>
    <w:p w14:paraId="03FCFC40">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根据投标人提供的小样的样式、厚度及外观质量、喷涂质量、工艺打磨等方面进行综合评定：</w:t>
      </w:r>
    </w:p>
    <w:p w14:paraId="63FCA742">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分）：①投标小样提供齐全；②小样参数、外观、样式、材料、结构设计等(包括板材、五金件、加工工艺、成品质量等方面)符合实际，全部小样功能符合招标文件参数要求的；③小样符合要求，无明显瑕疵的</w:t>
      </w:r>
      <w:r>
        <w:rPr>
          <w:rFonts w:hint="eastAsia" w:ascii="宋体" w:hAnsi="宋体" w:eastAsia="宋体" w:cs="宋体"/>
          <w:color w:val="auto"/>
          <w:sz w:val="21"/>
          <w:szCs w:val="21"/>
          <w:highlight w:val="none"/>
          <w:lang w:eastAsia="zh-CN"/>
        </w:rPr>
        <w:t>（</w:t>
      </w:r>
      <w:r>
        <w:rPr>
          <w:rFonts w:hint="eastAsia" w:hAnsi="宋体" w:eastAsia="宋体" w:cs="Times New Roman"/>
          <w:color w:val="auto"/>
          <w:szCs w:val="20"/>
          <w:highlight w:val="none"/>
          <w:lang w:val="en-US" w:eastAsia="zh-CN"/>
        </w:rPr>
        <w:t>无</w:t>
      </w:r>
      <w:r>
        <w:rPr>
          <w:rFonts w:hint="eastAsia" w:hAnsi="宋体" w:cs="Times New Roman"/>
          <w:color w:val="auto"/>
          <w:szCs w:val="20"/>
          <w:highlight w:val="none"/>
        </w:rPr>
        <w:t>明显的裂缝、毛刺、黑斑、外观损伤等瑕疵</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。④通风柜导流板未采用真正的三段式导流结构或内衬板厚度不足5mm。</w:t>
      </w:r>
    </w:p>
    <w:p w14:paraId="7FA25EBC">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①投标小样提供齐全；②小样参数、外观、样式、材料、结构设计等(包括板材、五金件、加工工艺、成品质量等方面)符合实际，全部小样展示功能符合招标文件参数要求的；③小样完全符合要求，外表感官良好，工艺精致（如表面光滑均匀无杂质、色泽一致、配件安装严密平整等）。通风柜导流板采用三段式导流板设计，设有顶部、中部、底部排风缝隙，内衬板采用≥5mm厚的抗倍特板。</w:t>
      </w:r>
    </w:p>
    <w:p w14:paraId="1FC1FD2E">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三档（</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①投标小样提供齐全；②小样参数、外观、样式、材料、结构设计等(包括板材、五金件、加工工艺、成品质量等方面)符合实际，全部小样展示功能符合招标文件参数要求的；③小样工艺及材料及质量优于文件参数的。</w:t>
      </w:r>
      <w:r>
        <w:rPr>
          <w:rFonts w:hint="eastAsia" w:ascii="宋体" w:hAnsi="宋体" w:eastAsia="宋体" w:cs="宋体"/>
          <w:color w:val="auto"/>
          <w:sz w:val="21"/>
          <w:szCs w:val="21"/>
          <w:highlight w:val="none"/>
          <w:lang w:val="en-US" w:eastAsia="zh-CN"/>
        </w:rPr>
        <w:t>通风柜导流板</w:t>
      </w:r>
      <w:r>
        <w:rPr>
          <w:rFonts w:hint="eastAsia" w:ascii="宋体" w:hAnsi="宋体" w:eastAsia="宋体" w:cs="宋体"/>
          <w:color w:val="auto"/>
          <w:sz w:val="21"/>
          <w:szCs w:val="21"/>
          <w:highlight w:val="none"/>
        </w:rPr>
        <w:t>严格采用上、中、下三段式独立导流板结构，内衬板及导流板采用一体成型或高频焊接工艺的PP聚丙烯板</w:t>
      </w:r>
      <w:r>
        <w:rPr>
          <w:rFonts w:hint="eastAsia" w:ascii="宋体" w:hAnsi="宋体" w:eastAsia="宋体" w:cs="宋体"/>
          <w:color w:val="auto"/>
          <w:sz w:val="21"/>
          <w:szCs w:val="21"/>
          <w:highlight w:val="none"/>
          <w:lang w:eastAsia="zh-CN"/>
        </w:rPr>
        <w:t>。</w:t>
      </w:r>
    </w:p>
    <w:p w14:paraId="49E1677A">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（注：投标人未提供或提供数量不全的得0分。）</w:t>
      </w:r>
    </w:p>
    <w:p w14:paraId="00867823">
      <w:pPr>
        <w:pageBreakBefore w:val="0"/>
        <w:kinsoku/>
        <w:wordWrap/>
        <w:overflowPunct/>
        <w:topLinePunct w:val="0"/>
        <w:autoSpaceDE/>
        <w:autoSpaceDN/>
        <w:bidi w:val="0"/>
        <w:spacing w:line="400" w:lineRule="exact"/>
        <w:ind w:firstLine="405"/>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）项目实施方案分（满分10分）</w:t>
      </w:r>
    </w:p>
    <w:p w14:paraId="0B7BAC38">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根据招标文件要求，评标委员会对各投标人提供的项目供货、安装时段实施方案（包括但不限于供货组织、项目实施人员方案、货物存储配送方案等内容）进行独立评审，并按如下计分方式独立打分：</w:t>
      </w:r>
    </w:p>
    <w:p w14:paraId="58F4E191">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分）：项目实施方案有详细的供货组织方案；进度计划实施及控制保证方案；有具体的项目保障措施；货物技术参数满足项目需要；人员安排合理；货物安装过程和进度控制合理的。承诺家具在合同签订后</w:t>
      </w:r>
      <w:r>
        <w:rPr>
          <w:rFonts w:hint="eastAsia" w:ascii="宋体" w:hAnsi="宋体" w:eastAsia="宋体" w:cs="宋体"/>
          <w:color w:val="auto"/>
          <w:sz w:val="21"/>
          <w:szCs w:val="21"/>
          <w:highlight w:val="none"/>
          <w:lang w:val="en-US" w:eastAsia="zh-CN"/>
        </w:rPr>
        <w:t>50</w:t>
      </w:r>
      <w:r>
        <w:rPr>
          <w:rFonts w:hint="eastAsia" w:ascii="宋体" w:hAnsi="宋体" w:eastAsia="宋体" w:cs="宋体"/>
          <w:color w:val="auto"/>
          <w:sz w:val="21"/>
          <w:szCs w:val="21"/>
          <w:highlight w:val="none"/>
        </w:rPr>
        <w:t>日完成安装。</w:t>
      </w:r>
    </w:p>
    <w:p w14:paraId="5B344E79">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分）：项目实施方案符合招标人实际需求，供货组织方案、进度计划实施控制保证方案具体合理；项目进度计划实施控制保证方案能明确工期目标、保障措施详细具体；货物技术参数满足项目需要；人员配备能胜任本项目的要求且安排充分合理；供货方案内容满足采购单位实际情况；实施方案中包含货物安装及保护方案；项目实施方案描述图文并茂，进度安排比招标人实际需求要快且保障有力。承诺家具在合同签订后</w:t>
      </w:r>
      <w:r>
        <w:rPr>
          <w:rFonts w:hint="eastAsia" w:ascii="宋体" w:hAnsi="宋体" w:eastAsia="宋体" w:cs="宋体"/>
          <w:color w:val="auto"/>
          <w:sz w:val="21"/>
          <w:szCs w:val="21"/>
          <w:highlight w:val="none"/>
          <w:lang w:val="en-US" w:eastAsia="zh-CN"/>
        </w:rPr>
        <w:t>45</w:t>
      </w:r>
      <w:r>
        <w:rPr>
          <w:rFonts w:hint="eastAsia" w:ascii="宋体" w:hAnsi="宋体" w:eastAsia="宋体" w:cs="宋体"/>
          <w:color w:val="auto"/>
          <w:sz w:val="21"/>
          <w:szCs w:val="21"/>
          <w:highlight w:val="none"/>
        </w:rPr>
        <w:t>日完成安装。</w:t>
      </w:r>
    </w:p>
    <w:p w14:paraId="6FC0412F">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10分）：项目实施方案符合招标人实际需求，供货组织方案、进度计划实施控制保证方案具体合理；项目进度计划实施控制保证方案能明确工期目标、保障措施详细具体；货物技术参数满足项目需要，人员配备能胜任本项目的要求且安排充分合理；供货方案内容具体详细且符合采购单位实际情况；实施方案包含货物安装及保护方案，有针对本项目的配送方案、配送人员安排充分合理；有针对本项目的配送进度计划和保证方案；针对本项目的配送保障措施得当具体，提供物流配送车辆(提供车辆行驶证扫描件)；物流配送过程行进合理；项目实施方案描述图文并茂；进度安排比招标人实际需求要快且保障有力；有具体的售后计划。承诺家具在合同签订后</w:t>
      </w:r>
      <w:r>
        <w:rPr>
          <w:rFonts w:hint="eastAsia" w:ascii="宋体" w:hAnsi="宋体" w:eastAsia="宋体" w:cs="宋体"/>
          <w:color w:val="auto"/>
          <w:sz w:val="21"/>
          <w:szCs w:val="21"/>
          <w:highlight w:val="none"/>
          <w:lang w:val="en-US" w:eastAsia="zh-CN"/>
        </w:rPr>
        <w:t>40</w:t>
      </w:r>
      <w:r>
        <w:rPr>
          <w:rFonts w:hint="eastAsia" w:ascii="宋体" w:hAnsi="宋体" w:eastAsia="宋体" w:cs="宋体"/>
          <w:color w:val="auto"/>
          <w:sz w:val="21"/>
          <w:szCs w:val="21"/>
          <w:highlight w:val="none"/>
        </w:rPr>
        <w:t>日完成安装。</w:t>
      </w:r>
    </w:p>
    <w:p w14:paraId="02E46F73">
      <w:pPr>
        <w:pageBreakBefore w:val="0"/>
        <w:kinsoku/>
        <w:wordWrap/>
        <w:overflowPunct/>
        <w:topLinePunct w:val="0"/>
        <w:autoSpaceDE/>
        <w:autoSpaceDN/>
        <w:bidi w:val="0"/>
        <w:spacing w:line="400" w:lineRule="exact"/>
        <w:ind w:firstLine="405"/>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）售后服务方案</w:t>
      </w:r>
      <w:r>
        <w:rPr>
          <w:rFonts w:hint="eastAsia" w:ascii="宋体" w:hAnsi="宋体" w:eastAsia="宋体" w:cs="宋体"/>
          <w:b/>
          <w:bCs/>
          <w:color w:val="auto"/>
          <w:sz w:val="21"/>
          <w:szCs w:val="21"/>
          <w:highlight w:val="none"/>
          <w:lang w:eastAsia="zh-CN"/>
        </w:rPr>
        <w:t>及承诺分</w:t>
      </w:r>
      <w:r>
        <w:rPr>
          <w:rFonts w:hint="eastAsia" w:ascii="宋体" w:hAnsi="宋体" w:eastAsia="宋体" w:cs="宋体"/>
          <w:b/>
          <w:bCs/>
          <w:color w:val="auto"/>
          <w:sz w:val="21"/>
          <w:szCs w:val="21"/>
          <w:highlight w:val="none"/>
        </w:rPr>
        <w:t>（满分</w:t>
      </w:r>
      <w:r>
        <w:rPr>
          <w:rFonts w:hint="eastAsia" w:ascii="宋体" w:hAnsi="宋体" w:eastAsia="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分）</w:t>
      </w:r>
    </w:p>
    <w:p w14:paraId="4C90A297">
      <w:pPr>
        <w:pageBreakBefore w:val="0"/>
        <w:kinsoku/>
        <w:wordWrap/>
        <w:overflowPunct/>
        <w:topLinePunct w:val="0"/>
        <w:autoSpaceDE/>
        <w:autoSpaceDN/>
        <w:bidi w:val="0"/>
        <w:spacing w:line="400" w:lineRule="exact"/>
        <w:ind w:firstLine="405"/>
        <w:textAlignment w:val="auto"/>
        <w:rPr>
          <w:rFonts w:hint="eastAsia" w:asciiTheme="minorEastAsia" w:hAnsiTheme="minorEastAsia" w:eastAsiaTheme="minorEastAsia" w:cstheme="minorEastAsia"/>
          <w:b/>
          <w:bCs/>
          <w:color w:val="auto"/>
          <w:sz w:val="21"/>
          <w:szCs w:val="21"/>
          <w:highlight w:val="none"/>
        </w:rPr>
      </w:pPr>
      <w:r>
        <w:rPr>
          <w:rFonts w:hint="eastAsia" w:ascii="宋体" w:hAnsi="宋体" w:eastAsia="宋体" w:cs="宋体"/>
          <w:b/>
          <w:bCs/>
          <w:color w:val="auto"/>
          <w:sz w:val="21"/>
          <w:szCs w:val="21"/>
          <w:highlight w:val="none"/>
          <w:lang w:val="en-US" w:eastAsia="zh-CN"/>
        </w:rPr>
        <w:t xml:space="preserve"> 1</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售后服务方案</w:t>
      </w:r>
      <w:r>
        <w:rPr>
          <w:rFonts w:hint="eastAsia" w:asciiTheme="minorEastAsia" w:hAnsiTheme="minorEastAsia" w:eastAsiaTheme="minorEastAsia" w:cstheme="minorEastAsia"/>
          <w:b/>
          <w:bCs/>
          <w:color w:val="auto"/>
          <w:sz w:val="21"/>
          <w:szCs w:val="21"/>
          <w:highlight w:val="none"/>
        </w:rPr>
        <w:t>（满分</w:t>
      </w:r>
      <w:r>
        <w:rPr>
          <w:rFonts w:hint="eastAsia" w:asciiTheme="minorEastAsia" w:hAnsiTheme="minorEastAsia" w:cstheme="minorEastAsia"/>
          <w:b/>
          <w:bCs/>
          <w:color w:val="auto"/>
          <w:sz w:val="21"/>
          <w:szCs w:val="21"/>
          <w:highlight w:val="none"/>
          <w:lang w:val="en-US" w:eastAsia="zh-CN"/>
        </w:rPr>
        <w:t>5</w:t>
      </w:r>
      <w:r>
        <w:rPr>
          <w:rFonts w:hint="eastAsia" w:asciiTheme="minorEastAsia" w:hAnsiTheme="minorEastAsia" w:eastAsiaTheme="minorEastAsia" w:cstheme="minorEastAsia"/>
          <w:b/>
          <w:bCs/>
          <w:color w:val="auto"/>
          <w:sz w:val="21"/>
          <w:szCs w:val="21"/>
          <w:highlight w:val="none"/>
        </w:rPr>
        <w:t>分）</w:t>
      </w:r>
    </w:p>
    <w:p w14:paraId="1004D635">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由评标委员会根据投标人提供的售后服务承诺书（包含但不限质保期、</w:t>
      </w:r>
      <w:r>
        <w:rPr>
          <w:rFonts w:hint="eastAsia" w:ascii="宋体" w:hAnsi="宋体" w:eastAsia="宋体" w:cs="宋体"/>
          <w:color w:val="auto"/>
          <w:sz w:val="21"/>
          <w:szCs w:val="21"/>
          <w:highlight w:val="none"/>
          <w:lang w:eastAsia="zh-CN"/>
        </w:rPr>
        <w:t>投标时</w:t>
      </w:r>
      <w:r>
        <w:rPr>
          <w:rFonts w:hint="eastAsia" w:ascii="宋体" w:hAnsi="宋体" w:eastAsia="宋体" w:cs="宋体"/>
          <w:color w:val="auto"/>
          <w:sz w:val="21"/>
          <w:szCs w:val="21"/>
          <w:highlight w:val="none"/>
        </w:rPr>
        <w:t>间、接到故障通知后到达时间、处理故障时间及能力、零配件优惠措施等内容）内容综合进行评定，并在其档次独立打分。</w:t>
      </w:r>
    </w:p>
    <w:p w14:paraId="33BC6C3D">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一档（</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w:t>
      </w:r>
      <w:r>
        <w:rPr>
          <w:rFonts w:ascii="Segoe UI" w:hAnsi="Segoe UI" w:eastAsia="Segoe UI" w:cs="Segoe UI"/>
          <w:i w:val="0"/>
          <w:iCs w:val="0"/>
          <w:caps w:val="0"/>
          <w:color w:val="auto"/>
          <w:spacing w:val="0"/>
          <w:sz w:val="21"/>
          <w:szCs w:val="21"/>
          <w:highlight w:val="none"/>
          <w:shd w:val="clear" w:fill="FFFFFF"/>
        </w:rPr>
        <w:t>①</w:t>
      </w:r>
      <w:r>
        <w:rPr>
          <w:rFonts w:hint="eastAsia" w:ascii="宋体" w:hAnsi="宋体" w:eastAsia="宋体" w:cs="宋体"/>
          <w:color w:val="auto"/>
          <w:sz w:val="21"/>
          <w:szCs w:val="21"/>
          <w:highlight w:val="none"/>
        </w:rPr>
        <w:t>能提供齐全的方案；有售后服务体系，管理规范，保障可靠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②接到故障通知后</w:t>
      </w: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小时内响应，</w:t>
      </w:r>
      <w:r>
        <w:rPr>
          <w:rFonts w:hint="eastAsia" w:ascii="宋体" w:hAnsi="宋体" w:eastAsia="宋体" w:cs="宋体"/>
          <w:color w:val="auto"/>
          <w:sz w:val="21"/>
          <w:szCs w:val="21"/>
          <w:highlight w:val="none"/>
          <w:lang w:val="en-US" w:eastAsia="zh-CN"/>
        </w:rPr>
        <w:t>48</w:t>
      </w:r>
      <w:r>
        <w:rPr>
          <w:rFonts w:hint="eastAsia" w:ascii="宋体" w:hAnsi="宋体" w:eastAsia="宋体" w:cs="宋体"/>
          <w:color w:val="auto"/>
          <w:sz w:val="21"/>
          <w:szCs w:val="21"/>
          <w:highlight w:val="none"/>
        </w:rPr>
        <w:t>小时内到达现场，</w:t>
      </w: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小时内完成全部故障修复（自接到报修之时起至故障完全排除恢复正常使用止，包含所有处置方式）；</w:t>
      </w:r>
      <w:r>
        <w:rPr>
          <w:rFonts w:ascii="Segoe UI" w:hAnsi="Segoe UI" w:eastAsia="Segoe UI" w:cs="Segoe UI"/>
          <w:i w:val="0"/>
          <w:iCs w:val="0"/>
          <w:caps w:val="0"/>
          <w:color w:val="auto"/>
          <w:spacing w:val="0"/>
          <w:sz w:val="21"/>
          <w:szCs w:val="21"/>
          <w:highlight w:val="none"/>
          <w:shd w:val="clear" w:fill="FFFFFF"/>
        </w:rPr>
        <w:t>③</w:t>
      </w:r>
      <w:r>
        <w:rPr>
          <w:rFonts w:hint="eastAsia" w:ascii="宋体" w:hAnsi="宋体" w:eastAsia="宋体" w:cs="宋体"/>
          <w:color w:val="auto"/>
          <w:sz w:val="21"/>
          <w:szCs w:val="21"/>
          <w:highlight w:val="none"/>
        </w:rPr>
        <w:t>若</w:t>
      </w:r>
      <w:r>
        <w:rPr>
          <w:rFonts w:hint="eastAsia" w:ascii="宋体" w:hAnsi="宋体" w:eastAsia="宋体" w:cs="宋体"/>
          <w:color w:val="auto"/>
          <w:sz w:val="21"/>
          <w:szCs w:val="21"/>
          <w:highlight w:val="none"/>
          <w:lang w:val="en-US" w:eastAsia="zh-CN"/>
        </w:rPr>
        <w:t>72</w:t>
      </w:r>
      <w:r>
        <w:rPr>
          <w:rFonts w:hint="eastAsia" w:ascii="宋体" w:hAnsi="宋体" w:eastAsia="宋体" w:cs="宋体"/>
          <w:color w:val="auto"/>
          <w:sz w:val="21"/>
          <w:szCs w:val="21"/>
          <w:highlight w:val="none"/>
        </w:rPr>
        <w:t>小时内无法完成故障修复，投标人提供功能完好的替代</w:t>
      </w:r>
      <w:r>
        <w:rPr>
          <w:rFonts w:hint="eastAsia" w:ascii="宋体" w:hAnsi="宋体" w:eastAsia="宋体" w:cs="宋体"/>
          <w:color w:val="auto"/>
          <w:sz w:val="21"/>
          <w:szCs w:val="21"/>
          <w:highlight w:val="none"/>
          <w:lang w:val="en-US" w:eastAsia="zh-CN"/>
        </w:rPr>
        <w:t>产品</w:t>
      </w:r>
      <w:r>
        <w:rPr>
          <w:rFonts w:hint="eastAsia" w:ascii="宋体" w:hAnsi="宋体" w:eastAsia="宋体" w:cs="宋体"/>
          <w:color w:val="auto"/>
          <w:sz w:val="21"/>
          <w:szCs w:val="21"/>
          <w:highlight w:val="none"/>
        </w:rPr>
        <w:t>供采购人临时使用，直至原设备修复为止，替代设备的相关费用由投标人承担</w:t>
      </w:r>
      <w:r>
        <w:rPr>
          <w:rFonts w:hint="eastAsia" w:ascii="宋体" w:hAnsi="宋体" w:eastAsia="宋体" w:cs="宋体"/>
          <w:color w:val="auto"/>
          <w:sz w:val="21"/>
          <w:szCs w:val="21"/>
          <w:highlight w:val="none"/>
          <w:lang w:eastAsia="zh-CN"/>
        </w:rPr>
        <w:t>。</w:t>
      </w:r>
    </w:p>
    <w:p w14:paraId="4ABE65B7">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二档（3分）：</w:t>
      </w:r>
      <w:r>
        <w:rPr>
          <w:rFonts w:ascii="Segoe UI" w:hAnsi="Segoe UI" w:eastAsia="Segoe UI" w:cs="Segoe UI"/>
          <w:i w:val="0"/>
          <w:iCs w:val="0"/>
          <w:caps w:val="0"/>
          <w:color w:val="auto"/>
          <w:spacing w:val="0"/>
          <w:sz w:val="21"/>
          <w:szCs w:val="21"/>
          <w:highlight w:val="none"/>
          <w:shd w:val="clear" w:fill="FFFFFF"/>
        </w:rPr>
        <w:t>①</w:t>
      </w:r>
      <w:r>
        <w:rPr>
          <w:rFonts w:hint="eastAsia" w:ascii="宋体" w:hAnsi="宋体" w:eastAsia="宋体" w:cs="宋体"/>
          <w:color w:val="auto"/>
          <w:sz w:val="21"/>
          <w:szCs w:val="21"/>
          <w:highlight w:val="none"/>
        </w:rPr>
        <w:t>满足一档的基础上，实施方案完整、方案完整可行，均能满足项目要求，售后服务能力好，培训计划及方案可行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②接到故障通知后</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小时内响应，</w:t>
      </w:r>
      <w:r>
        <w:rPr>
          <w:rFonts w:hint="eastAsia" w:ascii="宋体" w:hAnsi="宋体" w:eastAsia="宋体" w:cs="宋体"/>
          <w:color w:val="auto"/>
          <w:sz w:val="21"/>
          <w:szCs w:val="21"/>
          <w:highlight w:val="none"/>
          <w:lang w:val="en-US" w:eastAsia="zh-CN"/>
        </w:rPr>
        <w:t>36</w:t>
      </w:r>
      <w:r>
        <w:rPr>
          <w:rFonts w:hint="eastAsia" w:ascii="宋体" w:hAnsi="宋体" w:eastAsia="宋体" w:cs="宋体"/>
          <w:color w:val="auto"/>
          <w:sz w:val="21"/>
          <w:szCs w:val="21"/>
          <w:highlight w:val="none"/>
        </w:rPr>
        <w:t>小时内到达现场，</w:t>
      </w:r>
      <w:r>
        <w:rPr>
          <w:rFonts w:hint="eastAsia" w:ascii="宋体" w:hAnsi="宋体" w:eastAsia="宋体" w:cs="宋体"/>
          <w:color w:val="auto"/>
          <w:sz w:val="21"/>
          <w:szCs w:val="21"/>
          <w:highlight w:val="none"/>
          <w:lang w:val="en-US" w:eastAsia="zh-CN"/>
        </w:rPr>
        <w:t>48</w:t>
      </w:r>
      <w:r>
        <w:rPr>
          <w:rFonts w:hint="eastAsia" w:ascii="宋体" w:hAnsi="宋体" w:eastAsia="宋体" w:cs="宋体"/>
          <w:color w:val="auto"/>
          <w:sz w:val="21"/>
          <w:szCs w:val="21"/>
          <w:highlight w:val="none"/>
        </w:rPr>
        <w:t>小时内完成全部故障修复（自接到报修之时起至故障完全排除恢复正常使用止，包含所有处置方式）；</w:t>
      </w:r>
      <w:r>
        <w:rPr>
          <w:rFonts w:ascii="Segoe UI" w:hAnsi="Segoe UI" w:eastAsia="Segoe UI" w:cs="Segoe UI"/>
          <w:i w:val="0"/>
          <w:iCs w:val="0"/>
          <w:caps w:val="0"/>
          <w:color w:val="auto"/>
          <w:spacing w:val="0"/>
          <w:sz w:val="21"/>
          <w:szCs w:val="21"/>
          <w:highlight w:val="none"/>
          <w:shd w:val="clear" w:fill="FFFFFF"/>
        </w:rPr>
        <w:t>③</w:t>
      </w:r>
      <w:r>
        <w:rPr>
          <w:rFonts w:hint="eastAsia" w:ascii="宋体" w:hAnsi="宋体" w:eastAsia="宋体" w:cs="宋体"/>
          <w:color w:val="auto"/>
          <w:sz w:val="21"/>
          <w:szCs w:val="21"/>
          <w:highlight w:val="none"/>
        </w:rPr>
        <w:t>若</w:t>
      </w:r>
      <w:r>
        <w:rPr>
          <w:rFonts w:hint="eastAsia" w:ascii="宋体" w:hAnsi="宋体" w:eastAsia="宋体" w:cs="宋体"/>
          <w:color w:val="auto"/>
          <w:sz w:val="21"/>
          <w:szCs w:val="21"/>
          <w:highlight w:val="none"/>
          <w:lang w:val="en-US" w:eastAsia="zh-CN"/>
        </w:rPr>
        <w:t>48</w:t>
      </w:r>
      <w:r>
        <w:rPr>
          <w:rFonts w:hint="eastAsia" w:ascii="宋体" w:hAnsi="宋体" w:eastAsia="宋体" w:cs="宋体"/>
          <w:color w:val="auto"/>
          <w:sz w:val="21"/>
          <w:szCs w:val="21"/>
          <w:highlight w:val="none"/>
        </w:rPr>
        <w:t>小时内无法完成故障修复，投标人提供功能完好的替代</w:t>
      </w:r>
      <w:r>
        <w:rPr>
          <w:rFonts w:hint="eastAsia" w:ascii="宋体" w:hAnsi="宋体" w:eastAsia="宋体" w:cs="宋体"/>
          <w:color w:val="auto"/>
          <w:sz w:val="21"/>
          <w:szCs w:val="21"/>
          <w:highlight w:val="none"/>
          <w:lang w:val="en-US" w:eastAsia="zh-CN"/>
        </w:rPr>
        <w:t>产品</w:t>
      </w:r>
      <w:r>
        <w:rPr>
          <w:rFonts w:hint="eastAsia" w:ascii="宋体" w:hAnsi="宋体" w:eastAsia="宋体" w:cs="宋体"/>
          <w:color w:val="auto"/>
          <w:sz w:val="21"/>
          <w:szCs w:val="21"/>
          <w:highlight w:val="none"/>
        </w:rPr>
        <w:t>供采购人临时使用，直至原设备修复为止，替代设备的相关费用由投标人承担</w:t>
      </w:r>
      <w:r>
        <w:rPr>
          <w:rFonts w:hint="eastAsia" w:ascii="宋体" w:hAnsi="宋体" w:eastAsia="宋体" w:cs="宋体"/>
          <w:color w:val="auto"/>
          <w:sz w:val="21"/>
          <w:szCs w:val="21"/>
          <w:highlight w:val="none"/>
          <w:lang w:eastAsia="zh-CN"/>
        </w:rPr>
        <w:t>。</w:t>
      </w:r>
    </w:p>
    <w:p w14:paraId="71F38844">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三档（5分）：</w:t>
      </w:r>
      <w:r>
        <w:rPr>
          <w:rFonts w:ascii="Segoe UI" w:hAnsi="Segoe UI" w:eastAsia="Segoe UI" w:cs="Segoe UI"/>
          <w:i w:val="0"/>
          <w:iCs w:val="0"/>
          <w:caps w:val="0"/>
          <w:color w:val="auto"/>
          <w:spacing w:val="0"/>
          <w:sz w:val="21"/>
          <w:szCs w:val="21"/>
          <w:highlight w:val="none"/>
          <w:shd w:val="clear" w:fill="FFFFFF"/>
        </w:rPr>
        <w:t>①</w:t>
      </w:r>
      <w:r>
        <w:rPr>
          <w:rFonts w:hint="eastAsia" w:ascii="宋体" w:hAnsi="宋体" w:eastAsia="宋体" w:cs="宋体"/>
          <w:color w:val="auto"/>
          <w:sz w:val="21"/>
          <w:szCs w:val="21"/>
          <w:highlight w:val="none"/>
        </w:rPr>
        <w:t>满足二档的基础上，实施方案有针对性。方案完整可行合理细致，均能满足项目要求，有详细的售后服务承诺，售后服务流程、质量保障等内容，②接到故障通知后</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小时内响应，</w:t>
      </w: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rPr>
        <w:t>小时内到达现场，</w:t>
      </w:r>
      <w:r>
        <w:rPr>
          <w:rFonts w:hint="eastAsia" w:ascii="宋体" w:hAnsi="宋体" w:eastAsia="宋体" w:cs="宋体"/>
          <w:color w:val="auto"/>
          <w:sz w:val="21"/>
          <w:szCs w:val="21"/>
          <w:highlight w:val="none"/>
          <w:lang w:val="en-US" w:eastAsia="zh-CN"/>
        </w:rPr>
        <w:t>36</w:t>
      </w:r>
      <w:r>
        <w:rPr>
          <w:rFonts w:hint="eastAsia" w:ascii="宋体" w:hAnsi="宋体" w:eastAsia="宋体" w:cs="宋体"/>
          <w:color w:val="auto"/>
          <w:sz w:val="21"/>
          <w:szCs w:val="21"/>
          <w:highlight w:val="none"/>
        </w:rPr>
        <w:t>小时内完成全部故障修复（自接到报修之时起至故障完全排除恢复正常使用止，包含所有处置方式）；③若</w:t>
      </w:r>
      <w:r>
        <w:rPr>
          <w:rFonts w:hint="eastAsia" w:ascii="宋体" w:hAnsi="宋体" w:eastAsia="宋体" w:cs="宋体"/>
          <w:color w:val="auto"/>
          <w:sz w:val="21"/>
          <w:szCs w:val="21"/>
          <w:highlight w:val="none"/>
          <w:lang w:val="en-US" w:eastAsia="zh-CN"/>
        </w:rPr>
        <w:t>36</w:t>
      </w:r>
      <w:r>
        <w:rPr>
          <w:rFonts w:hint="eastAsia" w:ascii="宋体" w:hAnsi="宋体" w:eastAsia="宋体" w:cs="宋体"/>
          <w:color w:val="auto"/>
          <w:sz w:val="21"/>
          <w:szCs w:val="21"/>
          <w:highlight w:val="none"/>
        </w:rPr>
        <w:t>小时内无法完成故障修复，投标人提供功能完好的替代产品供采购人临时使用，直至原设备修复为止，替代设备的相关费用由投标人承担。</w:t>
      </w:r>
    </w:p>
    <w:p w14:paraId="0A14CE2B">
      <w:pPr>
        <w:pStyle w:val="2"/>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bCs/>
          <w:color w:val="auto"/>
          <w:sz w:val="21"/>
          <w:szCs w:val="21"/>
          <w:highlight w:val="none"/>
          <w:lang w:val="en-US" w:eastAsia="zh-CN"/>
        </w:rPr>
        <w:t xml:space="preserve">  2）质保承诺书（3分）</w:t>
      </w:r>
    </w:p>
    <w:p w14:paraId="64919C75">
      <w:pPr>
        <w:pageBreakBefore w:val="0"/>
        <w:kinsoku/>
        <w:wordWrap/>
        <w:overflowPunct/>
        <w:topLinePunct w:val="0"/>
        <w:autoSpaceDE/>
        <w:autoSpaceDN/>
        <w:bidi w:val="0"/>
        <w:spacing w:line="400" w:lineRule="exact"/>
        <w:ind w:firstLine="405"/>
        <w:textAlignment w:val="auto"/>
        <w:rPr>
          <w:rStyle w:val="26"/>
          <w:rFonts w:hint="eastAsia" w:ascii="宋体" w:hAnsi="宋体" w:eastAsia="宋体" w:cs="宋体"/>
          <w:color w:val="auto"/>
          <w:sz w:val="21"/>
          <w:szCs w:val="21"/>
          <w:highlight w:val="none"/>
          <w:lang w:eastAsia="zh-CN" w:bidi="ar"/>
        </w:rPr>
      </w:pPr>
      <w:r>
        <w:rPr>
          <w:rFonts w:hint="eastAsia" w:ascii="汉仪书宋二S" w:hAnsi="汉仪书宋二S" w:eastAsia="汉仪书宋二S" w:cs="汉仪书宋二S"/>
          <w:color w:val="auto"/>
          <w:sz w:val="21"/>
          <w:szCs w:val="21"/>
          <w:highlight w:val="none"/>
          <w:lang w:val="en-US" w:eastAsia="zh-CN"/>
        </w:rPr>
        <w:t>①</w:t>
      </w:r>
      <w:r>
        <w:rPr>
          <w:rFonts w:hint="eastAsia" w:ascii="宋体" w:hAnsi="宋体" w:eastAsia="宋体" w:cs="宋体"/>
          <w:color w:val="auto"/>
          <w:sz w:val="21"/>
          <w:szCs w:val="21"/>
          <w:highlight w:val="none"/>
          <w:lang w:val="en-US" w:eastAsia="zh-CN"/>
        </w:rPr>
        <w:t>陶瓷台面</w:t>
      </w:r>
      <w:r>
        <w:rPr>
          <w:rFonts w:hint="eastAsia" w:ascii="宋体" w:hAnsi="宋体" w:eastAsia="宋体" w:cs="宋体"/>
          <w:color w:val="auto"/>
          <w:kern w:val="0"/>
          <w:sz w:val="21"/>
          <w:szCs w:val="21"/>
          <w:highlight w:val="none"/>
          <w:lang w:val="en-US" w:eastAsia="zh-CN" w:bidi="ar"/>
        </w:rPr>
        <w:t>提供</w:t>
      </w:r>
      <w:r>
        <w:rPr>
          <w:rFonts w:hint="eastAsia" w:ascii="宋体" w:hAnsi="宋体" w:eastAsia="宋体" w:cs="宋体"/>
          <w:color w:val="auto"/>
          <w:kern w:val="0"/>
          <w:sz w:val="21"/>
          <w:szCs w:val="21"/>
          <w:highlight w:val="none"/>
          <w:lang w:bidi="ar"/>
        </w:rPr>
        <w:t>5年使用破损无条件</w:t>
      </w:r>
      <w:r>
        <w:rPr>
          <w:rStyle w:val="25"/>
          <w:rFonts w:hint="eastAsia" w:ascii="宋体" w:hAnsi="宋体" w:eastAsia="宋体" w:cs="宋体"/>
          <w:color w:val="auto"/>
          <w:sz w:val="21"/>
          <w:szCs w:val="21"/>
          <w:highlight w:val="none"/>
          <w:lang w:bidi="ar"/>
        </w:rPr>
        <w:t>‬</w:t>
      </w:r>
      <w:r>
        <w:rPr>
          <w:rStyle w:val="26"/>
          <w:rFonts w:hint="eastAsia" w:ascii="宋体" w:hAnsi="宋体" w:eastAsia="宋体" w:cs="宋体"/>
          <w:color w:val="auto"/>
          <w:sz w:val="21"/>
          <w:szCs w:val="21"/>
          <w:highlight w:val="none"/>
          <w:lang w:bidi="ar"/>
        </w:rPr>
        <w:t>更换的售后承诺书</w:t>
      </w:r>
      <w:r>
        <w:rPr>
          <w:rStyle w:val="26"/>
          <w:rFonts w:hint="eastAsia" w:ascii="宋体" w:hAnsi="宋体" w:eastAsia="宋体" w:cs="宋体"/>
          <w:color w:val="auto"/>
          <w:sz w:val="21"/>
          <w:szCs w:val="21"/>
          <w:highlight w:val="none"/>
          <w:lang w:eastAsia="zh-CN" w:bidi="ar"/>
        </w:rPr>
        <w:t>的得</w:t>
      </w:r>
      <w:r>
        <w:rPr>
          <w:rStyle w:val="26"/>
          <w:rFonts w:hint="eastAsia" w:ascii="宋体" w:hAnsi="宋体" w:eastAsia="宋体" w:cs="宋体"/>
          <w:color w:val="auto"/>
          <w:sz w:val="21"/>
          <w:szCs w:val="21"/>
          <w:highlight w:val="none"/>
          <w:lang w:val="en-US" w:eastAsia="zh-CN" w:bidi="ar"/>
        </w:rPr>
        <w:t>1分</w:t>
      </w:r>
      <w:r>
        <w:rPr>
          <w:rStyle w:val="26"/>
          <w:rFonts w:hint="eastAsia" w:ascii="宋体" w:hAnsi="宋体" w:eastAsia="宋体" w:cs="宋体"/>
          <w:color w:val="auto"/>
          <w:sz w:val="21"/>
          <w:szCs w:val="21"/>
          <w:highlight w:val="none"/>
          <w:lang w:eastAsia="zh-CN" w:bidi="ar"/>
        </w:rPr>
        <w:t>；</w:t>
      </w:r>
    </w:p>
    <w:p w14:paraId="288683E6">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lang w:eastAsia="zh-CN"/>
        </w:rPr>
      </w:pPr>
      <w:r>
        <w:rPr>
          <w:rStyle w:val="26"/>
          <w:rFonts w:hint="eastAsia" w:ascii="汉仪书宋二S" w:hAnsi="汉仪书宋二S" w:eastAsia="汉仪书宋二S" w:cs="汉仪书宋二S"/>
          <w:color w:val="auto"/>
          <w:sz w:val="21"/>
          <w:szCs w:val="21"/>
          <w:highlight w:val="none"/>
          <w:lang w:eastAsia="zh-CN" w:bidi="ar"/>
        </w:rPr>
        <w:t>②</w:t>
      </w:r>
      <w:r>
        <w:rPr>
          <w:rFonts w:hint="eastAsia" w:ascii="宋体" w:hAnsi="宋体" w:eastAsia="宋体" w:cs="宋体"/>
          <w:color w:val="auto"/>
          <w:sz w:val="21"/>
          <w:szCs w:val="21"/>
          <w:highlight w:val="none"/>
          <w:lang w:val="en-US" w:eastAsia="zh-CN"/>
        </w:rPr>
        <w:t>陶瓷台面</w:t>
      </w:r>
      <w:r>
        <w:rPr>
          <w:rFonts w:hint="eastAsia" w:ascii="宋体" w:hAnsi="宋体" w:eastAsia="宋体" w:cs="宋体"/>
          <w:color w:val="auto"/>
          <w:kern w:val="0"/>
          <w:sz w:val="21"/>
          <w:szCs w:val="21"/>
          <w:highlight w:val="none"/>
          <w:lang w:val="en-US" w:eastAsia="zh-CN" w:bidi="ar"/>
        </w:rPr>
        <w:t>提供10</w:t>
      </w:r>
      <w:r>
        <w:rPr>
          <w:rFonts w:hint="eastAsia" w:ascii="宋体" w:hAnsi="宋体" w:eastAsia="宋体" w:cs="宋体"/>
          <w:color w:val="auto"/>
          <w:kern w:val="0"/>
          <w:sz w:val="21"/>
          <w:szCs w:val="21"/>
          <w:highlight w:val="none"/>
          <w:lang w:bidi="ar"/>
        </w:rPr>
        <w:t>年使用破损无条件</w:t>
      </w:r>
      <w:r>
        <w:rPr>
          <w:rStyle w:val="25"/>
          <w:rFonts w:hint="eastAsia" w:ascii="宋体" w:hAnsi="宋体" w:eastAsia="宋体" w:cs="宋体"/>
          <w:color w:val="auto"/>
          <w:sz w:val="21"/>
          <w:szCs w:val="21"/>
          <w:highlight w:val="none"/>
          <w:lang w:bidi="ar"/>
        </w:rPr>
        <w:t>‬</w:t>
      </w:r>
      <w:r>
        <w:rPr>
          <w:rStyle w:val="26"/>
          <w:rFonts w:hint="eastAsia" w:ascii="宋体" w:hAnsi="宋体" w:eastAsia="宋体" w:cs="宋体"/>
          <w:color w:val="auto"/>
          <w:sz w:val="21"/>
          <w:szCs w:val="21"/>
          <w:highlight w:val="none"/>
          <w:lang w:bidi="ar"/>
        </w:rPr>
        <w:t>更换的售后承诺书</w:t>
      </w:r>
      <w:r>
        <w:rPr>
          <w:rStyle w:val="26"/>
          <w:rFonts w:hint="eastAsia" w:ascii="宋体" w:hAnsi="宋体" w:eastAsia="宋体" w:cs="宋体"/>
          <w:color w:val="auto"/>
          <w:sz w:val="21"/>
          <w:szCs w:val="21"/>
          <w:highlight w:val="none"/>
          <w:lang w:eastAsia="zh-CN" w:bidi="ar"/>
        </w:rPr>
        <w:t>的得</w:t>
      </w:r>
      <w:r>
        <w:rPr>
          <w:rStyle w:val="26"/>
          <w:rFonts w:hint="eastAsia" w:ascii="宋体" w:hAnsi="宋体" w:eastAsia="宋体" w:cs="宋体"/>
          <w:color w:val="auto"/>
          <w:sz w:val="21"/>
          <w:szCs w:val="21"/>
          <w:highlight w:val="none"/>
          <w:lang w:val="en-US" w:eastAsia="zh-CN" w:bidi="ar"/>
        </w:rPr>
        <w:t>2分</w:t>
      </w:r>
      <w:r>
        <w:rPr>
          <w:rFonts w:hint="eastAsia" w:ascii="宋体" w:hAnsi="宋体" w:eastAsia="宋体" w:cs="宋体"/>
          <w:color w:val="auto"/>
          <w:sz w:val="21"/>
          <w:szCs w:val="21"/>
          <w:highlight w:val="none"/>
          <w:lang w:eastAsia="zh-CN"/>
        </w:rPr>
        <w:t>；</w:t>
      </w:r>
    </w:p>
    <w:p w14:paraId="2720AF7F">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rPr>
      </w:pPr>
      <w:r>
        <w:rPr>
          <w:rFonts w:hint="eastAsia" w:ascii="汉仪书宋二S" w:hAnsi="汉仪书宋二S" w:eastAsia="汉仪书宋二S" w:cs="汉仪书宋二S"/>
          <w:color w:val="auto"/>
          <w:sz w:val="21"/>
          <w:szCs w:val="21"/>
          <w:highlight w:val="none"/>
          <w:lang w:eastAsia="zh-CN"/>
        </w:rPr>
        <w:t>③</w:t>
      </w:r>
      <w:r>
        <w:rPr>
          <w:rFonts w:hint="eastAsia" w:ascii="宋体" w:hAnsi="宋体" w:eastAsia="宋体" w:cs="宋体"/>
          <w:color w:val="auto"/>
          <w:sz w:val="21"/>
          <w:szCs w:val="21"/>
          <w:highlight w:val="none"/>
          <w:lang w:val="en-US" w:eastAsia="zh-CN"/>
        </w:rPr>
        <w:t>陶瓷台面</w:t>
      </w:r>
      <w:r>
        <w:rPr>
          <w:rFonts w:hint="eastAsia" w:ascii="宋体" w:hAnsi="宋体" w:eastAsia="宋体" w:cs="宋体"/>
          <w:color w:val="auto"/>
          <w:kern w:val="0"/>
          <w:sz w:val="21"/>
          <w:szCs w:val="21"/>
          <w:highlight w:val="none"/>
          <w:lang w:val="en-US" w:eastAsia="zh-CN" w:bidi="ar"/>
        </w:rPr>
        <w:t>提供15</w:t>
      </w:r>
      <w:r>
        <w:rPr>
          <w:rFonts w:hint="eastAsia" w:ascii="宋体" w:hAnsi="宋体" w:eastAsia="宋体" w:cs="宋体"/>
          <w:color w:val="auto"/>
          <w:kern w:val="0"/>
          <w:sz w:val="21"/>
          <w:szCs w:val="21"/>
          <w:highlight w:val="none"/>
          <w:lang w:bidi="ar"/>
        </w:rPr>
        <w:t>年使用破损无条件</w:t>
      </w:r>
      <w:r>
        <w:rPr>
          <w:rStyle w:val="25"/>
          <w:rFonts w:hint="eastAsia" w:ascii="宋体" w:hAnsi="宋体" w:eastAsia="宋体" w:cs="宋体"/>
          <w:color w:val="auto"/>
          <w:sz w:val="21"/>
          <w:szCs w:val="21"/>
          <w:highlight w:val="none"/>
          <w:lang w:bidi="ar"/>
        </w:rPr>
        <w:t>‬</w:t>
      </w:r>
      <w:r>
        <w:rPr>
          <w:rStyle w:val="26"/>
          <w:rFonts w:hint="eastAsia" w:ascii="宋体" w:hAnsi="宋体" w:eastAsia="宋体" w:cs="宋体"/>
          <w:color w:val="auto"/>
          <w:sz w:val="21"/>
          <w:szCs w:val="21"/>
          <w:highlight w:val="none"/>
          <w:lang w:bidi="ar"/>
        </w:rPr>
        <w:t>更换的售后承诺书</w:t>
      </w:r>
      <w:r>
        <w:rPr>
          <w:rStyle w:val="26"/>
          <w:rFonts w:hint="eastAsia" w:ascii="宋体" w:hAnsi="宋体" w:eastAsia="宋体" w:cs="宋体"/>
          <w:color w:val="auto"/>
          <w:sz w:val="21"/>
          <w:szCs w:val="21"/>
          <w:highlight w:val="none"/>
          <w:lang w:eastAsia="zh-CN" w:bidi="ar"/>
        </w:rPr>
        <w:t>的得</w:t>
      </w:r>
      <w:r>
        <w:rPr>
          <w:rStyle w:val="26"/>
          <w:rFonts w:hint="eastAsia" w:ascii="宋体" w:hAnsi="宋体" w:eastAsia="宋体" w:cs="宋体"/>
          <w:color w:val="auto"/>
          <w:sz w:val="21"/>
          <w:szCs w:val="21"/>
          <w:highlight w:val="none"/>
          <w:lang w:val="en-US" w:eastAsia="zh-CN" w:bidi="ar"/>
        </w:rPr>
        <w:t>3分</w:t>
      </w:r>
      <w:r>
        <w:rPr>
          <w:rFonts w:hint="eastAsia" w:ascii="宋体" w:hAnsi="宋体" w:eastAsia="宋体" w:cs="宋体"/>
          <w:color w:val="auto"/>
          <w:sz w:val="21"/>
          <w:szCs w:val="21"/>
          <w:highlight w:val="none"/>
        </w:rPr>
        <w:t>。</w:t>
      </w:r>
    </w:p>
    <w:p w14:paraId="2742F3C6">
      <w:pPr>
        <w:pStyle w:val="2"/>
        <w:rPr>
          <w:rFonts w:hint="eastAsia" w:ascii="宋体" w:hAnsi="宋体" w:eastAsia="宋体" w:cs="宋体"/>
          <w:color w:val="auto"/>
          <w:sz w:val="21"/>
          <w:szCs w:val="21"/>
          <w:highlight w:val="none"/>
        </w:rPr>
      </w:pPr>
    </w:p>
    <w:p w14:paraId="4B4C2A28">
      <w:pPr>
        <w:pageBreakBefore w:val="0"/>
        <w:kinsoku/>
        <w:wordWrap/>
        <w:overflowPunct/>
        <w:topLinePunct w:val="0"/>
        <w:autoSpaceDE/>
        <w:autoSpaceDN/>
        <w:bidi w:val="0"/>
        <w:spacing w:line="400" w:lineRule="exact"/>
        <w:ind w:firstLine="405"/>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3、商务分</w:t>
      </w:r>
      <w:r>
        <w:rPr>
          <w:rFonts w:hint="eastAsia" w:ascii="宋体" w:hAnsi="宋体" w:eastAsia="宋体" w:cs="宋体"/>
          <w:b/>
          <w:bCs w:val="0"/>
          <w:color w:val="auto"/>
          <w:spacing w:val="-8"/>
          <w:sz w:val="21"/>
          <w:szCs w:val="21"/>
          <w:highlight w:val="none"/>
        </w:rPr>
        <w:t>……………………………………………………………………………………………</w:t>
      </w: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rPr>
        <w:t>分</w:t>
      </w:r>
    </w:p>
    <w:p w14:paraId="7C99ED50">
      <w:pPr>
        <w:pageBreakBefore w:val="0"/>
        <w:kinsoku/>
        <w:wordWrap/>
        <w:overflowPunct/>
        <w:topLinePunct w:val="0"/>
        <w:autoSpaceDE/>
        <w:autoSpaceDN/>
        <w:bidi w:val="0"/>
        <w:spacing w:line="400" w:lineRule="exact"/>
        <w:ind w:firstLine="405"/>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）业绩分（满分</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分）</w:t>
      </w:r>
    </w:p>
    <w:p w14:paraId="5B8AC81D">
      <w:pPr>
        <w:pageBreakBefore w:val="0"/>
        <w:kinsoku/>
        <w:wordWrap/>
        <w:overflowPunct/>
        <w:topLinePunct w:val="0"/>
        <w:autoSpaceDE/>
        <w:autoSpaceDN/>
        <w:bidi w:val="0"/>
        <w:spacing w:line="40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投标人提供自2021年1月1日至今完成实验室同类案例（主要货物须包含有“中央台”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通风柜</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）业绩，每提供一份</w:t>
      </w:r>
      <w:r>
        <w:rPr>
          <w:rFonts w:hint="eastAsia" w:ascii="宋体" w:hAnsi="宋体" w:eastAsia="宋体" w:cs="宋体"/>
          <w:color w:val="auto"/>
          <w:sz w:val="21"/>
          <w:szCs w:val="21"/>
          <w:highlight w:val="none"/>
          <w:lang w:val="en-US" w:eastAsia="zh-CN"/>
        </w:rPr>
        <w:t>0.5</w:t>
      </w:r>
      <w:r>
        <w:rPr>
          <w:rFonts w:hint="eastAsia" w:ascii="宋体" w:hAnsi="宋体" w:eastAsia="宋体" w:cs="宋体"/>
          <w:color w:val="auto"/>
          <w:sz w:val="21"/>
          <w:szCs w:val="21"/>
          <w:highlight w:val="none"/>
        </w:rPr>
        <w:t>分，满分5分。（须提供中标/成交通知书</w:t>
      </w:r>
      <w:r>
        <w:rPr>
          <w:rFonts w:hint="eastAsia" w:ascii="宋体" w:hAnsi="宋体" w:eastAsia="宋体" w:cs="宋体"/>
          <w:color w:val="auto"/>
          <w:sz w:val="21"/>
          <w:szCs w:val="21"/>
          <w:highlight w:val="none"/>
          <w:lang w:eastAsia="zh-CN"/>
        </w:rPr>
        <w:t>或</w:t>
      </w:r>
      <w:r>
        <w:rPr>
          <w:rFonts w:hint="eastAsia" w:ascii="宋体" w:hAnsi="宋体" w:eastAsia="宋体" w:cs="宋体"/>
          <w:color w:val="auto"/>
          <w:sz w:val="21"/>
          <w:szCs w:val="21"/>
          <w:highlight w:val="none"/>
        </w:rPr>
        <w:t>合同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发票、验收合格报告</w:t>
      </w:r>
      <w:r>
        <w:rPr>
          <w:rFonts w:hint="eastAsia" w:ascii="宋体" w:hAnsi="宋体" w:eastAsia="宋体" w:cs="宋体"/>
          <w:color w:val="auto"/>
          <w:sz w:val="21"/>
          <w:szCs w:val="21"/>
          <w:highlight w:val="none"/>
        </w:rPr>
        <w:t>的扫描件或其他电子文件，原件备查）</w:t>
      </w:r>
    </w:p>
    <w:p w14:paraId="40FF76B3">
      <w:pPr>
        <w:pageBreakBefore w:val="0"/>
        <w:numPr>
          <w:ilvl w:val="0"/>
          <w:numId w:val="0"/>
        </w:numPr>
        <w:kinsoku/>
        <w:wordWrap/>
        <w:overflowPunct/>
        <w:topLinePunct w:val="0"/>
        <w:autoSpaceDE/>
        <w:autoSpaceDN/>
        <w:bidi w:val="0"/>
        <w:spacing w:line="400" w:lineRule="exact"/>
        <w:ind w:firstLine="405"/>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（2）</w:t>
      </w:r>
      <w:r>
        <w:rPr>
          <w:rFonts w:hint="eastAsia" w:ascii="宋体" w:hAnsi="宋体" w:eastAsia="宋体" w:cs="宋体"/>
          <w:b/>
          <w:bCs/>
          <w:color w:val="auto"/>
          <w:sz w:val="21"/>
          <w:szCs w:val="21"/>
          <w:highlight w:val="none"/>
          <w:lang w:val="en-US" w:eastAsia="zh-CN"/>
        </w:rPr>
        <w:t>政策功能分（满分2分）</w:t>
      </w:r>
    </w:p>
    <w:p w14:paraId="63B0F18C">
      <w:pPr>
        <w:pageBreakBefore w:val="0"/>
        <w:numPr>
          <w:ilvl w:val="-1"/>
          <w:numId w:val="0"/>
        </w:numPr>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投标产品纳入（财库[2019]19号）中节能产品政府采购清单的（适用于非强制采购节能产品），并须依据《市场监管总局关于发布参与实施政府采购节能产品、环境标志产品认证机构名录的公告》，提供所投相应型号产品有效的认证证书复印件），得</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分。</w:t>
      </w:r>
    </w:p>
    <w:p w14:paraId="375DAA19">
      <w:pPr>
        <w:pageBreakBefore w:val="0"/>
        <w:numPr>
          <w:ilvl w:val="-1"/>
          <w:numId w:val="0"/>
        </w:numPr>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rPr>
        <w:t>②投标产品纳入（财库[2019]18号）中环境标志产品政府采购清单的，并须依据《市场监管总局关于发布参与实施政府采购节能产品、环境标志产品认证机构名录的公告》，提供所投相应型号产品有效的认证证书复印件），得</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分。</w:t>
      </w:r>
    </w:p>
    <w:p w14:paraId="4296141C">
      <w:pPr>
        <w:pageBreakBefore w:val="0"/>
        <w:kinsoku/>
        <w:wordWrap/>
        <w:overflowPunct/>
        <w:topLinePunct w:val="0"/>
        <w:autoSpaceDE/>
        <w:autoSpaceDN/>
        <w:bidi w:val="0"/>
        <w:spacing w:line="40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（三）总得分=1+2+3</w:t>
      </w:r>
    </w:p>
    <w:p w14:paraId="33EF72C0">
      <w:pPr>
        <w:pageBreakBefore w:val="0"/>
        <w:kinsoku/>
        <w:wordWrap/>
        <w:overflowPunct/>
        <w:topLinePunct w:val="0"/>
        <w:autoSpaceDE/>
        <w:autoSpaceDN/>
        <w:bidi w:val="0"/>
        <w:spacing w:line="40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三、中标候选人推荐原则</w:t>
      </w:r>
    </w:p>
    <w:p w14:paraId="63E2F40C">
      <w:pPr>
        <w:pageBreakBefore w:val="0"/>
        <w:kinsoku/>
        <w:wordWrap/>
        <w:overflowPunct/>
        <w:topLinePunct w:val="0"/>
        <w:autoSpaceDE/>
        <w:autoSpaceDN/>
        <w:bidi w:val="0"/>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一）评标委员会将根据得分由高到低排列次序（得分相同时，以评标价由低到高顺序排列；得分相同且评标价相同的，按技术指标优劣顺序排列）并推荐中标候选供应商。采购人应当确定评审委员会推荐排名第一的中标候选人为中标人。</w:t>
      </w:r>
    </w:p>
    <w:p w14:paraId="7DCBEEC5">
      <w:pPr>
        <w:pageBreakBefore w:val="0"/>
        <w:kinsoku/>
        <w:wordWrap/>
        <w:overflowPunct/>
        <w:topLinePunct w:val="0"/>
        <w:autoSpaceDE/>
        <w:autoSpaceDN/>
        <w:bidi w:val="0"/>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二）排名第一的中标候选人放弃中标、拒绝签订政府采购合同的，采购人可以确定排名第二的中标候选人为中标人。排名第二的中标候选人因前款规定的同样原因不能签订合同的，采购人可以确定排名第三的中标候选人为中标人，其余以此类推。</w:t>
      </w:r>
    </w:p>
    <w:p w14:paraId="2BB69078">
      <w:pPr>
        <w:spacing w:before="120" w:after="120" w:line="420" w:lineRule="exact"/>
        <w:ind w:firstLine="643" w:firstLineChars="200"/>
        <w:jc w:val="left"/>
        <w:outlineLvl w:val="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5B2DA254">
      <w:pPr>
        <w:spacing w:line="420" w:lineRule="exact"/>
        <w:ind w:firstLine="643" w:firstLineChars="200"/>
        <w:jc w:val="left"/>
        <w:rPr>
          <w:rFonts w:hint="eastAsia" w:ascii="宋体" w:hAnsi="宋体" w:eastAsia="宋体" w:cs="宋体"/>
          <w:bCs/>
          <w:color w:val="auto"/>
          <w:sz w:val="32"/>
          <w:szCs w:val="32"/>
          <w:highlight w:val="none"/>
        </w:rPr>
      </w:pPr>
      <w:r>
        <w:rPr>
          <w:rFonts w:hint="eastAsia" w:ascii="宋体" w:hAnsi="宋体" w:eastAsia="宋体" w:cs="宋体"/>
          <w:b/>
          <w:color w:val="auto"/>
          <w:sz w:val="32"/>
          <w:szCs w:val="32"/>
          <w:highlight w:val="none"/>
        </w:rPr>
        <w:t xml:space="preserve">                 </w:t>
      </w:r>
    </w:p>
    <w:p w14:paraId="0912503E">
      <w:pPr>
        <w:pStyle w:val="19"/>
        <w:ind w:firstLine="442"/>
        <w:rPr>
          <w:rFonts w:hint="eastAsia" w:ascii="宋体" w:hAnsi="宋体" w:eastAsia="宋体" w:cs="宋体"/>
          <w:b/>
          <w:color w:val="auto"/>
          <w:sz w:val="32"/>
          <w:szCs w:val="32"/>
          <w:highlight w:val="none"/>
        </w:rPr>
      </w:pPr>
    </w:p>
    <w:p w14:paraId="4A41DC29">
      <w:pPr>
        <w:pStyle w:val="19"/>
        <w:ind w:firstLine="442"/>
        <w:rPr>
          <w:rFonts w:hint="eastAsia" w:ascii="宋体" w:hAnsi="宋体" w:eastAsia="宋体" w:cs="宋体"/>
          <w:b/>
          <w:color w:val="auto"/>
          <w:sz w:val="32"/>
          <w:szCs w:val="32"/>
          <w:highlight w:val="none"/>
        </w:rPr>
      </w:pPr>
    </w:p>
    <w:p w14:paraId="62E2B1F0">
      <w:pPr>
        <w:rPr>
          <w:rFonts w:hint="eastAsia" w:ascii="宋体" w:hAnsi="宋体" w:eastAsia="宋体" w:cs="宋体"/>
          <w:color w:val="auto"/>
          <w:sz w:val="32"/>
          <w:szCs w:val="32"/>
          <w:highlight w:val="none"/>
        </w:rPr>
      </w:pPr>
    </w:p>
    <w:p w14:paraId="646F0A2F">
      <w:pPr>
        <w:pStyle w:val="14"/>
        <w:snapToGrid w:val="0"/>
        <w:spacing w:before="120" w:after="120"/>
        <w:jc w:val="center"/>
        <w:outlineLvl w:val="0"/>
        <w:rPr>
          <w:rFonts w:hint="eastAsia" w:ascii="宋体" w:hAnsi="宋体" w:eastAsia="宋体" w:cs="宋体"/>
          <w:b/>
          <w:color w:val="auto"/>
          <w:sz w:val="32"/>
          <w:szCs w:val="32"/>
          <w:highlight w:val="none"/>
        </w:rPr>
      </w:pPr>
    </w:p>
    <w:p w14:paraId="56E5D7CC">
      <w:pPr>
        <w:pStyle w:val="14"/>
        <w:snapToGrid w:val="0"/>
        <w:spacing w:before="120" w:after="120"/>
        <w:jc w:val="center"/>
        <w:outlineLvl w:val="0"/>
        <w:rPr>
          <w:rFonts w:hint="eastAsia" w:ascii="宋体" w:hAnsi="宋体" w:eastAsia="宋体" w:cs="宋体"/>
          <w:b/>
          <w:color w:val="auto"/>
          <w:sz w:val="32"/>
          <w:szCs w:val="32"/>
          <w:highlight w:val="none"/>
        </w:rPr>
      </w:pPr>
    </w:p>
    <w:p w14:paraId="0169C71F">
      <w:pPr>
        <w:pStyle w:val="5"/>
        <w:rPr>
          <w:rFonts w:hint="eastAsia" w:ascii="宋体" w:hAnsi="宋体" w:eastAsia="宋体" w:cs="宋体"/>
          <w:b/>
          <w:color w:val="auto"/>
          <w:sz w:val="32"/>
          <w:szCs w:val="32"/>
          <w:highlight w:val="none"/>
        </w:rPr>
      </w:pPr>
    </w:p>
    <w:p w14:paraId="2F34D55B">
      <w:pPr>
        <w:rPr>
          <w:rFonts w:hint="eastAsia" w:ascii="宋体" w:hAnsi="宋体" w:eastAsia="宋体" w:cs="宋体"/>
          <w:b/>
          <w:color w:val="auto"/>
          <w:sz w:val="32"/>
          <w:szCs w:val="32"/>
          <w:highlight w:val="none"/>
        </w:rPr>
      </w:pPr>
    </w:p>
    <w:p w14:paraId="064424FC">
      <w:pPr>
        <w:pStyle w:val="19"/>
        <w:ind w:firstLine="442"/>
        <w:rPr>
          <w:rFonts w:hint="eastAsia" w:ascii="宋体" w:hAnsi="宋体" w:eastAsia="宋体" w:cs="宋体"/>
          <w:b/>
          <w:color w:val="auto"/>
          <w:sz w:val="32"/>
          <w:szCs w:val="32"/>
          <w:highlight w:val="none"/>
        </w:rPr>
      </w:pPr>
    </w:p>
    <w:p w14:paraId="1D91B5EE">
      <w:pPr>
        <w:pStyle w:val="19"/>
        <w:ind w:firstLine="442"/>
        <w:rPr>
          <w:rFonts w:hint="eastAsia" w:ascii="宋体" w:hAnsi="宋体" w:eastAsia="宋体" w:cs="宋体"/>
          <w:b/>
          <w:color w:val="auto"/>
          <w:sz w:val="32"/>
          <w:szCs w:val="32"/>
          <w:highlight w:val="none"/>
        </w:rPr>
      </w:pPr>
    </w:p>
    <w:p w14:paraId="6FB23317">
      <w:pPr>
        <w:pStyle w:val="19"/>
        <w:ind w:firstLine="442"/>
        <w:rPr>
          <w:rFonts w:hint="eastAsia" w:ascii="宋体" w:hAnsi="宋体" w:eastAsia="宋体" w:cs="宋体"/>
          <w:b/>
          <w:color w:val="auto"/>
          <w:sz w:val="32"/>
          <w:szCs w:val="32"/>
          <w:highlight w:val="none"/>
        </w:rPr>
      </w:pPr>
    </w:p>
    <w:p w14:paraId="3316D56B">
      <w:pPr>
        <w:rPr>
          <w:rFonts w:hint="eastAsia" w:ascii="宋体" w:hAnsi="宋体" w:eastAsia="宋体" w:cs="宋体"/>
          <w:b/>
          <w:color w:val="auto"/>
          <w:sz w:val="48"/>
          <w:szCs w:val="48"/>
          <w:highlight w:val="none"/>
        </w:rPr>
      </w:pPr>
    </w:p>
    <w:p w14:paraId="5A668D57">
      <w:pPr>
        <w:pStyle w:val="19"/>
        <w:ind w:firstLine="240"/>
        <w:rPr>
          <w:rFonts w:hint="eastAsia" w:ascii="宋体" w:hAnsi="宋体" w:eastAsia="宋体" w:cs="宋体"/>
          <w:color w:val="auto"/>
          <w:sz w:val="48"/>
          <w:szCs w:val="48"/>
          <w:highlight w:val="none"/>
        </w:rPr>
      </w:pPr>
    </w:p>
    <w:p w14:paraId="73426C35">
      <w:pPr>
        <w:jc w:val="center"/>
        <w:rPr>
          <w:rFonts w:hint="eastAsia" w:ascii="宋体" w:hAnsi="宋体" w:eastAsia="宋体" w:cs="宋体"/>
          <w:b/>
          <w:dstrike/>
          <w:color w:val="auto"/>
          <w:sz w:val="48"/>
          <w:szCs w:val="48"/>
          <w:highlight w:val="none"/>
        </w:rPr>
      </w:pPr>
      <w:r>
        <w:rPr>
          <w:rFonts w:hint="eastAsia" w:ascii="宋体" w:hAnsi="宋体" w:eastAsia="宋体" w:cs="宋体"/>
          <w:b/>
          <w:color w:val="auto"/>
          <w:sz w:val="48"/>
          <w:szCs w:val="48"/>
          <w:highlight w:val="none"/>
        </w:rPr>
        <w:t>第五章    政府采购合同主要条款</w:t>
      </w:r>
    </w:p>
    <w:p w14:paraId="28A5D1AB">
      <w:pPr>
        <w:pStyle w:val="14"/>
        <w:snapToGrid w:val="0"/>
        <w:spacing w:before="120" w:after="120"/>
        <w:jc w:val="center"/>
        <w:outlineLvl w:val="0"/>
        <w:rPr>
          <w:rFonts w:hint="eastAsia" w:ascii="宋体" w:hAnsi="宋体" w:eastAsia="宋体" w:cs="宋体"/>
          <w:b/>
          <w:color w:val="auto"/>
          <w:sz w:val="48"/>
          <w:szCs w:val="48"/>
          <w:highlight w:val="none"/>
        </w:rPr>
      </w:pPr>
    </w:p>
    <w:p w14:paraId="20A782C9">
      <w:pPr>
        <w:pStyle w:val="14"/>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6F915DC7">
      <w:pPr>
        <w:pStyle w:val="14"/>
        <w:jc w:val="center"/>
        <w:rPr>
          <w:rFonts w:hint="eastAsia" w:ascii="宋体" w:hAnsi="宋体" w:eastAsia="宋体" w:cs="宋体"/>
          <w:color w:val="auto"/>
          <w:sz w:val="32"/>
          <w:szCs w:val="32"/>
          <w:highlight w:val="none"/>
        </w:rPr>
      </w:pPr>
    </w:p>
    <w:p w14:paraId="61C41DA7">
      <w:pPr>
        <w:pStyle w:val="6"/>
        <w:rPr>
          <w:rFonts w:hint="eastAsia" w:ascii="宋体" w:hAnsi="宋体" w:eastAsia="宋体" w:cs="宋体"/>
          <w:color w:val="auto"/>
          <w:sz w:val="32"/>
          <w:szCs w:val="32"/>
          <w:highlight w:val="none"/>
        </w:rPr>
      </w:pPr>
    </w:p>
    <w:p w14:paraId="5BC59CD5">
      <w:pPr>
        <w:rPr>
          <w:rFonts w:hint="eastAsia"/>
          <w:color w:val="auto"/>
          <w:highlight w:val="none"/>
        </w:rPr>
      </w:pPr>
    </w:p>
    <w:p w14:paraId="6B50E3E8">
      <w:pPr>
        <w:pStyle w:val="14"/>
        <w:jc w:val="center"/>
        <w:rPr>
          <w:rFonts w:hint="eastAsia" w:ascii="宋体" w:hAnsi="宋体" w:eastAsia="宋体" w:cs="宋体"/>
          <w:b/>
          <w:color w:val="auto"/>
          <w:sz w:val="52"/>
          <w:szCs w:val="52"/>
          <w:highlight w:val="none"/>
        </w:rPr>
      </w:pPr>
      <w:r>
        <w:rPr>
          <w:rFonts w:hint="eastAsia" w:ascii="宋体" w:hAnsi="宋体" w:eastAsia="宋体" w:cs="宋体"/>
          <w:b/>
          <w:color w:val="auto"/>
          <w:sz w:val="52"/>
          <w:szCs w:val="52"/>
          <w:highlight w:val="none"/>
        </w:rPr>
        <w:t>广西壮族自治区政府采购合同</w:t>
      </w:r>
    </w:p>
    <w:p w14:paraId="2464DB60">
      <w:pPr>
        <w:pStyle w:val="14"/>
        <w:rPr>
          <w:rFonts w:hint="eastAsia" w:ascii="宋体" w:hAnsi="宋体" w:eastAsia="宋体" w:cs="宋体"/>
          <w:color w:val="auto"/>
          <w:sz w:val="32"/>
          <w:szCs w:val="32"/>
          <w:highlight w:val="none"/>
        </w:rPr>
      </w:pPr>
    </w:p>
    <w:p w14:paraId="45E25D1B">
      <w:pPr>
        <w:pStyle w:val="14"/>
        <w:rPr>
          <w:rFonts w:hint="eastAsia" w:ascii="宋体" w:hAnsi="宋体" w:eastAsia="宋体" w:cs="宋体"/>
          <w:color w:val="auto"/>
          <w:sz w:val="32"/>
          <w:szCs w:val="32"/>
          <w:highlight w:val="none"/>
        </w:rPr>
      </w:pPr>
    </w:p>
    <w:p w14:paraId="1C24E64F">
      <w:pPr>
        <w:pStyle w:val="6"/>
        <w:rPr>
          <w:rFonts w:hint="eastAsia"/>
          <w:color w:val="auto"/>
          <w:highlight w:val="none"/>
        </w:rPr>
      </w:pPr>
    </w:p>
    <w:p w14:paraId="5330FEDF">
      <w:pPr>
        <w:pStyle w:val="14"/>
        <w:ind w:firstLine="1491" w:firstLineChars="49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合同名称：</w:t>
      </w:r>
      <w:r>
        <w:rPr>
          <w:rFonts w:hint="eastAsia" w:ascii="宋体" w:hAnsi="宋体" w:eastAsia="宋体" w:cs="宋体"/>
          <w:b/>
          <w:color w:val="auto"/>
          <w:sz w:val="30"/>
          <w:szCs w:val="30"/>
          <w:highlight w:val="none"/>
          <w:u w:val="single"/>
        </w:rPr>
        <w:t xml:space="preserve">                            </w:t>
      </w:r>
    </w:p>
    <w:p w14:paraId="6B55E96A">
      <w:pPr>
        <w:pStyle w:val="14"/>
        <w:spacing w:line="480" w:lineRule="auto"/>
        <w:ind w:firstLine="1491" w:firstLineChars="49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合同编号：</w:t>
      </w:r>
      <w:r>
        <w:rPr>
          <w:rFonts w:hint="eastAsia" w:ascii="宋体" w:hAnsi="宋体" w:eastAsia="宋体" w:cs="宋体"/>
          <w:b/>
          <w:color w:val="auto"/>
          <w:sz w:val="30"/>
          <w:szCs w:val="30"/>
          <w:highlight w:val="none"/>
          <w:u w:val="single"/>
        </w:rPr>
        <w:t xml:space="preserve">                            </w:t>
      </w:r>
    </w:p>
    <w:p w14:paraId="167FF222">
      <w:pPr>
        <w:pStyle w:val="14"/>
        <w:spacing w:line="480" w:lineRule="auto"/>
        <w:jc w:val="center"/>
        <w:rPr>
          <w:rFonts w:hint="eastAsia" w:ascii="宋体" w:hAnsi="宋体" w:eastAsia="宋体" w:cs="宋体"/>
          <w:color w:val="auto"/>
          <w:sz w:val="30"/>
          <w:szCs w:val="30"/>
          <w:highlight w:val="none"/>
        </w:rPr>
      </w:pPr>
    </w:p>
    <w:p w14:paraId="694F4866">
      <w:pPr>
        <w:pStyle w:val="14"/>
        <w:spacing w:after="156" w:afterLines="50" w:line="480" w:lineRule="auto"/>
        <w:ind w:firstLine="1491" w:firstLineChars="49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采购单位（甲方）</w:t>
      </w:r>
      <w:r>
        <w:rPr>
          <w:rFonts w:hint="eastAsia" w:ascii="宋体" w:hAnsi="宋体" w:eastAsia="宋体" w:cs="宋体"/>
          <w:b/>
          <w:color w:val="auto"/>
          <w:sz w:val="30"/>
          <w:szCs w:val="30"/>
          <w:highlight w:val="none"/>
          <w:u w:val="single"/>
        </w:rPr>
        <w:t xml:space="preserve">                      </w:t>
      </w:r>
    </w:p>
    <w:p w14:paraId="7791EE6A">
      <w:pPr>
        <w:pStyle w:val="14"/>
        <w:spacing w:line="480" w:lineRule="auto"/>
        <w:ind w:firstLine="1491" w:firstLineChars="49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住   所：</w:t>
      </w:r>
      <w:r>
        <w:rPr>
          <w:rFonts w:hint="eastAsia" w:ascii="宋体" w:hAnsi="宋体" w:eastAsia="宋体" w:cs="宋体"/>
          <w:b/>
          <w:color w:val="auto"/>
          <w:sz w:val="30"/>
          <w:szCs w:val="30"/>
          <w:highlight w:val="none"/>
          <w:u w:val="single"/>
        </w:rPr>
        <w:t xml:space="preserve">                       </w:t>
      </w:r>
      <w:r>
        <w:rPr>
          <w:rFonts w:hint="eastAsia" w:hAnsi="宋体" w:eastAsia="宋体" w:cs="宋体"/>
          <w:b/>
          <w:color w:val="auto"/>
          <w:sz w:val="30"/>
          <w:szCs w:val="30"/>
          <w:highlight w:val="none"/>
          <w:u w:val="single"/>
          <w:lang w:val="en-US" w:eastAsia="zh-CN"/>
        </w:rPr>
        <w:t xml:space="preserve"> </w:t>
      </w:r>
      <w:r>
        <w:rPr>
          <w:rFonts w:hint="eastAsia" w:ascii="宋体" w:hAnsi="宋体" w:eastAsia="宋体" w:cs="宋体"/>
          <w:b/>
          <w:color w:val="auto"/>
          <w:sz w:val="30"/>
          <w:szCs w:val="30"/>
          <w:highlight w:val="none"/>
          <w:u w:val="single"/>
        </w:rPr>
        <w:t xml:space="preserve">     </w:t>
      </w:r>
    </w:p>
    <w:p w14:paraId="4F5CA277">
      <w:pPr>
        <w:pStyle w:val="14"/>
        <w:spacing w:line="480" w:lineRule="auto"/>
        <w:ind w:firstLine="1491" w:firstLineChars="495"/>
        <w:rPr>
          <w:rFonts w:hint="eastAsia" w:ascii="宋体" w:hAnsi="宋体" w:eastAsia="宋体" w:cs="宋体"/>
          <w:b/>
          <w:color w:val="auto"/>
          <w:sz w:val="30"/>
          <w:szCs w:val="30"/>
          <w:highlight w:val="none"/>
        </w:rPr>
      </w:pPr>
    </w:p>
    <w:p w14:paraId="2A10E84B">
      <w:pPr>
        <w:pStyle w:val="14"/>
        <w:spacing w:after="156" w:afterLines="50" w:line="480" w:lineRule="auto"/>
        <w:ind w:firstLine="1491" w:firstLineChars="49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供 应 商（乙方）</w:t>
      </w:r>
      <w:r>
        <w:rPr>
          <w:rFonts w:hint="eastAsia" w:ascii="宋体" w:hAnsi="宋体" w:eastAsia="宋体" w:cs="宋体"/>
          <w:b/>
          <w:color w:val="auto"/>
          <w:sz w:val="30"/>
          <w:szCs w:val="30"/>
          <w:highlight w:val="none"/>
          <w:u w:val="single"/>
        </w:rPr>
        <w:t xml:space="preserve">                      </w:t>
      </w:r>
    </w:p>
    <w:p w14:paraId="18E2EF88">
      <w:pPr>
        <w:pStyle w:val="14"/>
        <w:spacing w:line="480" w:lineRule="auto"/>
        <w:ind w:firstLine="1491" w:firstLineChars="49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住   所：</w:t>
      </w:r>
      <w:r>
        <w:rPr>
          <w:rFonts w:hint="eastAsia" w:ascii="宋体" w:hAnsi="宋体" w:eastAsia="宋体" w:cs="宋体"/>
          <w:b/>
          <w:color w:val="auto"/>
          <w:sz w:val="30"/>
          <w:szCs w:val="30"/>
          <w:highlight w:val="none"/>
          <w:u w:val="single"/>
        </w:rPr>
        <w:t xml:space="preserve">                        </w:t>
      </w:r>
      <w:r>
        <w:rPr>
          <w:rFonts w:hint="eastAsia" w:hAnsi="宋体" w:eastAsia="宋体" w:cs="宋体"/>
          <w:b/>
          <w:color w:val="auto"/>
          <w:sz w:val="30"/>
          <w:szCs w:val="30"/>
          <w:highlight w:val="none"/>
          <w:u w:val="single"/>
          <w:lang w:val="en-US" w:eastAsia="zh-CN"/>
        </w:rPr>
        <w:t xml:space="preserve"> </w:t>
      </w:r>
      <w:r>
        <w:rPr>
          <w:rFonts w:hint="eastAsia" w:ascii="宋体" w:hAnsi="宋体" w:eastAsia="宋体" w:cs="宋体"/>
          <w:b/>
          <w:color w:val="auto"/>
          <w:sz w:val="30"/>
          <w:szCs w:val="30"/>
          <w:highlight w:val="none"/>
          <w:u w:val="single"/>
        </w:rPr>
        <w:t xml:space="preserve">    </w:t>
      </w:r>
    </w:p>
    <w:p w14:paraId="470CC072">
      <w:pPr>
        <w:pStyle w:val="14"/>
        <w:spacing w:line="480" w:lineRule="auto"/>
        <w:jc w:val="center"/>
        <w:rPr>
          <w:rFonts w:hint="eastAsia" w:ascii="宋体" w:hAnsi="宋体" w:eastAsia="宋体" w:cs="宋体"/>
          <w:color w:val="auto"/>
          <w:sz w:val="30"/>
          <w:szCs w:val="30"/>
          <w:highlight w:val="none"/>
        </w:rPr>
      </w:pPr>
    </w:p>
    <w:p w14:paraId="270825B4">
      <w:pPr>
        <w:pStyle w:val="14"/>
        <w:spacing w:line="480" w:lineRule="auto"/>
        <w:ind w:firstLine="1491" w:firstLineChars="49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签订合同地点：</w:t>
      </w:r>
      <w:r>
        <w:rPr>
          <w:rFonts w:hint="eastAsia" w:ascii="宋体" w:hAnsi="宋体" w:eastAsia="宋体" w:cs="宋体"/>
          <w:b/>
          <w:color w:val="auto"/>
          <w:sz w:val="30"/>
          <w:szCs w:val="30"/>
          <w:highlight w:val="none"/>
          <w:u w:val="single"/>
        </w:rPr>
        <w:t xml:space="preserve">           </w:t>
      </w:r>
      <w:r>
        <w:rPr>
          <w:rFonts w:hint="eastAsia" w:hAnsi="宋体" w:eastAsia="宋体" w:cs="宋体"/>
          <w:b/>
          <w:color w:val="auto"/>
          <w:sz w:val="30"/>
          <w:szCs w:val="30"/>
          <w:highlight w:val="none"/>
          <w:u w:val="single"/>
          <w:lang w:val="en-US" w:eastAsia="zh-CN"/>
        </w:rPr>
        <w:t xml:space="preserve"> </w:t>
      </w:r>
      <w:r>
        <w:rPr>
          <w:rFonts w:hint="eastAsia" w:ascii="宋体" w:hAnsi="宋体" w:eastAsia="宋体" w:cs="宋体"/>
          <w:b/>
          <w:color w:val="auto"/>
          <w:sz w:val="30"/>
          <w:szCs w:val="30"/>
          <w:highlight w:val="none"/>
          <w:u w:val="single"/>
        </w:rPr>
        <w:t xml:space="preserve">            </w:t>
      </w:r>
    </w:p>
    <w:p w14:paraId="003CE8CD">
      <w:pPr>
        <w:pStyle w:val="14"/>
        <w:spacing w:line="480" w:lineRule="auto"/>
        <w:ind w:firstLine="1491" w:firstLineChars="495"/>
        <w:rPr>
          <w:rFonts w:hint="eastAsia" w:ascii="宋体" w:hAnsi="宋体" w:eastAsia="宋体" w:cs="宋体"/>
          <w:b/>
          <w:color w:val="auto"/>
          <w:sz w:val="44"/>
          <w:szCs w:val="44"/>
          <w:highlight w:val="none"/>
        </w:rPr>
      </w:pPr>
      <w:r>
        <w:rPr>
          <w:rFonts w:hint="eastAsia" w:ascii="宋体" w:hAnsi="宋体" w:eastAsia="宋体" w:cs="宋体"/>
          <w:b/>
          <w:color w:val="auto"/>
          <w:sz w:val="30"/>
          <w:szCs w:val="30"/>
          <w:highlight w:val="none"/>
        </w:rPr>
        <w:t>签订合同时间：</w:t>
      </w:r>
      <w:r>
        <w:rPr>
          <w:rFonts w:hint="eastAsia" w:ascii="宋体" w:hAnsi="宋体" w:eastAsia="宋体" w:cs="宋体"/>
          <w:b/>
          <w:color w:val="auto"/>
          <w:sz w:val="30"/>
          <w:szCs w:val="30"/>
          <w:highlight w:val="none"/>
          <w:u w:val="single"/>
        </w:rPr>
        <w:t xml:space="preserve">            </w:t>
      </w:r>
      <w:r>
        <w:rPr>
          <w:rFonts w:hint="eastAsia" w:hAnsi="宋体" w:eastAsia="宋体" w:cs="宋体"/>
          <w:b/>
          <w:color w:val="auto"/>
          <w:sz w:val="30"/>
          <w:szCs w:val="30"/>
          <w:highlight w:val="none"/>
          <w:u w:val="single"/>
          <w:lang w:val="en-US" w:eastAsia="zh-CN"/>
        </w:rPr>
        <w:t xml:space="preserve"> </w:t>
      </w:r>
      <w:r>
        <w:rPr>
          <w:rFonts w:hint="eastAsia" w:ascii="宋体" w:hAnsi="宋体" w:eastAsia="宋体" w:cs="宋体"/>
          <w:b/>
          <w:color w:val="auto"/>
          <w:sz w:val="30"/>
          <w:szCs w:val="30"/>
          <w:highlight w:val="none"/>
          <w:u w:val="single"/>
        </w:rPr>
        <w:t xml:space="preserve">      </w:t>
      </w:r>
      <w:r>
        <w:rPr>
          <w:rFonts w:hint="eastAsia" w:ascii="宋体" w:hAnsi="宋体" w:eastAsia="宋体" w:cs="宋体"/>
          <w:b/>
          <w:color w:val="auto"/>
          <w:sz w:val="44"/>
          <w:szCs w:val="44"/>
          <w:highlight w:val="none"/>
          <w:u w:val="single"/>
        </w:rPr>
        <w:t xml:space="preserve">     </w:t>
      </w:r>
    </w:p>
    <w:p w14:paraId="250D3EA4">
      <w:pPr>
        <w:pStyle w:val="14"/>
        <w:jc w:val="center"/>
        <w:rPr>
          <w:rFonts w:hint="eastAsia" w:ascii="宋体" w:hAnsi="宋体" w:eastAsia="宋体" w:cs="宋体"/>
          <w:color w:val="auto"/>
          <w:sz w:val="21"/>
          <w:szCs w:val="21"/>
          <w:highlight w:val="none"/>
        </w:rPr>
      </w:pPr>
    </w:p>
    <w:p w14:paraId="0DE952DD">
      <w:pPr>
        <w:pStyle w:val="14"/>
        <w:jc w:val="center"/>
        <w:rPr>
          <w:rFonts w:hint="eastAsia" w:ascii="宋体" w:hAnsi="宋体" w:eastAsia="宋体" w:cs="宋体"/>
          <w:color w:val="auto"/>
          <w:sz w:val="21"/>
          <w:szCs w:val="21"/>
          <w:highlight w:val="none"/>
        </w:rPr>
      </w:pPr>
    </w:p>
    <w:p w14:paraId="12717E48">
      <w:pPr>
        <w:pStyle w:val="14"/>
        <w:jc w:val="center"/>
        <w:rPr>
          <w:rFonts w:hint="eastAsia" w:ascii="宋体" w:hAnsi="宋体" w:eastAsia="宋体" w:cs="宋体"/>
          <w:color w:val="auto"/>
          <w:sz w:val="21"/>
          <w:szCs w:val="21"/>
          <w:highlight w:val="none"/>
        </w:rPr>
      </w:pPr>
    </w:p>
    <w:p w14:paraId="1605A854">
      <w:pPr>
        <w:pStyle w:val="14"/>
        <w:jc w:val="center"/>
        <w:rPr>
          <w:rFonts w:hint="eastAsia" w:ascii="宋体" w:hAnsi="宋体" w:eastAsia="宋体" w:cs="宋体"/>
          <w:color w:val="auto"/>
          <w:sz w:val="21"/>
          <w:szCs w:val="21"/>
          <w:highlight w:val="none"/>
        </w:rPr>
      </w:pPr>
    </w:p>
    <w:p w14:paraId="42A58483">
      <w:pPr>
        <w:pStyle w:val="14"/>
        <w:spacing w:line="4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合同使用说明：根据《中华人民共和国政府采购法》、《中华人民共和国民法典》等法律、法规规定，按照招标文件规定条款和中标供应商投标文件及其承诺，甲乙双方签订本合同。</w:t>
      </w:r>
    </w:p>
    <w:p w14:paraId="5615A46C">
      <w:pPr>
        <w:pStyle w:val="14"/>
        <w:snapToGrid w:val="0"/>
        <w:spacing w:before="120" w:after="120"/>
        <w:jc w:val="center"/>
        <w:outlineLvl w:val="0"/>
        <w:rPr>
          <w:rFonts w:hint="eastAsia" w:ascii="宋体" w:hAnsi="宋体" w:eastAsia="宋体" w:cs="宋体"/>
          <w:color w:val="auto"/>
          <w:sz w:val="32"/>
          <w:szCs w:val="32"/>
          <w:highlight w:val="none"/>
        </w:rPr>
      </w:pPr>
    </w:p>
    <w:p w14:paraId="140F56ED">
      <w:pPr>
        <w:spacing w:line="300" w:lineRule="auto"/>
        <w:ind w:left="420" w:hanging="420"/>
        <w:jc w:val="center"/>
        <w:rPr>
          <w:rFonts w:hint="eastAsia" w:ascii="宋体" w:hAnsi="宋体" w:eastAsia="宋体" w:cs="宋体"/>
          <w:b/>
          <w:bCs/>
          <w:color w:val="auto"/>
          <w:sz w:val="32"/>
          <w:szCs w:val="32"/>
          <w:highlight w:val="none"/>
        </w:rPr>
      </w:pPr>
      <w:r>
        <w:rPr>
          <w:rFonts w:hint="eastAsia" w:ascii="宋体" w:hAnsi="宋体" w:eastAsia="宋体" w:cs="宋体"/>
          <w:b/>
          <w:color w:val="auto"/>
          <w:sz w:val="32"/>
          <w:szCs w:val="32"/>
          <w:highlight w:val="none"/>
        </w:rPr>
        <w:t>采购</w:t>
      </w:r>
      <w:r>
        <w:rPr>
          <w:rFonts w:hint="eastAsia" w:ascii="宋体" w:hAnsi="宋体" w:eastAsia="宋体" w:cs="宋体"/>
          <w:b/>
          <w:bCs/>
          <w:color w:val="auto"/>
          <w:sz w:val="32"/>
          <w:szCs w:val="32"/>
          <w:highlight w:val="none"/>
        </w:rPr>
        <w:t>合同文本</w:t>
      </w:r>
    </w:p>
    <w:p w14:paraId="11D1B9F8">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广西壮族自治区政府采购合同</w:t>
      </w:r>
    </w:p>
    <w:p w14:paraId="1521CD7B">
      <w:pPr>
        <w:pStyle w:val="19"/>
        <w:ind w:firstLine="24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p>
    <w:p w14:paraId="4897E55A">
      <w:pPr>
        <w:snapToGrid w:val="0"/>
        <w:spacing w:line="360" w:lineRule="exact"/>
        <w:ind w:right="480" w:firstLine="5985" w:firstLineChars="2850"/>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合同编号：</w:t>
      </w:r>
    </w:p>
    <w:p w14:paraId="6D018096">
      <w:pPr>
        <w:snapToGrid w:val="0"/>
        <w:spacing w:line="360" w:lineRule="exact"/>
        <w:rPr>
          <w:rFonts w:hint="eastAsia" w:ascii="宋体" w:hAnsi="宋体" w:eastAsia="宋体" w:cs="宋体"/>
          <w:color w:val="auto"/>
          <w:sz w:val="21"/>
          <w:szCs w:val="21"/>
          <w:highlight w:val="none"/>
        </w:rPr>
      </w:pPr>
    </w:p>
    <w:p w14:paraId="1AD3B20C">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采购单位（甲方）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0"/>
          <w:sz w:val="21"/>
          <w:szCs w:val="21"/>
          <w:highlight w:val="none"/>
        </w:rPr>
        <w:t>采 购 计 划 号</w:t>
      </w:r>
      <w:r>
        <w:rPr>
          <w:rFonts w:hint="eastAsia" w:ascii="宋体" w:hAnsi="宋体" w:eastAsia="宋体" w:cs="宋体"/>
          <w:color w:val="auto"/>
          <w:sz w:val="21"/>
          <w:szCs w:val="21"/>
          <w:highlight w:val="none"/>
          <w:u w:val="single"/>
        </w:rPr>
        <w:t xml:space="preserve">                        </w:t>
      </w:r>
    </w:p>
    <w:p w14:paraId="3FE3E760">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供 应 商（乙方）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项目名称</w:t>
      </w:r>
      <w:r>
        <w:rPr>
          <w:rFonts w:hint="eastAsia" w:ascii="宋体" w:hAnsi="宋体" w:eastAsia="宋体" w:cs="宋体"/>
          <w:color w:val="auto"/>
          <w:spacing w:val="-20"/>
          <w:sz w:val="21"/>
          <w:szCs w:val="21"/>
          <w:highlight w:val="none"/>
        </w:rPr>
        <w:t>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4BAD66C3">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签  订  地  点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签 订 时 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71130462">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p>
    <w:p w14:paraId="18071898">
      <w:pPr>
        <w:pStyle w:val="14"/>
        <w:keepNext w:val="0"/>
        <w:keepLines w:val="0"/>
        <w:pageBreakBefore w:val="0"/>
        <w:kinsoku/>
        <w:overflowPunct/>
        <w:topLinePunct w:val="0"/>
        <w:autoSpaceDE/>
        <w:autoSpaceDN/>
        <w:bidi w:val="0"/>
        <w:adjustRightInd/>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根据《中华人民共和国政府采购法》、《中华人民共和国民法典》等法律、法规规定，按照招标文件规定条款和中标供应商投标文件及其承诺，甲乙双方签订本合同。</w:t>
      </w:r>
    </w:p>
    <w:p w14:paraId="61D56B36">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第一条　合同标的</w:t>
      </w:r>
    </w:p>
    <w:p w14:paraId="6AEBBC42">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1.供货一览表</w:t>
      </w:r>
    </w:p>
    <w:tbl>
      <w:tblPr>
        <w:tblStyle w:val="20"/>
        <w:tblW w:w="9764"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1"/>
        <w:gridCol w:w="1125"/>
        <w:gridCol w:w="1145"/>
        <w:gridCol w:w="1167"/>
        <w:gridCol w:w="1192"/>
        <w:gridCol w:w="996"/>
        <w:gridCol w:w="833"/>
        <w:gridCol w:w="975"/>
        <w:gridCol w:w="1260"/>
      </w:tblGrid>
      <w:tr w14:paraId="795E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1071" w:type="dxa"/>
            <w:vAlign w:val="center"/>
          </w:tcPr>
          <w:p w14:paraId="45E23599">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125" w:type="dxa"/>
            <w:vAlign w:val="center"/>
          </w:tcPr>
          <w:p w14:paraId="6CAA556F">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w:t>
            </w:r>
          </w:p>
          <w:p w14:paraId="05C67FD1">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1145" w:type="dxa"/>
            <w:vAlign w:val="center"/>
          </w:tcPr>
          <w:p w14:paraId="5E137916">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商标</w:t>
            </w:r>
          </w:p>
          <w:p w14:paraId="7BD19C83">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品牌</w:t>
            </w:r>
          </w:p>
        </w:tc>
        <w:tc>
          <w:tcPr>
            <w:tcW w:w="1167" w:type="dxa"/>
            <w:vAlign w:val="center"/>
          </w:tcPr>
          <w:p w14:paraId="60CA3B51">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型号</w:t>
            </w:r>
          </w:p>
          <w:p w14:paraId="0E4A9320">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参数</w:t>
            </w:r>
          </w:p>
        </w:tc>
        <w:tc>
          <w:tcPr>
            <w:tcW w:w="1192" w:type="dxa"/>
            <w:vAlign w:val="center"/>
          </w:tcPr>
          <w:p w14:paraId="3C30D7B8">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生产</w:t>
            </w:r>
          </w:p>
          <w:p w14:paraId="147A5B62">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厂家</w:t>
            </w:r>
          </w:p>
        </w:tc>
        <w:tc>
          <w:tcPr>
            <w:tcW w:w="996" w:type="dxa"/>
            <w:vAlign w:val="center"/>
          </w:tcPr>
          <w:p w14:paraId="13511397">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  量</w:t>
            </w:r>
          </w:p>
        </w:tc>
        <w:tc>
          <w:tcPr>
            <w:tcW w:w="833" w:type="dxa"/>
            <w:vAlign w:val="center"/>
          </w:tcPr>
          <w:p w14:paraId="69E38D43">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975" w:type="dxa"/>
            <w:vAlign w:val="center"/>
          </w:tcPr>
          <w:p w14:paraId="65671898">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  价</w:t>
            </w:r>
          </w:p>
          <w:p w14:paraId="21C56F2E">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（元）</w:t>
            </w:r>
          </w:p>
        </w:tc>
        <w:tc>
          <w:tcPr>
            <w:tcW w:w="1260" w:type="dxa"/>
            <w:vAlign w:val="center"/>
          </w:tcPr>
          <w:p w14:paraId="01AFCA1C">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金  额</w:t>
            </w:r>
          </w:p>
          <w:p w14:paraId="67105F69">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（元）</w:t>
            </w:r>
          </w:p>
        </w:tc>
      </w:tr>
      <w:tr w14:paraId="64628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trPr>
        <w:tc>
          <w:tcPr>
            <w:tcW w:w="9764" w:type="dxa"/>
            <w:gridSpan w:val="9"/>
            <w:vAlign w:val="center"/>
          </w:tcPr>
          <w:p w14:paraId="2C846AE9">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详细内容见“</w:t>
            </w:r>
            <w:r>
              <w:rPr>
                <w:rFonts w:hint="eastAsia" w:ascii="宋体" w:hAnsi="宋体" w:eastAsia="宋体" w:cs="宋体"/>
                <w:b/>
                <w:color w:val="auto"/>
                <w:sz w:val="21"/>
                <w:szCs w:val="21"/>
                <w:highlight w:val="none"/>
              </w:rPr>
              <w:t>投标报价明细表</w:t>
            </w:r>
            <w:r>
              <w:rPr>
                <w:rFonts w:hint="eastAsia" w:ascii="宋体" w:hAnsi="宋体" w:eastAsia="宋体" w:cs="宋体"/>
                <w:color w:val="auto"/>
                <w:sz w:val="21"/>
                <w:szCs w:val="21"/>
                <w:highlight w:val="none"/>
              </w:rPr>
              <w:t>”</w:t>
            </w:r>
          </w:p>
        </w:tc>
      </w:tr>
      <w:tr w14:paraId="471C6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764" w:type="dxa"/>
            <w:gridSpan w:val="9"/>
            <w:vAlign w:val="center"/>
          </w:tcPr>
          <w:p w14:paraId="726142A1">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人民币合计金额（大写）                          （小写）                 </w:t>
            </w:r>
          </w:p>
        </w:tc>
      </w:tr>
    </w:tbl>
    <w:p w14:paraId="76DA4E99">
      <w:pPr>
        <w:pStyle w:val="14"/>
        <w:keepNext w:val="0"/>
        <w:keepLines w:val="0"/>
        <w:pageBreakBefore w:val="0"/>
        <w:kinsoku/>
        <w:overflowPunct/>
        <w:topLinePunct w:val="0"/>
        <w:autoSpaceDE/>
        <w:autoSpaceDN/>
        <w:bidi w:val="0"/>
        <w:adjustRightInd/>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2.合同合计金额包括货物价款，备件、专用工具、安装、调试、检验、技术培训及技术资料和包装、运输等全部费用。如招投标文件对其另有规定的，从其规定。</w:t>
      </w:r>
    </w:p>
    <w:p w14:paraId="2BA90560">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第二条　质量保证</w:t>
      </w:r>
    </w:p>
    <w:p w14:paraId="2619F210">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1.乙方所提供的货物型号、技术规格、技术参数等质量必须与招投标文件和承诺相一致。乙方提供的节能和环保产品必须是列入政府采购清单的产品。</w:t>
      </w:r>
    </w:p>
    <w:p w14:paraId="6A5656E4">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2.乙方所提供的货物必须是全新、未使用的原装产品，且在正常安装、使用和保养条件下，其使用寿命期内各项指标均达到质量要求。</w:t>
      </w:r>
    </w:p>
    <w:p w14:paraId="0EF7B545">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第三条　权利保证</w:t>
      </w:r>
    </w:p>
    <w:p w14:paraId="31F0FF31">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乙方应保证所提供货物在使用时不会侵犯任何第三方的专利权、商标权、工业设计权或其他权利。</w:t>
      </w:r>
    </w:p>
    <w:p w14:paraId="742C4F5D">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乙方应按招标文件规定的时间向甲方提供使用货物的有关技术资料。</w:t>
      </w:r>
    </w:p>
    <w:p w14:paraId="74A4215B">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5C97FBCF">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乙方保证所交付的货物的所有权完全属于乙方且无任何抵押、质押、查封等产权瑕疵。</w:t>
      </w:r>
    </w:p>
    <w:p w14:paraId="587E2D48">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第四条　包装和运输</w:t>
      </w:r>
    </w:p>
    <w:p w14:paraId="2C4635B2">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1.乙方提供的货物均应按招投标文件要求的包装材料、包装标准、包装方式进行包装，每一包装单元内应附详细的装箱单和质量合格证。</w:t>
      </w:r>
    </w:p>
    <w:p w14:paraId="078D233B">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2.货物的运输方式：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7EA6FE5A">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3.乙方负责货物运输，货物运输合理损耗及计算方法：</w:t>
      </w:r>
      <w:r>
        <w:rPr>
          <w:rFonts w:hint="eastAsia" w:ascii="宋体" w:hAnsi="宋体" w:eastAsia="宋体" w:cs="宋体"/>
          <w:color w:val="auto"/>
          <w:sz w:val="21"/>
          <w:szCs w:val="21"/>
          <w:highlight w:val="none"/>
          <w:u w:val="single"/>
        </w:rPr>
        <w:t xml:space="preserve">           。</w:t>
      </w:r>
    </w:p>
    <w:p w14:paraId="0521381E">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第五条　交付和验收</w:t>
      </w:r>
    </w:p>
    <w:p w14:paraId="244F46F8">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1.交付使用时间：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、地点：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p>
    <w:p w14:paraId="4D11D50A">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2.乙方提供不符合招投标文件和本合同规定的货物，甲方有权拒绝接受。</w:t>
      </w:r>
    </w:p>
    <w:p w14:paraId="44DDE383">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3.乙方应将所提供货物的装箱清单、用户手册、原厂保修卡、随机资料、工具和备品、备件等交付给甲方，如有缺失应及时补齐，否则视为逾期交货。</w:t>
      </w:r>
    </w:p>
    <w:p w14:paraId="47491471">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4.乙方提出正式验收申请后，学校逾期未验收的，方可视同验收合格。验收合格后由甲乙双方签署货物验收单并加盖采购单位公章，甲乙双方各执一份。如因甲方原因暂时不能安装、调试的货物，经双方签字确认后可视同验收合格。验收合格后由甲乙双方签署货物验收单并加盖采购单位公章，甲乙双方各执一份。甲方签字验收并不免除乙方按照合同约定履行安装、调试义务和对质量的保证，乙方应在甲方通知之日起五日内派员安装、调试货物，如超期不能履行义务的，甲方有权追究乙方的违约责任。</w:t>
      </w:r>
    </w:p>
    <w:p w14:paraId="5B61515E">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采购人委托本中心组织的验收项目，其验收时间以该项目验收方案确定的验收时间为准，验收结果以该项目验收报告结论为准。在验收过程中发现乙方有违约问题，可暂缓资金结算，待违约问题解决后，方可办理资金结算事宜。</w:t>
      </w:r>
    </w:p>
    <w:p w14:paraId="021DCD80">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6.甲方对验收有异议的，在验收后五个工作日内以书面形式向乙方提出，乙方应自收到甲方书面异议后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日内及时予以解决。</w:t>
      </w:r>
    </w:p>
    <w:p w14:paraId="689F9D9E">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第六条　安装和培训</w:t>
      </w:r>
    </w:p>
    <w:p w14:paraId="512B0E4E">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1.甲方应提供必要安装条件（如场地、电源、水源等）。</w:t>
      </w:r>
    </w:p>
    <w:p w14:paraId="35C83F98">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2.乙方负责甲方有关人员的培训。培训时间、地点：</w:t>
      </w:r>
      <w:r>
        <w:rPr>
          <w:rFonts w:hint="eastAsia" w:ascii="宋体" w:hAnsi="宋体" w:eastAsia="宋体" w:cs="宋体"/>
          <w:color w:val="auto"/>
          <w:sz w:val="21"/>
          <w:szCs w:val="21"/>
          <w:highlight w:val="none"/>
          <w:u w:val="single"/>
        </w:rPr>
        <w:t xml:space="preserve">             。</w:t>
      </w:r>
    </w:p>
    <w:p w14:paraId="7E262C0F">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第七条  售后服务、保修期</w:t>
      </w:r>
    </w:p>
    <w:p w14:paraId="4012094E">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1.乙方应按照国家有关法律法规和“三包”规定以及招投标文件和本合同所附的《服务承诺》，为甲方提供售后服务。</w:t>
      </w:r>
    </w:p>
    <w:p w14:paraId="53395923">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2.货物保修期：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
          <w:color w:val="auto"/>
          <w:sz w:val="21"/>
          <w:szCs w:val="21"/>
          <w:highlight w:val="none"/>
          <w:u w:val="single"/>
        </w:rPr>
        <w:t xml:space="preserve">  </w:t>
      </w:r>
      <w:r>
        <w:rPr>
          <w:rFonts w:hint="eastAsia" w:ascii="宋体" w:hAnsi="宋体" w:eastAsia="宋体" w:cs="宋体"/>
          <w:color w:val="auto"/>
          <w:sz w:val="21"/>
          <w:szCs w:val="21"/>
          <w:highlight w:val="none"/>
        </w:rPr>
        <w:t>。</w:t>
      </w:r>
    </w:p>
    <w:p w14:paraId="0ADCE49A">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3.乙方提供的服务承诺和售后服务及保修期责任等其它具体约定事项。（见合同附件）</w:t>
      </w:r>
    </w:p>
    <w:p w14:paraId="4E24CE77">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第八条　付款方式和保证金</w:t>
      </w:r>
    </w:p>
    <w:p w14:paraId="0E0373E2">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1.当采购数量与实际使用数量不一致时，乙方应根据实际使用量供货，合同的最终结算金额按实际使用量乘以中标单价进行计算。</w:t>
      </w:r>
    </w:p>
    <w:p w14:paraId="2A3B0F4E">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2.资金性质：</w:t>
      </w:r>
      <w:r>
        <w:rPr>
          <w:rFonts w:hint="eastAsia" w:ascii="宋体" w:hAnsi="宋体" w:eastAsia="宋体" w:cs="宋体"/>
          <w:color w:val="auto"/>
          <w:sz w:val="21"/>
          <w:szCs w:val="21"/>
          <w:highlight w:val="none"/>
          <w:u w:val="single"/>
        </w:rPr>
        <w:t>财政性资金。</w:t>
      </w:r>
    </w:p>
    <w:p w14:paraId="54E2BAFC">
      <w:pPr>
        <w:keepNext w:val="0"/>
        <w:keepLines w:val="0"/>
        <w:pageBreakBefore w:val="0"/>
        <w:widowControl/>
        <w:kinsoku/>
        <w:overflowPunct/>
        <w:topLinePunct w:val="0"/>
        <w:autoSpaceDE/>
        <w:autoSpaceDN/>
        <w:bidi w:val="0"/>
        <w:adjustRightInd/>
        <w:spacing w:line="400" w:lineRule="exact"/>
        <w:ind w:firstLine="420" w:firstLineChars="20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3.付款方式：</w:t>
      </w:r>
      <w:r>
        <w:rPr>
          <w:rFonts w:hint="eastAsia" w:ascii="宋体" w:hAnsi="宋体" w:eastAsia="宋体" w:cs="宋体"/>
          <w:color w:val="auto"/>
          <w:sz w:val="21"/>
          <w:szCs w:val="21"/>
          <w:highlight w:val="none"/>
          <w:u w:val="single"/>
          <w:lang w:val="en-US" w:eastAsia="zh-CN"/>
        </w:rPr>
        <w:t xml:space="preserve">          。</w:t>
      </w:r>
    </w:p>
    <w:p w14:paraId="19AB4CC3">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第九条 履约保证金 ：</w:t>
      </w:r>
    </w:p>
    <w:p w14:paraId="5501ECC9">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bCs/>
          <w:color w:val="auto"/>
          <w:sz w:val="21"/>
          <w:szCs w:val="21"/>
          <w:highlight w:val="none"/>
          <w:u w:val="single"/>
          <w:lang w:val="en-US" w:eastAsia="zh-CN"/>
        </w:rPr>
      </w:pPr>
      <w:r>
        <w:rPr>
          <w:rFonts w:hint="eastAsia" w:ascii="宋体" w:hAnsi="宋体" w:eastAsia="宋体" w:cs="宋体"/>
          <w:bCs/>
          <w:color w:val="auto"/>
          <w:sz w:val="21"/>
          <w:szCs w:val="21"/>
          <w:highlight w:val="none"/>
        </w:rPr>
        <w:t>1.履约保证金金额：</w:t>
      </w:r>
      <w:r>
        <w:rPr>
          <w:rFonts w:hint="eastAsia" w:ascii="宋体" w:hAnsi="宋体" w:eastAsia="宋体" w:cs="宋体"/>
          <w:bCs/>
          <w:color w:val="auto"/>
          <w:sz w:val="21"/>
          <w:szCs w:val="21"/>
          <w:highlight w:val="none"/>
          <w:u w:val="single"/>
          <w:lang w:val="en-US" w:eastAsia="zh-CN"/>
        </w:rPr>
        <w:t xml:space="preserve">                。</w:t>
      </w:r>
    </w:p>
    <w:p w14:paraId="1996EA66">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2.履约保证金递交方式：</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lang w:val="en-US" w:eastAsia="zh-CN"/>
        </w:rPr>
        <w:t xml:space="preserve"> </w:t>
      </w:r>
    </w:p>
    <w:p w14:paraId="718D1C20">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3.履约保证金递交时间：</w:t>
      </w:r>
      <w:r>
        <w:rPr>
          <w:rFonts w:hint="eastAsia" w:ascii="宋体" w:hAnsi="宋体" w:eastAsia="宋体" w:cs="宋体"/>
          <w:bCs/>
          <w:color w:val="auto"/>
          <w:sz w:val="21"/>
          <w:szCs w:val="21"/>
          <w:highlight w:val="none"/>
          <w:u w:val="single"/>
          <w:lang w:val="en-US" w:eastAsia="zh-CN"/>
        </w:rPr>
        <w:t xml:space="preserve">            。</w:t>
      </w:r>
    </w:p>
    <w:p w14:paraId="49C06ABD">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4.履约保证金退还：</w:t>
      </w:r>
      <w:r>
        <w:rPr>
          <w:rFonts w:hint="eastAsia" w:ascii="宋体" w:hAnsi="宋体" w:eastAsia="宋体" w:cs="宋体"/>
          <w:bCs/>
          <w:color w:val="auto"/>
          <w:sz w:val="21"/>
          <w:szCs w:val="21"/>
          <w:highlight w:val="none"/>
          <w:u w:val="single"/>
          <w:lang w:val="en-US" w:eastAsia="zh-CN"/>
        </w:rPr>
        <w:t xml:space="preserve">                。</w:t>
      </w:r>
    </w:p>
    <w:p w14:paraId="21C3DF2A">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开户名：</w:t>
      </w:r>
      <w:r>
        <w:rPr>
          <w:rFonts w:hint="eastAsia" w:ascii="宋体" w:hAnsi="宋体" w:eastAsia="宋体" w:cs="宋体"/>
          <w:bCs/>
          <w:color w:val="auto"/>
          <w:sz w:val="21"/>
          <w:szCs w:val="21"/>
          <w:highlight w:val="none"/>
          <w:u w:val="single"/>
          <w:lang w:val="en-US" w:eastAsia="zh-CN"/>
        </w:rPr>
        <w:t xml:space="preserve">          </w:t>
      </w:r>
    </w:p>
    <w:p w14:paraId="03585A9F">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开户行：</w:t>
      </w:r>
      <w:r>
        <w:rPr>
          <w:rFonts w:hint="eastAsia" w:ascii="宋体" w:hAnsi="宋体" w:eastAsia="宋体" w:cs="宋体"/>
          <w:bCs/>
          <w:color w:val="auto"/>
          <w:sz w:val="21"/>
          <w:szCs w:val="21"/>
          <w:highlight w:val="none"/>
          <w:u w:val="single"/>
          <w:lang w:val="en-US" w:eastAsia="zh-CN"/>
        </w:rPr>
        <w:t xml:space="preserve">          </w:t>
      </w:r>
    </w:p>
    <w:p w14:paraId="03D9F2A6">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bCs/>
          <w:color w:val="auto"/>
          <w:sz w:val="21"/>
          <w:szCs w:val="21"/>
          <w:highlight w:val="none"/>
          <w:u w:val="single"/>
          <w:lang w:val="en-US" w:eastAsia="zh-CN"/>
        </w:rPr>
      </w:pPr>
      <w:r>
        <w:rPr>
          <w:rFonts w:hint="eastAsia" w:ascii="宋体" w:hAnsi="宋体" w:eastAsia="宋体" w:cs="宋体"/>
          <w:bCs/>
          <w:color w:val="auto"/>
          <w:sz w:val="21"/>
          <w:szCs w:val="21"/>
          <w:highlight w:val="none"/>
        </w:rPr>
        <w:t>账  号：</w:t>
      </w:r>
      <w:r>
        <w:rPr>
          <w:rFonts w:hint="eastAsia" w:ascii="宋体" w:hAnsi="宋体" w:eastAsia="宋体" w:cs="宋体"/>
          <w:bCs/>
          <w:color w:val="auto"/>
          <w:sz w:val="21"/>
          <w:szCs w:val="21"/>
          <w:highlight w:val="none"/>
          <w:u w:val="single"/>
          <w:lang w:val="en-US" w:eastAsia="zh-CN"/>
        </w:rPr>
        <w:t xml:space="preserve">          </w:t>
      </w:r>
    </w:p>
    <w:p w14:paraId="1B61161A">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第十条 税费</w:t>
      </w:r>
    </w:p>
    <w:p w14:paraId="060F6615">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本合同执行中相关的一切税费均由乙方负担。</w:t>
      </w:r>
    </w:p>
    <w:p w14:paraId="4D0A2133">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第十一条 质量保证及售后服务</w:t>
      </w:r>
    </w:p>
    <w:p w14:paraId="1D27AD9A">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应按招标文件规定的货物性能、技术要求、质量标准向甲方提供未经使用的全新产品。乙方提供货物的质量保证期按交货验收合格之日起计（期限以采购需求的要求、乙方承诺、制造商质保中较长者为准）。在保证期内因货物本身的质量问题发生故障，乙方应负责免费修理和更换零部件。对达不到技术要求者，根据实际情况，甲方可按以下办法处理：</w:t>
      </w:r>
    </w:p>
    <w:p w14:paraId="1E130B8A">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⑴更换：由乙方承担所发生的全部费用。</w:t>
      </w:r>
    </w:p>
    <w:p w14:paraId="7E1F02CC">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⑵贬值处理：由甲乙双方合议定价。</w:t>
      </w:r>
    </w:p>
    <w:p w14:paraId="3E2CC10C">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⑶退货处理：乙方应退还甲方支付的合同款，同时应承担该货物的直接费用（运输、保险、检验、货款利息及银行手续费等）。</w:t>
      </w:r>
    </w:p>
    <w:p w14:paraId="531012CC">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2.如在使用过程中发生质量问题，乙方在接到甲方通知后在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小时内到达甲方现场。</w:t>
      </w:r>
    </w:p>
    <w:p w14:paraId="2806C5EA">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3.在质保期内，乙方应对货物出现的质量及安全问题负责处理解决并承担一切费用。</w:t>
      </w:r>
    </w:p>
    <w:p w14:paraId="4BC61565">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4.上述的货物因人为因素出现的故障不在免费保修范围内。超过保修期的机器设备，终生维修，维修时只收部件成本费。</w:t>
      </w:r>
    </w:p>
    <w:p w14:paraId="5D9CCB64">
      <w:pPr>
        <w:pStyle w:val="14"/>
        <w:keepNext w:val="0"/>
        <w:keepLines w:val="0"/>
        <w:pageBreakBefore w:val="0"/>
        <w:kinsoku/>
        <w:overflowPunct/>
        <w:topLinePunct w:val="0"/>
        <w:autoSpaceDE/>
        <w:autoSpaceDN/>
        <w:bidi w:val="0"/>
        <w:adjustRightInd/>
        <w:snapToGrid w:val="0"/>
        <w:spacing w:before="120" w:after="120" w:line="400" w:lineRule="exact"/>
        <w:ind w:firstLine="413" w:firstLineChars="196"/>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第十二条 调试和验收</w:t>
      </w:r>
    </w:p>
    <w:p w14:paraId="19A54E61">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1.甲方对乙方提交的货物依据招标文件上的技术规格要求和国家有关质量标准进行现场初步验收，外观、说明书符合招标文件技术要求的，给予签收，初步验收不合格的不予签收。货到后，</w:t>
      </w:r>
      <w:r>
        <w:rPr>
          <w:rFonts w:hint="eastAsia" w:ascii="宋体" w:hAnsi="宋体" w:eastAsia="宋体" w:cs="宋体"/>
          <w:bCs/>
          <w:color w:val="auto"/>
          <w:sz w:val="21"/>
          <w:szCs w:val="21"/>
          <w:highlight w:val="none"/>
        </w:rPr>
        <w:t>甲方应当在到货并安装、调试完后七个工作日内进行验收</w:t>
      </w:r>
      <w:r>
        <w:rPr>
          <w:rFonts w:hint="eastAsia" w:ascii="宋体" w:hAnsi="宋体" w:eastAsia="宋体" w:cs="宋体"/>
          <w:color w:val="auto"/>
          <w:sz w:val="21"/>
          <w:szCs w:val="21"/>
          <w:highlight w:val="none"/>
        </w:rPr>
        <w:t>。</w:t>
      </w:r>
    </w:p>
    <w:p w14:paraId="08A704AA">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2.乙方交货前应对产品作出全面检查和对验收文件进行整理，并列出清单，作为甲方收货验收和使用的技术条件依据，检验的结果应随货物交甲方。</w:t>
      </w:r>
    </w:p>
    <w:p w14:paraId="31EB97A2">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3.甲方对乙方提供的货物在使用前进行调试时，乙方需负责安装并培训甲方的使用操作人员，并协助甲方一起调试，直到符合技术要求，甲方才做最终验收。</w:t>
      </w:r>
    </w:p>
    <w:p w14:paraId="0BFD1696">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4.对技术复杂的货物，甲方应请国家认可的专业检测机构参与初步验收及最终验收，并由其出具质量检测报告，检测相关费用由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方承担。</w:t>
      </w:r>
    </w:p>
    <w:p w14:paraId="7C04382D">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5.验收时乙方必须在现场，验收完毕后作出验收结果报告；验收费用由乙方负责。</w:t>
      </w:r>
    </w:p>
    <w:p w14:paraId="62834973">
      <w:pPr>
        <w:pStyle w:val="14"/>
        <w:keepNext w:val="0"/>
        <w:keepLines w:val="0"/>
        <w:pageBreakBefore w:val="0"/>
        <w:kinsoku/>
        <w:overflowPunct/>
        <w:topLinePunct w:val="0"/>
        <w:autoSpaceDE/>
        <w:autoSpaceDN/>
        <w:bidi w:val="0"/>
        <w:adjustRightInd/>
        <w:snapToGrid w:val="0"/>
        <w:spacing w:before="120" w:after="120" w:line="400" w:lineRule="exact"/>
        <w:ind w:firstLine="413" w:firstLineChars="196"/>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第十三条 货物包装、发运及运输</w:t>
      </w:r>
    </w:p>
    <w:p w14:paraId="1F8F1BCB">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1.乙方应在货物发运前对其进行满足运输距离、防潮、防震、防锈和防破损装卸等要求包装，以保证货物安全运达甲方指定地点。</w:t>
      </w:r>
    </w:p>
    <w:p w14:paraId="2C01297F">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2.使用说明书、质量检验证明书、随配附件和工具以及清单一并附于货物内。</w:t>
      </w:r>
    </w:p>
    <w:p w14:paraId="6AA38B4F">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3.乙方在货物发运手续办理完毕后二十四小时内或货到甲方四十八小时前通知甲方，以准备接货。</w:t>
      </w:r>
    </w:p>
    <w:p w14:paraId="16DB0886">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4.货物在交付甲方前发生的风险均由乙方负责。</w:t>
      </w:r>
    </w:p>
    <w:p w14:paraId="19D04B21">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5.货物在规定的交付期限内由乙方送达甲方指定的地点并初步验收合格后视为交付，乙方同时需通知甲方货物已送达。</w:t>
      </w:r>
    </w:p>
    <w:p w14:paraId="3122A768">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第十四条　违约责任</w:t>
      </w:r>
    </w:p>
    <w:p w14:paraId="7FF63BCB">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                                       </w:t>
      </w:r>
    </w:p>
    <w:p w14:paraId="35EE0487">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2.乙方提供的货物如侵犯了第三方合法权益而引发的任何纠纷或诉讼，均由乙方负责交涉并承担全部责任。</w:t>
      </w:r>
    </w:p>
    <w:p w14:paraId="0B7891FC">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3.因包装、运输引起的货物损坏，按质量不合格处罚。</w:t>
      </w:r>
    </w:p>
    <w:p w14:paraId="3093C830">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4.甲方无故延期接收货物、乙方逾期交货的，每天向对方偿付违约货款额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违约金，但违约金累计不得超过违约货款额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，超过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天对方有权解除合同，违约方承担因此给对方造成经济损失；甲方延期付货款的，每天向乙方偿付延期货款额</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违约金，但违约金累计不得超过延期货款额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B1D457B">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5.乙方未按本合同和投标文件中规定的服务承诺提供售后服务的，乙方应按本合同合计金额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向甲方支付违约金。</w:t>
      </w:r>
    </w:p>
    <w:p w14:paraId="0FBBC21B">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6.乙方提供的货物在质量保证期内，因设计、工艺或材料的缺陷和其它质量原因造成的问题，由乙方负责，费用从履约保证金中扣除，履约保证金不足以支付的，由乙方另行支付。</w:t>
      </w:r>
    </w:p>
    <w:p w14:paraId="35383B42">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7.其它违约行为按违约货款额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%收取违约金并赔偿经济损失。</w:t>
      </w:r>
    </w:p>
    <w:p w14:paraId="3994DA3E">
      <w:pPr>
        <w:pStyle w:val="14"/>
        <w:keepNext w:val="0"/>
        <w:keepLines w:val="0"/>
        <w:pageBreakBefore w:val="0"/>
        <w:kinsoku/>
        <w:overflowPunct/>
        <w:topLinePunct w:val="0"/>
        <w:autoSpaceDE/>
        <w:autoSpaceDN/>
        <w:bidi w:val="0"/>
        <w:adjustRightInd/>
        <w:snapToGrid w:val="0"/>
        <w:spacing w:before="120" w:after="120" w:line="400" w:lineRule="exact"/>
        <w:ind w:firstLine="413" w:firstLineChars="196"/>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第十五条 不可抗力事件处理</w:t>
      </w:r>
    </w:p>
    <w:p w14:paraId="29448827">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1.在合同有效期内，任何一方因不可抗力事件导致不能履行合同，则合同履行期可延长，其延长期与不可抗力影响期相同。</w:t>
      </w:r>
    </w:p>
    <w:p w14:paraId="11EBCC54">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2.不可抗力事件发生后，应立即通知对方，并寄送有关权威机构出具的证明。</w:t>
      </w:r>
    </w:p>
    <w:p w14:paraId="41698423">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3.不可抗力事件延续一百二十天以上，双方应通过友好协商，确定是否继续履行合同。</w:t>
      </w:r>
    </w:p>
    <w:p w14:paraId="12043B72">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第十六条  合同争议解决</w:t>
      </w:r>
    </w:p>
    <w:p w14:paraId="5802D338">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1.因货物质量问题发生争议的，应邀请国家认可的质量检测机构按照国家标准对货物质量进行验收。货物符合国家标准的，鉴定费由甲方承担；货物不符合国家标准的，鉴定费由乙方承担。</w:t>
      </w:r>
    </w:p>
    <w:p w14:paraId="414D6BCF">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2.因履行本合同引起的或与本合同有关的争议，甲乙双方应首先通过友好协商解决，如果协商不能解决，可向甲方所在地人民法院提起诉讼。</w:t>
      </w:r>
    </w:p>
    <w:p w14:paraId="24DAC992">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3.诉讼期间，本合同继续履行。</w:t>
      </w:r>
    </w:p>
    <w:p w14:paraId="4F342349">
      <w:pPr>
        <w:pStyle w:val="14"/>
        <w:keepNext w:val="0"/>
        <w:keepLines w:val="0"/>
        <w:pageBreakBefore w:val="0"/>
        <w:kinsoku/>
        <w:overflowPunct/>
        <w:topLinePunct w:val="0"/>
        <w:autoSpaceDE/>
        <w:autoSpaceDN/>
        <w:bidi w:val="0"/>
        <w:adjustRightInd/>
        <w:snapToGrid w:val="0"/>
        <w:spacing w:before="120" w:after="120"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第十七条 合同生效及其它</w:t>
      </w:r>
    </w:p>
    <w:p w14:paraId="02B08F76">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合同经双方法定代表人或授权代表签字并加盖单位合同专用章或单位公章后生效。</w:t>
      </w:r>
    </w:p>
    <w:p w14:paraId="2AC0503D">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合同执行中涉及采购资金和采购内容修改或补充的，须经财政部门审批，并签书面补充协议报财政部门备案，方可作为主合同不可分割的一部分。</w:t>
      </w:r>
    </w:p>
    <w:p w14:paraId="2BEBC3DA">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本合同（包括招标文件和投标文件）未尽事宜，遵照《中华人民共和国民法典》有关条文执行。</w:t>
      </w:r>
    </w:p>
    <w:p w14:paraId="2154E469">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双方确认本合同落款通讯地址作为文书送达地址，该通讯地址适用于包括双方合同履行过程中的各类通知、协议等文件以及就合同发生争议进入民事诉讼程序后的一审、二审、再审和执行程序等阶段法律文书的送达。通讯地址需要变更时应当提前15个工作日书面通知对方。因提供或者确认的通讯地址不准确、通讯地址变更后未及时依程序告知对方或受送达方拒绝签收等原因，导致文书未能被实际接收的，邮寄送达的，以文书退回之日视为送达之日。</w:t>
      </w:r>
    </w:p>
    <w:p w14:paraId="7BF4CAEC">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第十八条　合同的变更、终止与转让</w:t>
      </w:r>
    </w:p>
    <w:p w14:paraId="32472C90">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1.除《中华人民共和国政府采购法》第五十条规定的情形外，本合同一经签订，甲乙双方不得擅自变更、中止或终止。</w:t>
      </w:r>
    </w:p>
    <w:p w14:paraId="046A117E">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2.未经甲方书面同意，乙方不得擅自转让（无进口资格的供应商委托进口货物除外）其应履行的合同义务。</w:t>
      </w:r>
    </w:p>
    <w:p w14:paraId="4EA5FBA3">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第十九条　签订本合同依据</w:t>
      </w:r>
    </w:p>
    <w:p w14:paraId="655F612C">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1.政府采购招标文件</w:t>
      </w:r>
    </w:p>
    <w:p w14:paraId="013FEBFB">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2.乙方提供的投标文件</w:t>
      </w:r>
    </w:p>
    <w:p w14:paraId="0A3EAF24">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3.投标函</w:t>
      </w:r>
    </w:p>
    <w:p w14:paraId="1E66CCE3">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4.中标通知书</w:t>
      </w:r>
    </w:p>
    <w:p w14:paraId="70F6B635">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5.其他约定附件</w:t>
      </w:r>
    </w:p>
    <w:p w14:paraId="7C92EB98">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第二十条　本合同一式柒份，具有同等法律效力。广西壮族自治区财政厅政府采购监督管理处、代理机构各一份，甲方四份，乙方一份。（可根据需要另增加）</w:t>
      </w:r>
    </w:p>
    <w:p w14:paraId="0A016704">
      <w:pPr>
        <w:keepNext w:val="0"/>
        <w:keepLines w:val="0"/>
        <w:pageBreakBefore w:val="0"/>
        <w:kinsoku/>
        <w:overflowPunct/>
        <w:topLinePunct w:val="0"/>
        <w:autoSpaceDE/>
        <w:autoSpaceDN/>
        <w:bidi w:val="0"/>
        <w:adjustRightInd/>
        <w:snapToGrid w:val="0"/>
        <w:spacing w:line="400" w:lineRule="exact"/>
        <w:ind w:firstLine="422" w:firstLineChars="200"/>
        <w:rPr>
          <w:rFonts w:hint="eastAsia" w:ascii="宋体" w:hAnsi="宋体" w:eastAsia="宋体" w:cs="宋体"/>
          <w:color w:val="auto"/>
          <w:spacing w:val="4"/>
          <w:sz w:val="21"/>
          <w:szCs w:val="21"/>
          <w:highlight w:val="none"/>
        </w:rPr>
      </w:pPr>
      <w:r>
        <w:rPr>
          <w:rFonts w:hint="eastAsia" w:ascii="宋体" w:hAnsi="宋体" w:eastAsia="宋体" w:cs="宋体"/>
          <w:b/>
          <w:color w:val="auto"/>
          <w:sz w:val="21"/>
          <w:szCs w:val="21"/>
          <w:highlight w:val="none"/>
        </w:rPr>
        <w:t>自签订之日起两个工作日内，甲方应当将合同通过广西政府采购云平台上传完成合同网上公示。</w:t>
      </w:r>
    </w:p>
    <w:p w14:paraId="37A6809F">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p>
    <w:p w14:paraId="4BA1A626">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p>
    <w:tbl>
      <w:tblPr>
        <w:tblStyle w:val="20"/>
        <w:tblW w:w="93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2"/>
        <w:gridCol w:w="4710"/>
      </w:tblGrid>
      <w:tr w14:paraId="79701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652" w:type="dxa"/>
            <w:vAlign w:val="center"/>
          </w:tcPr>
          <w:p w14:paraId="3E6B93F5">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甲方（章）           </w:t>
            </w:r>
          </w:p>
          <w:p w14:paraId="6E3489A3">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193194C4">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5B9BDC3B">
            <w:pPr>
              <w:keepNext w:val="0"/>
              <w:keepLines w:val="0"/>
              <w:pageBreakBefore w:val="0"/>
              <w:kinsoku/>
              <w:overflowPunct/>
              <w:topLinePunct w:val="0"/>
              <w:autoSpaceDE/>
              <w:autoSpaceDN/>
              <w:bidi w:val="0"/>
              <w:adjustRightInd/>
              <w:snapToGrid w:val="0"/>
              <w:spacing w:line="400" w:lineRule="exact"/>
              <w:ind w:firstLine="945" w:firstLineChars="45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tc>
        <w:tc>
          <w:tcPr>
            <w:tcW w:w="4710" w:type="dxa"/>
            <w:vAlign w:val="center"/>
          </w:tcPr>
          <w:p w14:paraId="562B7F4B">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乙方（章）              </w:t>
            </w:r>
          </w:p>
          <w:p w14:paraId="00E37653">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347DE60C">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52AEAF4B">
            <w:pPr>
              <w:keepNext w:val="0"/>
              <w:keepLines w:val="0"/>
              <w:pageBreakBefore w:val="0"/>
              <w:kinsoku/>
              <w:overflowPunct/>
              <w:topLinePunct w:val="0"/>
              <w:autoSpaceDE/>
              <w:autoSpaceDN/>
              <w:bidi w:val="0"/>
              <w:adjustRightInd/>
              <w:snapToGrid w:val="0"/>
              <w:spacing w:line="400" w:lineRule="exact"/>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r w14:paraId="6B9B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4652" w:type="dxa"/>
            <w:vAlign w:val="center"/>
          </w:tcPr>
          <w:p w14:paraId="716E1883">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通讯地址：</w:t>
            </w:r>
          </w:p>
        </w:tc>
        <w:tc>
          <w:tcPr>
            <w:tcW w:w="4710" w:type="dxa"/>
            <w:vAlign w:val="center"/>
          </w:tcPr>
          <w:p w14:paraId="2340C53A">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通讯地址：</w:t>
            </w:r>
          </w:p>
        </w:tc>
      </w:tr>
      <w:tr w14:paraId="78A11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4652" w:type="dxa"/>
            <w:vAlign w:val="center"/>
          </w:tcPr>
          <w:p w14:paraId="41AF3E2C">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p>
        </w:tc>
        <w:tc>
          <w:tcPr>
            <w:tcW w:w="4710" w:type="dxa"/>
            <w:vAlign w:val="center"/>
          </w:tcPr>
          <w:p w14:paraId="214B9B05">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p>
        </w:tc>
      </w:tr>
      <w:tr w14:paraId="7C846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4652" w:type="dxa"/>
            <w:vAlign w:val="center"/>
          </w:tcPr>
          <w:p w14:paraId="7C62519C">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w:t>
            </w:r>
          </w:p>
        </w:tc>
        <w:tc>
          <w:tcPr>
            <w:tcW w:w="4710" w:type="dxa"/>
            <w:vAlign w:val="center"/>
          </w:tcPr>
          <w:p w14:paraId="2FE1A02E">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w:t>
            </w:r>
          </w:p>
        </w:tc>
      </w:tr>
      <w:tr w14:paraId="3D0C9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4652" w:type="dxa"/>
            <w:vAlign w:val="center"/>
          </w:tcPr>
          <w:p w14:paraId="589BEA0F">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p>
        </w:tc>
        <w:tc>
          <w:tcPr>
            <w:tcW w:w="4710" w:type="dxa"/>
            <w:vAlign w:val="center"/>
          </w:tcPr>
          <w:p w14:paraId="38146402">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p>
        </w:tc>
      </w:tr>
      <w:tr w14:paraId="46C36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trPr>
        <w:tc>
          <w:tcPr>
            <w:tcW w:w="4652" w:type="dxa"/>
            <w:vAlign w:val="center"/>
          </w:tcPr>
          <w:p w14:paraId="2567D28F">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电子邮箱：</w:t>
            </w:r>
          </w:p>
        </w:tc>
        <w:tc>
          <w:tcPr>
            <w:tcW w:w="4710" w:type="dxa"/>
            <w:vAlign w:val="center"/>
          </w:tcPr>
          <w:p w14:paraId="1F6946EC">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电子邮箱：</w:t>
            </w:r>
          </w:p>
        </w:tc>
      </w:tr>
      <w:tr w14:paraId="16B59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4652" w:type="dxa"/>
            <w:vAlign w:val="center"/>
          </w:tcPr>
          <w:p w14:paraId="584B3548">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p>
        </w:tc>
        <w:tc>
          <w:tcPr>
            <w:tcW w:w="4710" w:type="dxa"/>
            <w:vAlign w:val="center"/>
          </w:tcPr>
          <w:p w14:paraId="368C5210">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p>
        </w:tc>
      </w:tr>
      <w:tr w14:paraId="47C75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trPr>
        <w:tc>
          <w:tcPr>
            <w:tcW w:w="4652" w:type="dxa"/>
            <w:vAlign w:val="center"/>
          </w:tcPr>
          <w:p w14:paraId="72208178">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w:t>
            </w:r>
          </w:p>
        </w:tc>
        <w:tc>
          <w:tcPr>
            <w:tcW w:w="4710" w:type="dxa"/>
            <w:vAlign w:val="center"/>
          </w:tcPr>
          <w:p w14:paraId="40210005">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w:t>
            </w:r>
          </w:p>
        </w:tc>
      </w:tr>
      <w:tr w14:paraId="7E5E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4" w:hRule="atLeast"/>
        </w:trPr>
        <w:tc>
          <w:tcPr>
            <w:tcW w:w="4652" w:type="dxa"/>
            <w:vAlign w:val="center"/>
          </w:tcPr>
          <w:p w14:paraId="02EC832F">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tc>
        <w:tc>
          <w:tcPr>
            <w:tcW w:w="4710" w:type="dxa"/>
            <w:vAlign w:val="center"/>
          </w:tcPr>
          <w:p w14:paraId="7AACA509">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tc>
      </w:tr>
      <w:tr w14:paraId="56216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9" w:hRule="atLeast"/>
        </w:trPr>
        <w:tc>
          <w:tcPr>
            <w:tcW w:w="9362" w:type="dxa"/>
            <w:gridSpan w:val="2"/>
          </w:tcPr>
          <w:p w14:paraId="55C11F80">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经办人：</w:t>
            </w:r>
          </w:p>
          <w:p w14:paraId="1AE291EC">
            <w:pPr>
              <w:keepNext w:val="0"/>
              <w:keepLines w:val="0"/>
              <w:pageBreakBefore w:val="0"/>
              <w:kinsoku/>
              <w:overflowPunct/>
              <w:topLinePunct w:val="0"/>
              <w:autoSpaceDE/>
              <w:autoSpaceDN/>
              <w:bidi w:val="0"/>
              <w:adjustRightInd/>
              <w:snapToGrid w:val="0"/>
              <w:spacing w:line="400" w:lineRule="exact"/>
              <w:ind w:firstLine="630" w:firstLineChars="300"/>
              <w:jc w:val="right"/>
              <w:rPr>
                <w:rFonts w:hint="eastAsia" w:ascii="宋体" w:hAnsi="宋体" w:eastAsia="宋体" w:cs="宋体"/>
                <w:color w:val="auto"/>
                <w:sz w:val="21"/>
                <w:szCs w:val="21"/>
                <w:highlight w:val="none"/>
              </w:rPr>
            </w:pPr>
          </w:p>
          <w:p w14:paraId="395B44CA">
            <w:pPr>
              <w:keepNext w:val="0"/>
              <w:keepLines w:val="0"/>
              <w:pageBreakBefore w:val="0"/>
              <w:kinsoku/>
              <w:overflowPunct/>
              <w:topLinePunct w:val="0"/>
              <w:autoSpaceDE/>
              <w:autoSpaceDN/>
              <w:bidi w:val="0"/>
              <w:adjustRightInd/>
              <w:snapToGrid w:val="0"/>
              <w:spacing w:line="400" w:lineRule="exact"/>
              <w:ind w:firstLine="630" w:firstLineChars="300"/>
              <w:jc w:val="right"/>
              <w:rPr>
                <w:rFonts w:hint="eastAsia" w:ascii="宋体" w:hAnsi="宋体" w:eastAsia="宋体" w:cs="宋体"/>
                <w:color w:val="auto"/>
                <w:sz w:val="21"/>
                <w:szCs w:val="21"/>
                <w:highlight w:val="none"/>
              </w:rPr>
            </w:pPr>
          </w:p>
          <w:p w14:paraId="3BE03A28">
            <w:pPr>
              <w:keepNext w:val="0"/>
              <w:keepLines w:val="0"/>
              <w:pageBreakBefore w:val="0"/>
              <w:kinsoku/>
              <w:overflowPunct/>
              <w:topLinePunct w:val="0"/>
              <w:autoSpaceDE/>
              <w:autoSpaceDN/>
              <w:bidi w:val="0"/>
              <w:adjustRightInd/>
              <w:snapToGrid w:val="0"/>
              <w:spacing w:line="400" w:lineRule="exact"/>
              <w:ind w:firstLine="630" w:firstLineChars="300"/>
              <w:jc w:val="right"/>
              <w:rPr>
                <w:rFonts w:hint="eastAsia" w:ascii="宋体" w:hAnsi="宋体" w:eastAsia="宋体" w:cs="宋体"/>
                <w:color w:val="auto"/>
                <w:sz w:val="21"/>
                <w:szCs w:val="21"/>
                <w:highlight w:val="none"/>
              </w:rPr>
            </w:pPr>
          </w:p>
          <w:p w14:paraId="67F3B718">
            <w:pPr>
              <w:keepNext w:val="0"/>
              <w:keepLines w:val="0"/>
              <w:pageBreakBefore w:val="0"/>
              <w:kinsoku/>
              <w:overflowPunct/>
              <w:topLinePunct w:val="0"/>
              <w:autoSpaceDE/>
              <w:autoSpaceDN/>
              <w:bidi w:val="0"/>
              <w:adjustRightInd/>
              <w:snapToGrid w:val="0"/>
              <w:spacing w:line="400" w:lineRule="exact"/>
              <w:ind w:firstLine="630" w:firstLineChars="300"/>
              <w:jc w:val="right"/>
              <w:rPr>
                <w:rFonts w:hint="eastAsia" w:ascii="宋体" w:hAnsi="宋体" w:eastAsia="宋体" w:cs="宋体"/>
                <w:color w:val="auto"/>
                <w:sz w:val="21"/>
                <w:szCs w:val="21"/>
                <w:highlight w:val="none"/>
              </w:rPr>
            </w:pPr>
          </w:p>
          <w:p w14:paraId="7FA76544">
            <w:pPr>
              <w:keepNext w:val="0"/>
              <w:keepLines w:val="0"/>
              <w:pageBreakBefore w:val="0"/>
              <w:kinsoku/>
              <w:overflowPunct/>
              <w:topLinePunct w:val="0"/>
              <w:autoSpaceDE/>
              <w:autoSpaceDN/>
              <w:bidi w:val="0"/>
              <w:adjustRightInd/>
              <w:snapToGrid w:val="0"/>
              <w:spacing w:line="400" w:lineRule="exact"/>
              <w:ind w:firstLine="630" w:firstLineChars="30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tc>
      </w:tr>
    </w:tbl>
    <w:p w14:paraId="061A4E32">
      <w:pPr>
        <w:keepNext w:val="0"/>
        <w:keepLines w:val="0"/>
        <w:pageBreakBefore w:val="0"/>
        <w:kinsoku/>
        <w:overflowPunct/>
        <w:topLinePunct w:val="0"/>
        <w:autoSpaceDE/>
        <w:autoSpaceDN/>
        <w:bidi w:val="0"/>
        <w:adjustRightInd/>
        <w:snapToGrid w:val="0"/>
        <w:spacing w:line="400" w:lineRule="exact"/>
        <w:ind w:left="420" w:hanging="420" w:hangingChars="200"/>
        <w:rPr>
          <w:rFonts w:hint="eastAsia" w:ascii="宋体" w:hAnsi="宋体" w:eastAsia="宋体" w:cs="宋体"/>
          <w:color w:val="auto"/>
          <w:sz w:val="21"/>
          <w:szCs w:val="21"/>
          <w:highlight w:val="none"/>
        </w:rPr>
      </w:pPr>
    </w:p>
    <w:p w14:paraId="79FB9E81">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b/>
          <w:color w:val="auto"/>
          <w:sz w:val="21"/>
          <w:szCs w:val="21"/>
          <w:highlight w:val="none"/>
        </w:rPr>
      </w:pPr>
    </w:p>
    <w:p w14:paraId="2064DA47">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b/>
          <w:color w:val="auto"/>
          <w:sz w:val="21"/>
          <w:szCs w:val="21"/>
          <w:highlight w:val="none"/>
        </w:rPr>
      </w:pPr>
    </w:p>
    <w:p w14:paraId="70446207">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b/>
          <w:color w:val="auto"/>
          <w:sz w:val="21"/>
          <w:szCs w:val="21"/>
          <w:highlight w:val="none"/>
        </w:rPr>
      </w:pPr>
    </w:p>
    <w:p w14:paraId="2D329CF2">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合 同 附 件</w:t>
      </w:r>
    </w:p>
    <w:tbl>
      <w:tblPr>
        <w:tblStyle w:val="20"/>
        <w:tblW w:w="485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47"/>
        <w:gridCol w:w="4225"/>
      </w:tblGrid>
      <w:tr w14:paraId="449CD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5000" w:type="pct"/>
            <w:gridSpan w:val="2"/>
            <w:tcBorders>
              <w:top w:val="single" w:color="auto" w:sz="4" w:space="0"/>
              <w:left w:val="single" w:color="auto" w:sz="4" w:space="0"/>
              <w:bottom w:val="single" w:color="auto" w:sz="4" w:space="0"/>
              <w:right w:val="single" w:color="auto" w:sz="4" w:space="0"/>
            </w:tcBorders>
          </w:tcPr>
          <w:p w14:paraId="15EEBACA">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1、供应商承诺具体事项：</w:t>
            </w:r>
          </w:p>
          <w:p w14:paraId="28B85E78">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5B3894BF">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7C947D07">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7C6B2458">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tc>
      </w:tr>
      <w:tr w14:paraId="23241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trPr>
        <w:tc>
          <w:tcPr>
            <w:tcW w:w="5000" w:type="pct"/>
            <w:gridSpan w:val="2"/>
            <w:tcBorders>
              <w:top w:val="single" w:color="auto" w:sz="4" w:space="0"/>
              <w:left w:val="single" w:color="auto" w:sz="4" w:space="0"/>
              <w:bottom w:val="single" w:color="auto" w:sz="4" w:space="0"/>
              <w:right w:val="single" w:color="auto" w:sz="4" w:space="0"/>
            </w:tcBorders>
          </w:tcPr>
          <w:p w14:paraId="25C7182B">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2、售后服务具体事项：</w:t>
            </w:r>
          </w:p>
          <w:p w14:paraId="18094889">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2B3AA99D">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79EA103F">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7D6D50BE">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tc>
      </w:tr>
      <w:tr w14:paraId="5CFC8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5000" w:type="pct"/>
            <w:gridSpan w:val="2"/>
            <w:tcBorders>
              <w:top w:val="single" w:color="auto" w:sz="4" w:space="0"/>
              <w:left w:val="single" w:color="auto" w:sz="4" w:space="0"/>
              <w:bottom w:val="single" w:color="auto" w:sz="4" w:space="0"/>
              <w:right w:val="single" w:color="auto" w:sz="4" w:space="0"/>
            </w:tcBorders>
          </w:tcPr>
          <w:p w14:paraId="4698EED4">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3、保修期责任：</w:t>
            </w:r>
          </w:p>
          <w:p w14:paraId="707B2AA0">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654B963B">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638F9F32">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70AD3C37">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tc>
      </w:tr>
      <w:tr w14:paraId="18F9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5000" w:type="pct"/>
            <w:gridSpan w:val="2"/>
            <w:tcBorders>
              <w:top w:val="single" w:color="auto" w:sz="4" w:space="0"/>
              <w:left w:val="single" w:color="auto" w:sz="4" w:space="0"/>
              <w:bottom w:val="single" w:color="auto" w:sz="4" w:space="0"/>
              <w:right w:val="single" w:color="auto" w:sz="4" w:space="0"/>
            </w:tcBorders>
          </w:tcPr>
          <w:p w14:paraId="622273FF">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4、其他具体事项：</w:t>
            </w:r>
          </w:p>
          <w:p w14:paraId="7709EF23">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50830B0B">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3DC95736">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03D59910">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3A2500F9">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14:paraId="42F5A391">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tc>
      </w:tr>
      <w:tr w14:paraId="651E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trPr>
        <w:tc>
          <w:tcPr>
            <w:tcW w:w="2746" w:type="pct"/>
            <w:tcBorders>
              <w:top w:val="single" w:color="auto" w:sz="4" w:space="0"/>
              <w:left w:val="single" w:color="auto" w:sz="4" w:space="0"/>
              <w:bottom w:val="single" w:color="auto" w:sz="4" w:space="0"/>
              <w:right w:val="single" w:color="auto" w:sz="4" w:space="0"/>
            </w:tcBorders>
            <w:vAlign w:val="center"/>
          </w:tcPr>
          <w:p w14:paraId="5F9DB2AC">
            <w:pPr>
              <w:keepNext w:val="0"/>
              <w:keepLines w:val="0"/>
              <w:pageBreakBefore w:val="0"/>
              <w:kinsoku/>
              <w:overflowPunct/>
              <w:topLinePunct w:val="0"/>
              <w:autoSpaceDE/>
              <w:autoSpaceDN/>
              <w:bidi w:val="0"/>
              <w:adjustRightInd/>
              <w:snapToGrid w:val="0"/>
              <w:spacing w:line="400" w:lineRule="exact"/>
              <w:ind w:firstLine="42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甲方（章）</w:t>
            </w:r>
          </w:p>
          <w:p w14:paraId="2DD5B9E0">
            <w:pPr>
              <w:keepNext w:val="0"/>
              <w:keepLines w:val="0"/>
              <w:pageBreakBefore w:val="0"/>
              <w:kinsoku/>
              <w:wordWrap w:val="0"/>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7462D2F0">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p>
          <w:p w14:paraId="4DA12267">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43258A79">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p>
          <w:p w14:paraId="52B58FD1">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p>
          <w:p w14:paraId="665C50DD">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p>
          <w:p w14:paraId="7510D985">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年   月   日 </w:t>
            </w:r>
          </w:p>
        </w:tc>
        <w:tc>
          <w:tcPr>
            <w:tcW w:w="2253" w:type="pct"/>
            <w:tcBorders>
              <w:top w:val="single" w:color="auto" w:sz="4" w:space="0"/>
              <w:left w:val="single" w:color="auto" w:sz="4" w:space="0"/>
              <w:bottom w:val="single" w:color="auto" w:sz="4" w:space="0"/>
              <w:right w:val="single" w:color="auto" w:sz="4" w:space="0"/>
            </w:tcBorders>
            <w:vAlign w:val="center"/>
          </w:tcPr>
          <w:p w14:paraId="541C3193">
            <w:pPr>
              <w:keepNext w:val="0"/>
              <w:keepLines w:val="0"/>
              <w:pageBreakBefore w:val="0"/>
              <w:kinsoku/>
              <w:overflowPunct/>
              <w:topLinePunct w:val="0"/>
              <w:autoSpaceDE/>
              <w:autoSpaceDN/>
              <w:bidi w:val="0"/>
              <w:adjustRightInd/>
              <w:snapToGrid w:val="0"/>
              <w:spacing w:line="400" w:lineRule="exact"/>
              <w:ind w:firstLine="42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乙方（章）</w:t>
            </w:r>
          </w:p>
          <w:p w14:paraId="6BB53EAF">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504D434E">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p>
          <w:p w14:paraId="05EE9425">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p>
          <w:p w14:paraId="246973FC">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p>
          <w:p w14:paraId="7D718443">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p>
          <w:p w14:paraId="5080EBD1">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tc>
      </w:tr>
    </w:tbl>
    <w:p w14:paraId="444B99D8">
      <w:pPr>
        <w:keepNext w:val="0"/>
        <w:keepLines w:val="0"/>
        <w:pageBreakBefore w:val="0"/>
        <w:kinsoku/>
        <w:overflowPunct/>
        <w:topLinePunct w:val="0"/>
        <w:autoSpaceDE/>
        <w:autoSpaceDN/>
        <w:bidi w:val="0"/>
        <w:adjustRightInd/>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注：售后服务事项填不下时可另加附页</w:t>
      </w:r>
    </w:p>
    <w:p w14:paraId="010A75CB">
      <w:pPr>
        <w:pStyle w:val="14"/>
        <w:keepNext w:val="0"/>
        <w:keepLines w:val="0"/>
        <w:pageBreakBefore w:val="0"/>
        <w:kinsoku/>
        <w:overflowPunct/>
        <w:topLinePunct w:val="0"/>
        <w:autoSpaceDE/>
        <w:autoSpaceDN/>
        <w:bidi w:val="0"/>
        <w:adjustRightInd/>
        <w:snapToGrid w:val="0"/>
        <w:spacing w:before="120" w:after="120" w:line="400" w:lineRule="exact"/>
        <w:jc w:val="center"/>
        <w:outlineLvl w:val="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3596513D">
      <w:pPr>
        <w:pStyle w:val="14"/>
        <w:snapToGrid w:val="0"/>
        <w:spacing w:before="120" w:after="120"/>
        <w:jc w:val="center"/>
        <w:outlineLvl w:val="0"/>
        <w:rPr>
          <w:rFonts w:hint="eastAsia" w:ascii="宋体" w:hAnsi="宋体" w:eastAsia="宋体" w:cs="宋体"/>
          <w:b/>
          <w:color w:val="auto"/>
          <w:sz w:val="32"/>
          <w:szCs w:val="32"/>
          <w:highlight w:val="none"/>
        </w:rPr>
      </w:pPr>
    </w:p>
    <w:p w14:paraId="194149D3">
      <w:pPr>
        <w:pStyle w:val="14"/>
        <w:snapToGrid w:val="0"/>
        <w:spacing w:before="120" w:after="120"/>
        <w:jc w:val="center"/>
        <w:outlineLvl w:val="0"/>
        <w:rPr>
          <w:rFonts w:hint="eastAsia" w:ascii="宋体" w:hAnsi="宋体" w:eastAsia="宋体" w:cs="宋体"/>
          <w:b/>
          <w:color w:val="auto"/>
          <w:sz w:val="32"/>
          <w:szCs w:val="32"/>
          <w:highlight w:val="none"/>
        </w:rPr>
      </w:pPr>
    </w:p>
    <w:p w14:paraId="49A6C731">
      <w:pPr>
        <w:pStyle w:val="14"/>
        <w:snapToGrid w:val="0"/>
        <w:spacing w:before="120" w:after="120"/>
        <w:jc w:val="center"/>
        <w:outlineLvl w:val="0"/>
        <w:rPr>
          <w:rFonts w:hint="eastAsia" w:ascii="宋体" w:hAnsi="宋体" w:eastAsia="宋体" w:cs="宋体"/>
          <w:b/>
          <w:color w:val="auto"/>
          <w:sz w:val="32"/>
          <w:szCs w:val="32"/>
          <w:highlight w:val="none"/>
        </w:rPr>
      </w:pPr>
    </w:p>
    <w:p w14:paraId="71B9E2A2">
      <w:pPr>
        <w:pStyle w:val="14"/>
        <w:snapToGrid w:val="0"/>
        <w:spacing w:before="120" w:after="120"/>
        <w:jc w:val="center"/>
        <w:outlineLvl w:val="0"/>
        <w:rPr>
          <w:rFonts w:hint="eastAsia" w:ascii="宋体" w:hAnsi="宋体" w:eastAsia="宋体" w:cs="宋体"/>
          <w:b/>
          <w:color w:val="auto"/>
          <w:sz w:val="32"/>
          <w:szCs w:val="32"/>
          <w:highlight w:val="none"/>
        </w:rPr>
      </w:pPr>
    </w:p>
    <w:p w14:paraId="5B3E57D2">
      <w:pPr>
        <w:pStyle w:val="14"/>
        <w:snapToGrid w:val="0"/>
        <w:spacing w:before="120" w:after="120"/>
        <w:jc w:val="center"/>
        <w:outlineLvl w:val="0"/>
        <w:rPr>
          <w:rFonts w:hint="eastAsia" w:ascii="宋体" w:hAnsi="宋体" w:eastAsia="宋体" w:cs="宋体"/>
          <w:b/>
          <w:color w:val="auto"/>
          <w:sz w:val="32"/>
          <w:szCs w:val="32"/>
          <w:highlight w:val="none"/>
        </w:rPr>
      </w:pPr>
    </w:p>
    <w:p w14:paraId="1E16FEA9">
      <w:pPr>
        <w:pStyle w:val="14"/>
        <w:snapToGrid w:val="0"/>
        <w:spacing w:before="120" w:after="120"/>
        <w:jc w:val="center"/>
        <w:outlineLvl w:val="0"/>
        <w:rPr>
          <w:rFonts w:hint="eastAsia" w:ascii="宋体" w:hAnsi="宋体" w:eastAsia="宋体" w:cs="宋体"/>
          <w:b/>
          <w:color w:val="auto"/>
          <w:sz w:val="32"/>
          <w:szCs w:val="32"/>
          <w:highlight w:val="none"/>
        </w:rPr>
      </w:pPr>
    </w:p>
    <w:p w14:paraId="74CC4CED">
      <w:pPr>
        <w:pStyle w:val="6"/>
        <w:rPr>
          <w:rFonts w:hint="eastAsia" w:ascii="宋体" w:hAnsi="宋体" w:eastAsia="宋体" w:cs="宋体"/>
          <w:b/>
          <w:color w:val="auto"/>
          <w:sz w:val="32"/>
          <w:szCs w:val="32"/>
          <w:highlight w:val="none"/>
        </w:rPr>
      </w:pPr>
    </w:p>
    <w:p w14:paraId="45103849">
      <w:pPr>
        <w:rPr>
          <w:rFonts w:hint="eastAsia" w:ascii="宋体" w:hAnsi="宋体" w:eastAsia="宋体" w:cs="宋体"/>
          <w:b/>
          <w:color w:val="auto"/>
          <w:sz w:val="32"/>
          <w:szCs w:val="32"/>
          <w:highlight w:val="none"/>
        </w:rPr>
      </w:pPr>
    </w:p>
    <w:p w14:paraId="4532F910">
      <w:pPr>
        <w:pStyle w:val="19"/>
        <w:rPr>
          <w:rFonts w:hint="eastAsia" w:ascii="宋体" w:hAnsi="宋体" w:eastAsia="宋体" w:cs="宋体"/>
          <w:b/>
          <w:color w:val="auto"/>
          <w:sz w:val="32"/>
          <w:szCs w:val="32"/>
          <w:highlight w:val="none"/>
        </w:rPr>
      </w:pPr>
    </w:p>
    <w:p w14:paraId="794822F5">
      <w:pPr>
        <w:pStyle w:val="19"/>
        <w:rPr>
          <w:rFonts w:hint="eastAsia" w:ascii="宋体" w:hAnsi="宋体" w:eastAsia="宋体" w:cs="宋体"/>
          <w:b/>
          <w:color w:val="auto"/>
          <w:sz w:val="32"/>
          <w:szCs w:val="32"/>
          <w:highlight w:val="none"/>
        </w:rPr>
      </w:pPr>
    </w:p>
    <w:p w14:paraId="306F9C85">
      <w:pPr>
        <w:pStyle w:val="14"/>
        <w:snapToGrid w:val="0"/>
        <w:spacing w:before="120" w:after="120"/>
        <w:jc w:val="center"/>
        <w:outlineLvl w:val="0"/>
        <w:rPr>
          <w:rFonts w:hint="eastAsia" w:ascii="宋体" w:hAnsi="宋体" w:eastAsia="宋体" w:cs="宋体"/>
          <w:b/>
          <w:color w:val="auto"/>
          <w:sz w:val="48"/>
          <w:szCs w:val="48"/>
          <w:highlight w:val="none"/>
        </w:rPr>
      </w:pPr>
    </w:p>
    <w:p w14:paraId="2E55BF86">
      <w:pPr>
        <w:pStyle w:val="14"/>
        <w:snapToGrid w:val="0"/>
        <w:spacing w:before="120" w:after="120"/>
        <w:jc w:val="center"/>
        <w:outlineLvl w:val="0"/>
        <w:rPr>
          <w:rFonts w:hint="eastAsia" w:ascii="宋体" w:hAnsi="宋体" w:eastAsia="宋体" w:cs="宋体"/>
          <w:b/>
          <w:color w:val="auto"/>
          <w:sz w:val="48"/>
          <w:szCs w:val="48"/>
          <w:highlight w:val="none"/>
        </w:rPr>
      </w:pPr>
      <w:r>
        <w:rPr>
          <w:rFonts w:hint="eastAsia" w:ascii="宋体" w:hAnsi="宋体" w:eastAsia="宋体" w:cs="宋体"/>
          <w:b/>
          <w:color w:val="auto"/>
          <w:sz w:val="48"/>
          <w:szCs w:val="48"/>
          <w:highlight w:val="none"/>
        </w:rPr>
        <w:t>第六章　投标文件格式</w:t>
      </w:r>
    </w:p>
    <w:p w14:paraId="321142B6">
      <w:pPr>
        <w:snapToGrid w:val="0"/>
        <w:spacing w:before="50" w:after="50"/>
        <w:outlineLvl w:val="1"/>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bookmarkStart w:id="9" w:name="_Toc254970697"/>
      <w:bookmarkStart w:id="10" w:name="_Toc254970556"/>
    </w:p>
    <w:bookmarkEnd w:id="9"/>
    <w:bookmarkEnd w:id="10"/>
    <w:p w14:paraId="05CCDAFB">
      <w:pPr>
        <w:snapToGrid w:val="0"/>
        <w:spacing w:before="156" w:beforeLines="50" w:after="50" w:line="360" w:lineRule="exact"/>
        <w:jc w:val="center"/>
        <w:outlineLvl w:val="1"/>
        <w:rPr>
          <w:rFonts w:hint="eastAsia" w:ascii="宋体" w:hAnsi="宋体" w:eastAsia="宋体" w:cs="宋体"/>
          <w:b/>
          <w:color w:val="auto"/>
          <w:sz w:val="32"/>
          <w:szCs w:val="32"/>
          <w:highlight w:val="none"/>
        </w:rPr>
      </w:pPr>
    </w:p>
    <w:p w14:paraId="64C592B1">
      <w:pPr>
        <w:pStyle w:val="19"/>
        <w:rPr>
          <w:rFonts w:hint="eastAsia" w:ascii="宋体" w:hAnsi="宋体" w:eastAsia="宋体" w:cs="宋体"/>
          <w:b/>
          <w:color w:val="auto"/>
          <w:sz w:val="32"/>
          <w:szCs w:val="32"/>
          <w:highlight w:val="none"/>
        </w:rPr>
      </w:pPr>
    </w:p>
    <w:p w14:paraId="4887AD88">
      <w:pPr>
        <w:pStyle w:val="19"/>
        <w:rPr>
          <w:rFonts w:hint="eastAsia" w:ascii="宋体" w:hAnsi="宋体" w:eastAsia="宋体" w:cs="宋体"/>
          <w:b/>
          <w:color w:val="auto"/>
          <w:sz w:val="32"/>
          <w:szCs w:val="32"/>
          <w:highlight w:val="none"/>
        </w:rPr>
      </w:pPr>
    </w:p>
    <w:p w14:paraId="7E6EB91F">
      <w:pPr>
        <w:pStyle w:val="19"/>
        <w:rPr>
          <w:rFonts w:hint="eastAsia" w:ascii="宋体" w:hAnsi="宋体" w:eastAsia="宋体" w:cs="宋体"/>
          <w:b/>
          <w:color w:val="auto"/>
          <w:sz w:val="32"/>
          <w:szCs w:val="32"/>
          <w:highlight w:val="none"/>
        </w:rPr>
      </w:pPr>
    </w:p>
    <w:p w14:paraId="45B2D9D8">
      <w:pPr>
        <w:keepNext w:val="0"/>
        <w:keepLines w:val="0"/>
        <w:pageBreakBefore w:val="0"/>
        <w:widowControl w:val="0"/>
        <w:kinsoku/>
        <w:wordWrap/>
        <w:overflowPunct/>
        <w:topLinePunct w:val="0"/>
        <w:autoSpaceDE/>
        <w:autoSpaceDN/>
        <w:bidi w:val="0"/>
        <w:adjustRightInd/>
        <w:snapToGrid w:val="0"/>
        <w:spacing w:before="156" w:beforeLines="50" w:after="50" w:line="700" w:lineRule="exact"/>
        <w:jc w:val="center"/>
        <w:textAlignment w:val="auto"/>
        <w:outlineLvl w:val="1"/>
        <w:rPr>
          <w:rFonts w:hint="eastAsia" w:ascii="宋体" w:hAnsi="宋体" w:eastAsia="宋体" w:cs="宋体"/>
          <w:b/>
          <w:color w:val="auto"/>
          <w:sz w:val="52"/>
          <w:szCs w:val="52"/>
          <w:highlight w:val="none"/>
        </w:rPr>
      </w:pPr>
      <w:r>
        <w:rPr>
          <w:rFonts w:hint="eastAsia" w:ascii="宋体" w:hAnsi="宋体" w:eastAsia="宋体" w:cs="宋体"/>
          <w:b/>
          <w:color w:val="auto"/>
          <w:sz w:val="52"/>
          <w:szCs w:val="52"/>
          <w:highlight w:val="none"/>
        </w:rPr>
        <w:t>投标文件格式</w:t>
      </w:r>
    </w:p>
    <w:p w14:paraId="7A3D233A">
      <w:pPr>
        <w:pStyle w:val="19"/>
        <w:rPr>
          <w:rFonts w:hint="eastAsia"/>
          <w:color w:val="auto"/>
          <w:highlight w:val="none"/>
        </w:rPr>
      </w:pPr>
    </w:p>
    <w:p w14:paraId="35C4E630">
      <w:pPr>
        <w:snapToGrid w:val="0"/>
        <w:spacing w:before="156" w:beforeLines="50" w:after="50" w:line="360" w:lineRule="exact"/>
        <w:jc w:val="center"/>
        <w:outlineLvl w:val="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一、</w:t>
      </w:r>
      <w:r>
        <w:rPr>
          <w:rFonts w:hint="eastAsia" w:ascii="宋体" w:hAnsi="宋体" w:eastAsia="宋体" w:cs="宋体"/>
          <w:b/>
          <w:color w:val="auto"/>
          <w:sz w:val="32"/>
          <w:szCs w:val="32"/>
          <w:highlight w:val="none"/>
        </w:rPr>
        <w:t>投标文件封面</w:t>
      </w:r>
      <w:r>
        <w:rPr>
          <w:rFonts w:hint="eastAsia" w:ascii="宋体" w:hAnsi="宋体" w:eastAsia="宋体" w:cs="宋体"/>
          <w:b/>
          <w:bCs/>
          <w:color w:val="auto"/>
          <w:sz w:val="32"/>
          <w:szCs w:val="32"/>
          <w:highlight w:val="none"/>
        </w:rPr>
        <w:t>格式</w:t>
      </w:r>
    </w:p>
    <w:p w14:paraId="14B0F6F0">
      <w:pPr>
        <w:snapToGrid w:val="0"/>
        <w:spacing w:before="156" w:beforeLines="50" w:after="50" w:line="360" w:lineRule="exact"/>
        <w:rPr>
          <w:rFonts w:hint="eastAsia" w:ascii="宋体" w:hAnsi="宋体" w:eastAsia="宋体" w:cs="宋体"/>
          <w:b/>
          <w:color w:val="auto"/>
          <w:sz w:val="32"/>
          <w:szCs w:val="32"/>
          <w:highlight w:val="none"/>
        </w:rPr>
      </w:pPr>
    </w:p>
    <w:p w14:paraId="6691B95C">
      <w:pPr>
        <w:snapToGrid w:val="0"/>
        <w:spacing w:before="156" w:beforeLines="50" w:after="50" w:line="360" w:lineRule="exact"/>
        <w:rPr>
          <w:rFonts w:hint="eastAsia" w:ascii="宋体" w:hAnsi="宋体" w:eastAsia="宋体" w:cs="宋体"/>
          <w:color w:val="auto"/>
          <w:sz w:val="32"/>
          <w:szCs w:val="32"/>
          <w:highlight w:val="none"/>
        </w:rPr>
      </w:pPr>
    </w:p>
    <w:p w14:paraId="1A37E439">
      <w:pPr>
        <w:snapToGrid w:val="0"/>
        <w:spacing w:before="156" w:beforeLines="50" w:after="50" w:line="360" w:lineRule="exact"/>
        <w:rPr>
          <w:rFonts w:hint="eastAsia"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p>
    <w:p w14:paraId="764B3240">
      <w:pPr>
        <w:snapToGrid w:val="0"/>
        <w:spacing w:before="156" w:beforeLines="50" w:after="50" w:line="36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投标文件</w:t>
      </w:r>
    </w:p>
    <w:p w14:paraId="7F8481F9">
      <w:pPr>
        <w:snapToGrid w:val="0"/>
        <w:spacing w:before="156" w:beforeLines="50" w:after="50" w:line="360" w:lineRule="exact"/>
        <w:rPr>
          <w:rFonts w:hint="eastAsia" w:ascii="宋体" w:hAnsi="宋体" w:eastAsia="宋体" w:cs="宋体"/>
          <w:bCs/>
          <w:color w:val="auto"/>
          <w:sz w:val="32"/>
          <w:szCs w:val="32"/>
          <w:highlight w:val="none"/>
        </w:rPr>
      </w:pPr>
    </w:p>
    <w:p w14:paraId="60357482">
      <w:pPr>
        <w:snapToGrid w:val="0"/>
        <w:spacing w:before="156" w:beforeLines="50" w:after="50" w:line="360" w:lineRule="exact"/>
        <w:ind w:firstLine="960" w:firstLineChars="3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项目名称： </w:t>
      </w:r>
    </w:p>
    <w:p w14:paraId="7A4F03DF">
      <w:pPr>
        <w:snapToGrid w:val="0"/>
        <w:spacing w:before="156" w:beforeLines="50" w:after="50" w:line="360" w:lineRule="exact"/>
        <w:ind w:firstLine="960" w:firstLineChars="3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5483FBAA">
      <w:pPr>
        <w:snapToGrid w:val="0"/>
        <w:spacing w:before="156" w:beforeLines="50" w:after="50" w:line="360" w:lineRule="exact"/>
        <w:ind w:firstLine="960" w:firstLineChars="3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所投分标：</w:t>
      </w:r>
      <w:r>
        <w:rPr>
          <w:rFonts w:hint="eastAsia" w:ascii="宋体" w:hAnsi="宋体" w:eastAsia="宋体" w:cs="宋体"/>
          <w:bCs/>
          <w:color w:val="auto"/>
          <w:sz w:val="32"/>
          <w:szCs w:val="32"/>
          <w:highlight w:val="none"/>
          <w:lang w:eastAsia="zh-CN"/>
        </w:rPr>
        <w:t>本项目</w:t>
      </w:r>
      <w:r>
        <w:rPr>
          <w:rFonts w:hint="eastAsia" w:ascii="宋体" w:hAnsi="宋体" w:eastAsia="宋体" w:cs="宋体"/>
          <w:bCs/>
          <w:color w:val="auto"/>
          <w:sz w:val="32"/>
          <w:szCs w:val="32"/>
          <w:highlight w:val="none"/>
          <w:lang w:val="en-US" w:eastAsia="zh-CN"/>
        </w:rPr>
        <w:t>/</w:t>
      </w:r>
      <w:r>
        <w:rPr>
          <w:rFonts w:hint="eastAsia" w:ascii="宋体" w:hAnsi="宋体" w:eastAsia="宋体" w:cs="宋体"/>
          <w:bCs/>
          <w:color w:val="auto"/>
          <w:sz w:val="32"/>
          <w:szCs w:val="32"/>
          <w:highlight w:val="none"/>
        </w:rPr>
        <w:t>分标</w:t>
      </w:r>
      <w:r>
        <w:rPr>
          <w:rFonts w:hint="eastAsia" w:ascii="宋体" w:hAnsi="宋体" w:eastAsia="宋体" w:cs="宋体"/>
          <w:bCs/>
          <w:color w:val="auto"/>
          <w:sz w:val="32"/>
          <w:szCs w:val="32"/>
          <w:highlight w:val="none"/>
          <w:u w:val="single"/>
        </w:rPr>
        <w:t xml:space="preserve">       </w:t>
      </w:r>
    </w:p>
    <w:p w14:paraId="6090C9BC">
      <w:pPr>
        <w:snapToGrid w:val="0"/>
        <w:spacing w:before="156" w:beforeLines="50" w:after="50" w:line="360" w:lineRule="exact"/>
        <w:ind w:firstLine="960" w:firstLineChars="3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投标人名称：（盖章）</w:t>
      </w:r>
    </w:p>
    <w:p w14:paraId="0B768E93">
      <w:pPr>
        <w:snapToGrid w:val="0"/>
        <w:spacing w:before="156" w:beforeLines="50" w:after="50" w:line="360" w:lineRule="exact"/>
        <w:ind w:firstLine="960" w:firstLineChars="3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投标人地址：</w:t>
      </w:r>
    </w:p>
    <w:p w14:paraId="786A306B">
      <w:pPr>
        <w:snapToGrid w:val="0"/>
        <w:spacing w:before="156" w:beforeLines="50" w:after="50" w:line="360" w:lineRule="exact"/>
        <w:jc w:val="center"/>
        <w:outlineLvl w:val="1"/>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年  月  日</w:t>
      </w:r>
    </w:p>
    <w:p w14:paraId="1679DB21">
      <w:pPr>
        <w:snapToGrid w:val="0"/>
        <w:spacing w:before="156" w:beforeLines="50" w:after="50" w:line="360" w:lineRule="exact"/>
        <w:jc w:val="center"/>
        <w:outlineLvl w:val="1"/>
        <w:rPr>
          <w:rFonts w:hint="eastAsia" w:ascii="宋体" w:hAnsi="宋体" w:eastAsia="宋体" w:cs="宋体"/>
          <w:bCs/>
          <w:color w:val="auto"/>
          <w:sz w:val="32"/>
          <w:szCs w:val="32"/>
          <w:highlight w:val="none"/>
        </w:rPr>
      </w:pPr>
      <w:bookmarkStart w:id="11" w:name="_Toc254970557"/>
      <w:bookmarkStart w:id="12" w:name="_Toc254970698"/>
    </w:p>
    <w:p w14:paraId="6A45BC5C">
      <w:pPr>
        <w:snapToGrid w:val="0"/>
        <w:spacing w:before="156" w:beforeLines="50" w:after="50" w:line="360" w:lineRule="exact"/>
        <w:outlineLvl w:val="1"/>
        <w:rPr>
          <w:rFonts w:hint="eastAsia" w:ascii="宋体" w:hAnsi="宋体" w:eastAsia="宋体" w:cs="宋体"/>
          <w:bCs/>
          <w:color w:val="auto"/>
          <w:sz w:val="24"/>
          <w:szCs w:val="24"/>
          <w:highlight w:val="none"/>
        </w:rPr>
      </w:pPr>
      <w:r>
        <w:rPr>
          <w:rFonts w:hint="eastAsia" w:ascii="宋体" w:hAnsi="宋体" w:eastAsia="宋体" w:cs="宋体"/>
          <w:bCs/>
          <w:color w:val="auto"/>
          <w:sz w:val="32"/>
          <w:szCs w:val="32"/>
          <w:highlight w:val="none"/>
        </w:rPr>
        <w:t xml:space="preserve"> </w:t>
      </w:r>
      <w:r>
        <w:rPr>
          <w:rFonts w:hint="eastAsia" w:ascii="宋体" w:hAnsi="宋体" w:eastAsia="宋体" w:cs="宋体"/>
          <w:bCs/>
          <w:color w:val="auto"/>
          <w:sz w:val="24"/>
          <w:szCs w:val="24"/>
          <w:highlight w:val="none"/>
        </w:rPr>
        <w:t xml:space="preserve">    [注：</w:t>
      </w:r>
      <w:r>
        <w:rPr>
          <w:rFonts w:hint="eastAsia" w:ascii="宋体" w:hAnsi="宋体" w:eastAsia="宋体" w:cs="宋体"/>
          <w:color w:val="auto"/>
          <w:sz w:val="24"/>
          <w:szCs w:val="24"/>
          <w:highlight w:val="none"/>
        </w:rPr>
        <w:t>投标文件由</w:t>
      </w:r>
      <w:r>
        <w:rPr>
          <w:rFonts w:hint="eastAsia" w:ascii="宋体" w:hAnsi="宋体" w:eastAsia="宋体" w:cs="宋体"/>
          <w:b/>
          <w:bCs/>
          <w:color w:val="auto"/>
          <w:sz w:val="24"/>
          <w:szCs w:val="24"/>
          <w:highlight w:val="none"/>
        </w:rPr>
        <w:t>资格文件、资信及商务文件、技术文件、投标报价文件</w:t>
      </w:r>
      <w:r>
        <w:rPr>
          <w:rFonts w:hint="eastAsia" w:ascii="宋体" w:hAnsi="宋体" w:eastAsia="宋体" w:cs="宋体"/>
          <w:b/>
          <w:color w:val="auto"/>
          <w:sz w:val="24"/>
          <w:szCs w:val="24"/>
          <w:highlight w:val="none"/>
        </w:rPr>
        <w:t>四部份</w:t>
      </w:r>
      <w:r>
        <w:rPr>
          <w:rFonts w:hint="eastAsia" w:ascii="宋体" w:hAnsi="宋体" w:eastAsia="宋体" w:cs="宋体"/>
          <w:color w:val="auto"/>
          <w:sz w:val="24"/>
          <w:szCs w:val="24"/>
          <w:highlight w:val="none"/>
        </w:rPr>
        <w:t>组成</w:t>
      </w:r>
      <w:r>
        <w:rPr>
          <w:rFonts w:hint="eastAsia" w:ascii="宋体" w:hAnsi="宋体" w:eastAsia="宋体" w:cs="宋体"/>
          <w:bCs/>
          <w:color w:val="auto"/>
          <w:sz w:val="24"/>
          <w:szCs w:val="24"/>
          <w:highlight w:val="none"/>
        </w:rPr>
        <w:t>]</w:t>
      </w:r>
    </w:p>
    <w:p w14:paraId="2B2CE8BE">
      <w:pPr>
        <w:snapToGrid w:val="0"/>
        <w:spacing w:before="156" w:beforeLines="50" w:after="50" w:line="360" w:lineRule="exact"/>
        <w:jc w:val="center"/>
        <w:outlineLvl w:val="0"/>
        <w:rPr>
          <w:rFonts w:hint="eastAsia" w:ascii="宋体" w:hAnsi="宋体" w:eastAsia="宋体" w:cs="宋体"/>
          <w:bCs/>
          <w:color w:val="auto"/>
          <w:sz w:val="32"/>
          <w:szCs w:val="32"/>
          <w:highlight w:val="none"/>
        </w:rPr>
      </w:pPr>
    </w:p>
    <w:p w14:paraId="4F35EE8A">
      <w:pPr>
        <w:snapToGrid w:val="0"/>
        <w:spacing w:before="156" w:beforeLines="50" w:after="50" w:line="360" w:lineRule="exact"/>
        <w:jc w:val="center"/>
        <w:outlineLvl w:val="0"/>
        <w:rPr>
          <w:rFonts w:hint="eastAsia" w:ascii="宋体" w:hAnsi="宋体" w:eastAsia="宋体" w:cs="宋体"/>
          <w:bCs/>
          <w:color w:val="auto"/>
          <w:sz w:val="32"/>
          <w:szCs w:val="32"/>
          <w:highlight w:val="none"/>
        </w:rPr>
      </w:pPr>
    </w:p>
    <w:p w14:paraId="24A1831D">
      <w:pPr>
        <w:snapToGrid w:val="0"/>
        <w:spacing w:before="156" w:beforeLines="50" w:after="50" w:line="360" w:lineRule="exact"/>
        <w:jc w:val="center"/>
        <w:outlineLvl w:val="0"/>
        <w:rPr>
          <w:rFonts w:hint="eastAsia" w:ascii="宋体" w:hAnsi="宋体" w:eastAsia="宋体" w:cs="宋体"/>
          <w:bCs/>
          <w:color w:val="auto"/>
          <w:sz w:val="32"/>
          <w:szCs w:val="32"/>
          <w:highlight w:val="none"/>
        </w:rPr>
      </w:pPr>
    </w:p>
    <w:p w14:paraId="11488EF8">
      <w:pPr>
        <w:snapToGrid w:val="0"/>
        <w:spacing w:before="156" w:beforeLines="50" w:after="50" w:line="360" w:lineRule="exact"/>
        <w:jc w:val="center"/>
        <w:outlineLvl w:val="0"/>
        <w:rPr>
          <w:rFonts w:hint="eastAsia" w:ascii="宋体" w:hAnsi="宋体" w:eastAsia="宋体" w:cs="宋体"/>
          <w:bCs/>
          <w:color w:val="auto"/>
          <w:sz w:val="32"/>
          <w:szCs w:val="32"/>
          <w:highlight w:val="none"/>
        </w:rPr>
      </w:pPr>
    </w:p>
    <w:p w14:paraId="584D1AFA">
      <w:pPr>
        <w:snapToGrid w:val="0"/>
        <w:spacing w:before="156" w:beforeLines="50" w:after="50" w:line="360" w:lineRule="exact"/>
        <w:jc w:val="center"/>
        <w:outlineLvl w:val="0"/>
        <w:rPr>
          <w:rFonts w:hint="eastAsia" w:ascii="宋体" w:hAnsi="宋体" w:eastAsia="宋体" w:cs="宋体"/>
          <w:bCs/>
          <w:color w:val="auto"/>
          <w:sz w:val="32"/>
          <w:szCs w:val="32"/>
          <w:highlight w:val="none"/>
        </w:rPr>
      </w:pPr>
    </w:p>
    <w:p w14:paraId="59F9C35B">
      <w:pPr>
        <w:snapToGrid w:val="0"/>
        <w:spacing w:before="156" w:beforeLines="50" w:after="50" w:line="360" w:lineRule="exact"/>
        <w:jc w:val="center"/>
        <w:outlineLvl w:val="0"/>
        <w:rPr>
          <w:rFonts w:hint="eastAsia" w:ascii="宋体" w:hAnsi="宋体" w:eastAsia="宋体" w:cs="宋体"/>
          <w:bCs/>
          <w:color w:val="auto"/>
          <w:sz w:val="32"/>
          <w:szCs w:val="32"/>
          <w:highlight w:val="none"/>
        </w:rPr>
      </w:pPr>
    </w:p>
    <w:p w14:paraId="7509F3A1">
      <w:pPr>
        <w:snapToGrid w:val="0"/>
        <w:spacing w:before="156" w:beforeLines="50" w:after="50" w:line="360" w:lineRule="exact"/>
        <w:jc w:val="center"/>
        <w:outlineLvl w:val="0"/>
        <w:rPr>
          <w:rFonts w:hint="eastAsia" w:ascii="宋体" w:hAnsi="宋体" w:eastAsia="宋体" w:cs="宋体"/>
          <w:bCs/>
          <w:color w:val="auto"/>
          <w:sz w:val="32"/>
          <w:szCs w:val="32"/>
          <w:highlight w:val="none"/>
        </w:rPr>
      </w:pPr>
    </w:p>
    <w:p w14:paraId="30A3610F">
      <w:pPr>
        <w:keepNext w:val="0"/>
        <w:keepLines w:val="0"/>
        <w:pageBreakBefore w:val="0"/>
        <w:widowControl w:val="0"/>
        <w:kinsoku/>
        <w:wordWrap/>
        <w:overflowPunct/>
        <w:topLinePunct w:val="0"/>
        <w:autoSpaceDE/>
        <w:autoSpaceDN/>
        <w:bidi w:val="0"/>
        <w:adjustRightInd/>
        <w:snapToGrid w:val="0"/>
        <w:spacing w:before="156" w:beforeLines="50" w:after="50" w:line="200" w:lineRule="exact"/>
        <w:jc w:val="center"/>
        <w:textAlignment w:val="auto"/>
        <w:outlineLvl w:val="0"/>
        <w:rPr>
          <w:rFonts w:hint="eastAsia" w:ascii="宋体" w:hAnsi="宋体" w:eastAsia="宋体" w:cs="宋体"/>
          <w:bCs/>
          <w:color w:val="auto"/>
          <w:sz w:val="32"/>
          <w:szCs w:val="32"/>
          <w:highlight w:val="none"/>
        </w:rPr>
      </w:pPr>
    </w:p>
    <w:p w14:paraId="6556792F">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jc w:val="center"/>
        <w:textAlignment w:val="auto"/>
        <w:outlineLvl w:val="0"/>
        <w:rPr>
          <w:rFonts w:hint="eastAsia" w:ascii="宋体" w:hAnsi="宋体" w:eastAsia="宋体" w:cs="宋体"/>
          <w:b/>
          <w:bCs w:val="0"/>
          <w:color w:val="auto"/>
          <w:sz w:val="30"/>
          <w:szCs w:val="30"/>
          <w:highlight w:val="none"/>
        </w:rPr>
      </w:pPr>
      <w:r>
        <w:rPr>
          <w:rFonts w:hint="eastAsia" w:ascii="宋体" w:hAnsi="宋体" w:eastAsia="宋体" w:cs="宋体"/>
          <w:b/>
          <w:bCs w:val="0"/>
          <w:color w:val="auto"/>
          <w:sz w:val="30"/>
          <w:szCs w:val="30"/>
          <w:highlight w:val="none"/>
        </w:rPr>
        <w:t>二、投标文件目录</w:t>
      </w:r>
    </w:p>
    <w:p w14:paraId="69AE2587">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jc w:val="center"/>
        <w:textAlignment w:val="auto"/>
        <w:outlineLvl w:val="1"/>
        <w:rPr>
          <w:rFonts w:hint="eastAsia" w:ascii="宋体" w:hAnsi="宋体" w:eastAsia="宋体" w:cs="宋体"/>
          <w:bCs/>
          <w:color w:val="auto"/>
          <w:sz w:val="32"/>
          <w:szCs w:val="32"/>
          <w:highlight w:val="none"/>
        </w:rPr>
      </w:pPr>
    </w:p>
    <w:p w14:paraId="77814463">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13" w:firstLineChars="196"/>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1.资格文件：</w:t>
      </w:r>
    </w:p>
    <w:p w14:paraId="56660E65">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val="0"/>
          <w:bCs/>
          <w:color w:val="auto"/>
          <w:sz w:val="21"/>
          <w:szCs w:val="21"/>
          <w:highlight w:val="none"/>
          <w:u w:val="none"/>
        </w:rPr>
        <w:t>（1）有</w:t>
      </w:r>
      <w:r>
        <w:rPr>
          <w:rFonts w:hint="eastAsia" w:ascii="宋体" w:hAnsi="宋体" w:eastAsia="宋体" w:cs="宋体"/>
          <w:color w:val="auto"/>
          <w:sz w:val="21"/>
          <w:szCs w:val="21"/>
          <w:highlight w:val="none"/>
          <w:u w:val="none"/>
        </w:rPr>
        <w:t>效的营业执照等证明文件复印件；</w:t>
      </w:r>
    </w:p>
    <w:p w14:paraId="1406F49A">
      <w:pPr>
        <w:pStyle w:val="14"/>
        <w:keepNext w:val="0"/>
        <w:keepLines w:val="0"/>
        <w:pageBreakBefore w:val="0"/>
        <w:widowControl w:val="0"/>
        <w:kinsoku w:val="0"/>
        <w:wordWrap/>
        <w:overflowPunct w:val="0"/>
        <w:topLinePunct w:val="0"/>
        <w:autoSpaceDE w:val="0"/>
        <w:autoSpaceDN w:val="0"/>
        <w:bidi w:val="0"/>
        <w:adjustRightInd w:val="0"/>
        <w:snapToGrid w:val="0"/>
        <w:spacing w:line="360" w:lineRule="exact"/>
        <w:ind w:leftChars="0" w:firstLine="422" w:firstLineChars="200"/>
        <w:textAlignment w:val="auto"/>
        <w:rPr>
          <w:rFonts w:hint="eastAsia" w:ascii="宋体" w:hAnsi="宋体" w:eastAsia="宋体" w:cs="宋体"/>
          <w:b/>
          <w:color w:val="auto"/>
          <w:sz w:val="21"/>
          <w:szCs w:val="21"/>
          <w:highlight w:val="none"/>
          <w:u w:val="none"/>
        </w:rPr>
      </w:pPr>
      <w:r>
        <w:rPr>
          <w:rFonts w:hint="eastAsia" w:ascii="宋体" w:hAnsi="宋体" w:eastAsia="宋体" w:cs="宋体"/>
          <w:b/>
          <w:bCs/>
          <w:color w:val="auto"/>
          <w:sz w:val="21"/>
          <w:szCs w:val="21"/>
          <w:highlight w:val="none"/>
          <w:u w:val="none"/>
        </w:rPr>
        <w:t>①投标人有效的营业执照等证明文件扫描件或其他电子文件，同时要加盖单位公章</w:t>
      </w:r>
      <w:r>
        <w:rPr>
          <w:rFonts w:hint="eastAsia" w:ascii="宋体" w:hAnsi="宋体" w:eastAsia="宋体" w:cs="宋体"/>
          <w:b/>
          <w:color w:val="auto"/>
          <w:sz w:val="21"/>
          <w:szCs w:val="21"/>
          <w:highlight w:val="none"/>
          <w:u w:val="none"/>
        </w:rPr>
        <w:t>（必须提供）</w:t>
      </w:r>
      <w:r>
        <w:rPr>
          <w:rFonts w:hint="eastAsia" w:ascii="宋体" w:hAnsi="宋体" w:eastAsia="宋体" w:cs="宋体"/>
          <w:color w:val="auto"/>
          <w:sz w:val="21"/>
          <w:szCs w:val="21"/>
          <w:highlight w:val="none"/>
          <w:u w:val="none"/>
        </w:rPr>
        <w:t>；</w:t>
      </w:r>
    </w:p>
    <w:p w14:paraId="7C51A671">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②对于有经营资质要求的，投标人必须提供有效的经营资质证书副本内页扫描件或其他电子文件，同时要加盖单位公章。</w:t>
      </w:r>
    </w:p>
    <w:p w14:paraId="422550D4">
      <w:pPr>
        <w:keepNext w:val="0"/>
        <w:keepLines w:val="0"/>
        <w:pageBreakBefore w:val="0"/>
        <w:widowControl w:val="0"/>
        <w:kinsoku w:val="0"/>
        <w:wordWrap/>
        <w:overflowPunct w:val="0"/>
        <w:topLinePunct w:val="0"/>
        <w:autoSpaceDE w:val="0"/>
        <w:autoSpaceDN w:val="0"/>
        <w:bidi w:val="0"/>
        <w:snapToGrid w:val="0"/>
        <w:spacing w:line="360" w:lineRule="exact"/>
        <w:ind w:leftChars="0" w:firstLine="422" w:firstLineChars="200"/>
        <w:jc w:val="left"/>
        <w:textAlignment w:val="auto"/>
        <w:rPr>
          <w:rFonts w:hint="eastAsia" w:ascii="宋体" w:hAnsi="宋体" w:eastAsia="宋体" w:cs="宋体"/>
          <w:b w:val="0"/>
          <w:bCs/>
          <w:color w:val="auto"/>
          <w:sz w:val="21"/>
          <w:szCs w:val="21"/>
          <w:highlight w:val="none"/>
          <w:u w:val="none"/>
        </w:rPr>
      </w:pPr>
      <w:r>
        <w:rPr>
          <w:rFonts w:hint="eastAsia" w:ascii="宋体" w:hAnsi="宋体" w:eastAsia="宋体" w:cs="宋体"/>
          <w:b/>
          <w:bCs w:val="0"/>
          <w:color w:val="auto"/>
          <w:sz w:val="21"/>
          <w:szCs w:val="21"/>
          <w:highlight w:val="none"/>
          <w:u w:val="none"/>
        </w:rPr>
        <w:t>（2）</w:t>
      </w:r>
      <w:r>
        <w:rPr>
          <w:rFonts w:hint="eastAsia" w:ascii="宋体" w:hAnsi="宋体" w:eastAsia="宋体" w:cs="宋体"/>
          <w:b/>
          <w:bCs w:val="0"/>
          <w:color w:val="auto"/>
          <w:kern w:val="0"/>
          <w:sz w:val="21"/>
          <w:szCs w:val="21"/>
          <w:highlight w:val="none"/>
          <w:u w:val="none"/>
        </w:rPr>
        <w:t>参加政府采购活动前三年内在经营活动中没有重大违法记录的书面声明</w:t>
      </w:r>
      <w:r>
        <w:rPr>
          <w:rFonts w:hint="eastAsia" w:ascii="宋体" w:hAnsi="宋体" w:eastAsia="宋体" w:cs="宋体"/>
          <w:b w:val="0"/>
          <w:bCs/>
          <w:color w:val="auto"/>
          <w:sz w:val="21"/>
          <w:szCs w:val="21"/>
          <w:highlight w:val="none"/>
          <w:u w:val="none"/>
        </w:rPr>
        <w:t>和信用记录查询方法；</w:t>
      </w:r>
    </w:p>
    <w:p w14:paraId="7F80C326">
      <w:pPr>
        <w:keepNext w:val="0"/>
        <w:keepLines w:val="0"/>
        <w:pageBreakBefore w:val="0"/>
        <w:widowControl w:val="0"/>
        <w:kinsoku w:val="0"/>
        <w:wordWrap/>
        <w:overflowPunct w:val="0"/>
        <w:topLinePunct w:val="0"/>
        <w:autoSpaceDE w:val="0"/>
        <w:autoSpaceDN w:val="0"/>
        <w:bidi w:val="0"/>
        <w:snapToGrid w:val="0"/>
        <w:spacing w:line="360" w:lineRule="exact"/>
        <w:ind w:leftChars="0" w:firstLine="422"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bCs/>
          <w:color w:val="auto"/>
          <w:sz w:val="21"/>
          <w:szCs w:val="21"/>
          <w:highlight w:val="none"/>
          <w:u w:val="none"/>
        </w:rPr>
        <w:t>①</w:t>
      </w:r>
      <w:r>
        <w:rPr>
          <w:rFonts w:hint="eastAsia" w:ascii="宋体" w:hAnsi="宋体" w:eastAsia="宋体" w:cs="宋体"/>
          <w:b/>
          <w:bCs/>
          <w:color w:val="auto"/>
          <w:kern w:val="0"/>
          <w:sz w:val="21"/>
          <w:szCs w:val="21"/>
          <w:highlight w:val="none"/>
          <w:u w:val="none"/>
        </w:rPr>
        <w:t>参加政府采购活动前三年内在经营活动中没有重大违法记录的书面声明</w:t>
      </w:r>
      <w:r>
        <w:rPr>
          <w:rFonts w:hint="eastAsia" w:ascii="宋体" w:hAnsi="宋体" w:eastAsia="宋体" w:cs="宋体"/>
          <w:color w:val="auto"/>
          <w:sz w:val="21"/>
          <w:szCs w:val="21"/>
          <w:highlight w:val="none"/>
          <w:u w:val="none"/>
        </w:rPr>
        <w:t>（格式自拟，</w:t>
      </w:r>
      <w:r>
        <w:rPr>
          <w:rFonts w:hint="eastAsia" w:ascii="宋体" w:hAnsi="宋体" w:eastAsia="宋体" w:cs="宋体"/>
          <w:b/>
          <w:bCs/>
          <w:color w:val="auto"/>
          <w:sz w:val="21"/>
          <w:szCs w:val="21"/>
          <w:highlight w:val="none"/>
          <w:u w:val="none"/>
        </w:rPr>
        <w:t>必须提供</w:t>
      </w:r>
      <w:r>
        <w:rPr>
          <w:rFonts w:hint="eastAsia" w:ascii="宋体" w:hAnsi="宋体" w:eastAsia="宋体" w:cs="宋体"/>
          <w:color w:val="auto"/>
          <w:sz w:val="21"/>
          <w:szCs w:val="21"/>
          <w:highlight w:val="none"/>
          <w:u w:val="none"/>
        </w:rPr>
        <w:t>）；</w:t>
      </w:r>
    </w:p>
    <w:p w14:paraId="0B0C77A2">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②供应商可在“信用中国”网站（www.creditchina.gov.cn）、中国政府采购网（www.ccgp.gov.cn）查询相关供应商主体信用记录。</w:t>
      </w:r>
    </w:p>
    <w:p w14:paraId="565FBA89">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“信用中国”网站查询方法：投标人在本项目投标截止时间前10日内,进入投标人基本信息页面，点击“下载信用报告”后点击“下载”。</w:t>
      </w:r>
    </w:p>
    <w:p w14:paraId="7AAD866D">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“中国政府采购网”的查询方法：点击“政府采购严重违法失信行为记录名单”进行查询。截止时间为本项目投标截止时间前10日至投标截止时间中任意一天。</w:t>
      </w:r>
    </w:p>
    <w:p w14:paraId="2EE2505C">
      <w:pPr>
        <w:keepNext w:val="0"/>
        <w:keepLines w:val="0"/>
        <w:pageBreakBefore w:val="0"/>
        <w:widowControl w:val="0"/>
        <w:kinsoku w:val="0"/>
        <w:wordWrap/>
        <w:overflowPunct w:val="0"/>
        <w:topLinePunct w:val="0"/>
        <w:autoSpaceDE w:val="0"/>
        <w:autoSpaceDN w:val="0"/>
        <w:bidi w:val="0"/>
        <w:snapToGrid w:val="0"/>
        <w:spacing w:line="360" w:lineRule="exact"/>
        <w:ind w:leftChars="0" w:firstLine="0" w:firstLineChars="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14:paraId="318B28CA">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13" w:firstLineChars="196"/>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2.资信及商务文件：</w:t>
      </w:r>
    </w:p>
    <w:p w14:paraId="27B0F675">
      <w:pPr>
        <w:keepNext w:val="0"/>
        <w:keepLines w:val="0"/>
        <w:pageBreakBefore w:val="0"/>
        <w:widowControl w:val="0"/>
        <w:kinsoku w:val="0"/>
        <w:wordWrap/>
        <w:overflowPunct w:val="0"/>
        <w:topLinePunct w:val="0"/>
        <w:autoSpaceDE w:val="0"/>
        <w:autoSpaceDN w:val="0"/>
        <w:bidi w:val="0"/>
        <w:snapToGrid w:val="0"/>
        <w:spacing w:line="360" w:lineRule="exact"/>
        <w:ind w:leftChars="0" w:firstLine="422"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color w:val="auto"/>
          <w:sz w:val="21"/>
          <w:szCs w:val="21"/>
          <w:highlight w:val="none"/>
          <w:u w:val="none"/>
        </w:rPr>
        <w:t>（1）投标保证金的相关证明扫描件或其他电子文件（必须提供）</w:t>
      </w:r>
      <w:r>
        <w:rPr>
          <w:rFonts w:hint="eastAsia" w:ascii="宋体" w:hAnsi="宋体" w:eastAsia="宋体" w:cs="宋体"/>
          <w:color w:val="auto"/>
          <w:sz w:val="21"/>
          <w:szCs w:val="21"/>
          <w:highlight w:val="none"/>
          <w:u w:val="none"/>
        </w:rPr>
        <w:t>；</w:t>
      </w:r>
    </w:p>
    <w:p w14:paraId="58B2941E">
      <w:pPr>
        <w:keepNext w:val="0"/>
        <w:keepLines w:val="0"/>
        <w:pageBreakBefore w:val="0"/>
        <w:widowControl w:val="0"/>
        <w:kinsoku w:val="0"/>
        <w:wordWrap/>
        <w:overflowPunct w:val="0"/>
        <w:topLinePunct w:val="0"/>
        <w:autoSpaceDE w:val="0"/>
        <w:autoSpaceDN w:val="0"/>
        <w:bidi w:val="0"/>
        <w:snapToGrid w:val="0"/>
        <w:spacing w:line="360" w:lineRule="exact"/>
        <w:ind w:leftChars="0" w:firstLine="422"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color w:val="auto"/>
          <w:sz w:val="21"/>
          <w:szCs w:val="21"/>
          <w:highlight w:val="none"/>
          <w:u w:val="none"/>
        </w:rPr>
        <w:t>（2）投标声明书 (格式见第六章)（必须提供）</w:t>
      </w:r>
      <w:r>
        <w:rPr>
          <w:rFonts w:hint="eastAsia" w:ascii="宋体" w:hAnsi="宋体" w:eastAsia="宋体" w:cs="宋体"/>
          <w:color w:val="auto"/>
          <w:sz w:val="21"/>
          <w:szCs w:val="21"/>
          <w:highlight w:val="none"/>
          <w:u w:val="none"/>
        </w:rPr>
        <w:t>；</w:t>
      </w:r>
    </w:p>
    <w:p w14:paraId="29017258">
      <w:pPr>
        <w:keepNext w:val="0"/>
        <w:keepLines w:val="0"/>
        <w:pageBreakBefore w:val="0"/>
        <w:widowControl w:val="0"/>
        <w:kinsoku w:val="0"/>
        <w:wordWrap/>
        <w:overflowPunct w:val="0"/>
        <w:topLinePunct w:val="0"/>
        <w:autoSpaceDE w:val="0"/>
        <w:autoSpaceDN w:val="0"/>
        <w:bidi w:val="0"/>
        <w:snapToGrid w:val="0"/>
        <w:spacing w:line="360" w:lineRule="exact"/>
        <w:ind w:leftChars="0" w:firstLine="422" w:firstLineChars="200"/>
        <w:jc w:val="left"/>
        <w:textAlignment w:val="auto"/>
        <w:rPr>
          <w:rFonts w:hint="eastAsia" w:ascii="宋体" w:hAnsi="宋体" w:eastAsia="宋体" w:cs="宋体"/>
          <w:b w:val="0"/>
          <w:bCs/>
          <w:color w:val="auto"/>
          <w:sz w:val="21"/>
          <w:szCs w:val="21"/>
          <w:highlight w:val="none"/>
          <w:u w:val="none"/>
        </w:rPr>
      </w:pPr>
      <w:r>
        <w:rPr>
          <w:rFonts w:hint="eastAsia" w:ascii="宋体" w:hAnsi="宋体" w:eastAsia="宋体" w:cs="宋体"/>
          <w:b/>
          <w:color w:val="auto"/>
          <w:sz w:val="21"/>
          <w:szCs w:val="21"/>
          <w:highlight w:val="none"/>
          <w:u w:val="none"/>
        </w:rPr>
        <w:t>（3）法定代表人授权委托书和委托代理人身份证扫描件或其他电子文件（格式见第六章)（必须提供）</w:t>
      </w:r>
      <w:r>
        <w:rPr>
          <w:rFonts w:hint="eastAsia" w:ascii="宋体" w:hAnsi="宋体" w:eastAsia="宋体" w:cs="宋体"/>
          <w:color w:val="auto"/>
          <w:sz w:val="21"/>
          <w:szCs w:val="21"/>
          <w:highlight w:val="none"/>
          <w:u w:val="none"/>
        </w:rPr>
        <w:t>；</w:t>
      </w:r>
      <w:r>
        <w:rPr>
          <w:rFonts w:hint="eastAsia" w:ascii="宋体" w:hAnsi="宋体" w:eastAsia="宋体" w:cs="宋体"/>
          <w:b w:val="0"/>
          <w:bCs/>
          <w:color w:val="auto"/>
          <w:sz w:val="21"/>
          <w:szCs w:val="21"/>
          <w:highlight w:val="none"/>
          <w:u w:val="none"/>
        </w:rPr>
        <w:t>当法定代表人参加投标时，必须提供法定代表人身份证扫描件或其他电子文件；</w:t>
      </w:r>
    </w:p>
    <w:p w14:paraId="7DA4FC1E">
      <w:pPr>
        <w:keepNext w:val="0"/>
        <w:keepLines w:val="0"/>
        <w:pageBreakBefore w:val="0"/>
        <w:widowControl w:val="0"/>
        <w:kinsoku w:val="0"/>
        <w:wordWrap/>
        <w:overflowPunct w:val="0"/>
        <w:topLinePunct w:val="0"/>
        <w:autoSpaceDE w:val="0"/>
        <w:autoSpaceDN w:val="0"/>
        <w:bidi w:val="0"/>
        <w:snapToGrid w:val="0"/>
        <w:spacing w:line="360" w:lineRule="exact"/>
        <w:ind w:leftChars="0" w:firstLine="422"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（4）投标截止之日前半年内投标人连续三个月的依法缴纳税费或依法免缴税费的证明（扫描件或其他电子文件，格式自拟）（必须提供）；</w:t>
      </w:r>
      <w:r>
        <w:rPr>
          <w:rFonts w:hint="eastAsia" w:ascii="宋体" w:hAnsi="宋体" w:eastAsia="宋体" w:cs="宋体"/>
          <w:color w:val="auto"/>
          <w:sz w:val="21"/>
          <w:szCs w:val="21"/>
          <w:highlight w:val="none"/>
          <w:u w:val="none"/>
        </w:rPr>
        <w:t>无纳税记录的，应提供由投标人所在地主管国税或地税部门出具的《依法纳税或依法免税证明》（格式</w:t>
      </w:r>
      <w:r>
        <w:rPr>
          <w:rFonts w:hint="eastAsia" w:ascii="宋体" w:hAnsi="宋体" w:eastAsia="宋体" w:cs="宋体"/>
          <w:b w:val="0"/>
          <w:bCs w:val="0"/>
          <w:color w:val="auto"/>
          <w:sz w:val="21"/>
          <w:szCs w:val="21"/>
          <w:highlight w:val="none"/>
          <w:u w:val="none"/>
        </w:rPr>
        <w:t>自拟，扫描件或其他电子文件）。</w:t>
      </w:r>
    </w:p>
    <w:p w14:paraId="748CCCF4">
      <w:pPr>
        <w:keepNext w:val="0"/>
        <w:keepLines w:val="0"/>
        <w:pageBreakBefore w:val="0"/>
        <w:widowControl w:val="0"/>
        <w:kinsoku w:val="0"/>
        <w:wordWrap/>
        <w:overflowPunct w:val="0"/>
        <w:topLinePunct w:val="0"/>
        <w:autoSpaceDE w:val="0"/>
        <w:autoSpaceDN w:val="0"/>
        <w:bidi w:val="0"/>
        <w:snapToGrid w:val="0"/>
        <w:spacing w:line="360" w:lineRule="exact"/>
        <w:ind w:leftChars="0" w:firstLine="422"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（5）投标截止之日前半年内投标人连续三个月的依法缴纳社保费的缴费凭证</w:t>
      </w:r>
      <w:r>
        <w:rPr>
          <w:rFonts w:hint="eastAsia" w:ascii="宋体" w:hAnsi="宋体" w:eastAsia="宋体" w:cs="宋体"/>
          <w:color w:val="auto"/>
          <w:sz w:val="21"/>
          <w:szCs w:val="21"/>
          <w:highlight w:val="none"/>
          <w:u w:val="none"/>
        </w:rPr>
        <w:t>（</w:t>
      </w:r>
      <w:r>
        <w:rPr>
          <w:rFonts w:hint="eastAsia" w:ascii="宋体" w:hAnsi="宋体" w:eastAsia="宋体" w:cs="宋体"/>
          <w:b/>
          <w:color w:val="auto"/>
          <w:sz w:val="21"/>
          <w:szCs w:val="21"/>
          <w:highlight w:val="none"/>
          <w:u w:val="none"/>
        </w:rPr>
        <w:t>扫描件或其他电子文件，格式自拟）（必须提供）；</w:t>
      </w:r>
      <w:r>
        <w:rPr>
          <w:rFonts w:hint="eastAsia" w:ascii="宋体" w:hAnsi="宋体" w:eastAsia="宋体" w:cs="宋体"/>
          <w:color w:val="auto"/>
          <w:sz w:val="21"/>
          <w:szCs w:val="21"/>
          <w:highlight w:val="none"/>
          <w:u w:val="none"/>
        </w:rPr>
        <w:t>无缴费记录的，应提供由投标人所在地</w:t>
      </w:r>
      <w:r>
        <w:rPr>
          <w:rFonts w:hint="eastAsia" w:ascii="宋体" w:hAnsi="宋体" w:eastAsia="宋体" w:cs="宋体"/>
          <w:b w:val="0"/>
          <w:bCs w:val="0"/>
          <w:color w:val="auto"/>
          <w:sz w:val="21"/>
          <w:szCs w:val="21"/>
          <w:highlight w:val="none"/>
          <w:u w:val="none"/>
        </w:rPr>
        <w:t>社保部门出具的《依法缴纳或依法免缴社保费证明》（格式自拟，扫描件或其他电子文件）。</w:t>
      </w:r>
    </w:p>
    <w:p w14:paraId="28550FD0">
      <w:pPr>
        <w:keepNext w:val="0"/>
        <w:keepLines w:val="0"/>
        <w:pageBreakBefore w:val="0"/>
        <w:widowControl w:val="0"/>
        <w:kinsoku w:val="0"/>
        <w:wordWrap/>
        <w:overflowPunct w:val="0"/>
        <w:topLinePunct w:val="0"/>
        <w:autoSpaceDE w:val="0"/>
        <w:autoSpaceDN w:val="0"/>
        <w:bidi w:val="0"/>
        <w:snapToGrid w:val="0"/>
        <w:spacing w:line="360" w:lineRule="exact"/>
        <w:ind w:leftChars="0" w:firstLine="422"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（6）财务状况报告（格式自拟，必须提供）；</w:t>
      </w:r>
    </w:p>
    <w:p w14:paraId="64510508">
      <w:pPr>
        <w:keepNext w:val="0"/>
        <w:keepLines w:val="0"/>
        <w:pageBreakBefore w:val="0"/>
        <w:widowControl w:val="0"/>
        <w:kinsoku w:val="0"/>
        <w:wordWrap/>
        <w:overflowPunct w:val="0"/>
        <w:topLinePunct w:val="0"/>
        <w:autoSpaceDE w:val="0"/>
        <w:autoSpaceDN w:val="0"/>
        <w:bidi w:val="0"/>
        <w:snapToGrid w:val="0"/>
        <w:spacing w:line="360" w:lineRule="exact"/>
        <w:ind w:leftChars="0" w:firstLine="422"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color w:val="auto"/>
          <w:kern w:val="0"/>
          <w:sz w:val="21"/>
          <w:szCs w:val="21"/>
          <w:highlight w:val="none"/>
          <w:u w:val="none"/>
        </w:rPr>
        <w:t>（7）</w:t>
      </w:r>
      <w:r>
        <w:rPr>
          <w:rFonts w:hint="eastAsia" w:ascii="宋体" w:hAnsi="宋体" w:eastAsia="宋体" w:cs="宋体"/>
          <w:b/>
          <w:color w:val="auto"/>
          <w:sz w:val="21"/>
          <w:szCs w:val="21"/>
          <w:highlight w:val="none"/>
          <w:u w:val="none"/>
        </w:rPr>
        <w:t>具备履行合同所必需的设备和专业技术能力的证明材料（内容、格式自拟，必须提供）</w:t>
      </w:r>
      <w:r>
        <w:rPr>
          <w:rFonts w:hint="eastAsia" w:ascii="宋体" w:hAnsi="宋体" w:eastAsia="宋体" w:cs="宋体"/>
          <w:b/>
          <w:color w:val="auto"/>
          <w:kern w:val="0"/>
          <w:sz w:val="21"/>
          <w:szCs w:val="21"/>
          <w:highlight w:val="none"/>
          <w:u w:val="none"/>
        </w:rPr>
        <w:t>；</w:t>
      </w:r>
    </w:p>
    <w:p w14:paraId="3CEC9A23">
      <w:pPr>
        <w:keepNext w:val="0"/>
        <w:keepLines w:val="0"/>
        <w:pageBreakBefore w:val="0"/>
        <w:widowControl w:val="0"/>
        <w:kinsoku w:val="0"/>
        <w:wordWrap/>
        <w:overflowPunct w:val="0"/>
        <w:topLinePunct w:val="0"/>
        <w:autoSpaceDE w:val="0"/>
        <w:autoSpaceDN w:val="0"/>
        <w:bidi w:val="0"/>
        <w:snapToGrid w:val="0"/>
        <w:spacing w:line="360" w:lineRule="exact"/>
        <w:ind w:leftChars="0" w:firstLine="422"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（8）商务响应表</w:t>
      </w:r>
      <w:r>
        <w:rPr>
          <w:rFonts w:hint="eastAsia" w:ascii="宋体" w:hAnsi="宋体" w:eastAsia="宋体" w:cs="宋体"/>
          <w:color w:val="auto"/>
          <w:sz w:val="21"/>
          <w:szCs w:val="21"/>
          <w:highlight w:val="none"/>
          <w:u w:val="none"/>
        </w:rPr>
        <w:t>（格式见第六章）</w:t>
      </w:r>
      <w:r>
        <w:rPr>
          <w:rFonts w:hint="eastAsia" w:ascii="宋体" w:hAnsi="宋体" w:eastAsia="宋体" w:cs="宋体"/>
          <w:b/>
          <w:color w:val="auto"/>
          <w:sz w:val="21"/>
          <w:szCs w:val="21"/>
          <w:highlight w:val="none"/>
          <w:u w:val="none"/>
        </w:rPr>
        <w:t>（必须提供）；</w:t>
      </w:r>
    </w:p>
    <w:p w14:paraId="6F8938B8">
      <w:pPr>
        <w:keepNext w:val="0"/>
        <w:keepLines w:val="0"/>
        <w:pageBreakBefore w:val="0"/>
        <w:widowControl w:val="0"/>
        <w:kinsoku w:val="0"/>
        <w:wordWrap/>
        <w:overflowPunct w:val="0"/>
        <w:topLinePunct w:val="0"/>
        <w:autoSpaceDE w:val="0"/>
        <w:autoSpaceDN w:val="0"/>
        <w:bidi w:val="0"/>
        <w:snapToGrid w:val="0"/>
        <w:spacing w:line="360" w:lineRule="exact"/>
        <w:ind w:leftChars="0" w:firstLine="0" w:firstLineChars="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 xml:space="preserve">  ▲（9）</w:t>
      </w:r>
      <w:r>
        <w:rPr>
          <w:rFonts w:hint="eastAsia" w:ascii="宋体" w:hAnsi="宋体" w:eastAsia="宋体" w:cs="宋体"/>
          <w:b/>
          <w:color w:val="auto"/>
          <w:sz w:val="21"/>
          <w:szCs w:val="21"/>
          <w:highlight w:val="none"/>
          <w:u w:val="none"/>
        </w:rPr>
        <w:t>招标项目采购需求中要求必须提供的材料等；</w:t>
      </w:r>
    </w:p>
    <w:p w14:paraId="109DA6B3">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（10）具备法律、行政法规规定的其他条件的证明材料</w:t>
      </w:r>
      <w:r>
        <w:rPr>
          <w:rFonts w:hint="eastAsia" w:ascii="宋体" w:hAnsi="宋体" w:eastAsia="宋体" w:cs="宋体"/>
          <w:b/>
          <w:color w:val="auto"/>
          <w:sz w:val="21"/>
          <w:szCs w:val="21"/>
          <w:highlight w:val="none"/>
          <w:u w:val="none"/>
        </w:rPr>
        <w:t>(如有规定,则必须提供)。</w:t>
      </w:r>
    </w:p>
    <w:p w14:paraId="67069D40">
      <w:pPr>
        <w:keepNext w:val="0"/>
        <w:keepLines w:val="0"/>
        <w:pageBreakBefore w:val="0"/>
        <w:widowControl w:val="0"/>
        <w:kinsoku w:val="0"/>
        <w:wordWrap/>
        <w:overflowPunct w:val="0"/>
        <w:topLinePunct w:val="0"/>
        <w:autoSpaceDE w:val="0"/>
        <w:autoSpaceDN w:val="0"/>
        <w:bidi w:val="0"/>
        <w:snapToGrid w:val="0"/>
        <w:spacing w:line="360" w:lineRule="exact"/>
        <w:ind w:leftChars="0" w:firstLine="422"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bCs/>
          <w:color w:val="auto"/>
          <w:sz w:val="21"/>
          <w:szCs w:val="21"/>
          <w:highlight w:val="none"/>
          <w:u w:val="none"/>
          <w:lang w:eastAsia="zh-CN"/>
        </w:rPr>
        <w:t>以下</w:t>
      </w:r>
      <w:r>
        <w:rPr>
          <w:rFonts w:hint="eastAsia" w:ascii="宋体" w:hAnsi="宋体" w:eastAsia="宋体" w:cs="宋体"/>
          <w:b/>
          <w:bCs/>
          <w:color w:val="auto"/>
          <w:sz w:val="21"/>
          <w:szCs w:val="21"/>
          <w:highlight w:val="none"/>
          <w:u w:val="none"/>
        </w:rPr>
        <w:t xml:space="preserve">可作为投标人资信评分的资质证明材料（可选）  </w:t>
      </w:r>
    </w:p>
    <w:p w14:paraId="2A8F140F">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（11）类似案例成功的业绩（投标人同类项目实施情况一览表、合同扫描件）；</w:t>
      </w:r>
    </w:p>
    <w:p w14:paraId="6678F273">
      <w:pPr>
        <w:keepNext w:val="0"/>
        <w:keepLines w:val="0"/>
        <w:pageBreakBefore w:val="0"/>
        <w:widowControl w:val="0"/>
        <w:kinsoku w:val="0"/>
        <w:wordWrap/>
        <w:overflowPunct w:val="0"/>
        <w:topLinePunct w:val="0"/>
        <w:autoSpaceDE w:val="0"/>
        <w:autoSpaceDN w:val="0"/>
        <w:bidi w:val="0"/>
        <w:snapToGrid w:val="0"/>
        <w:spacing w:line="360" w:lineRule="exact"/>
        <w:ind w:leftChars="0" w:firstLine="422"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color w:val="auto"/>
          <w:sz w:val="21"/>
          <w:szCs w:val="21"/>
          <w:highlight w:val="none"/>
          <w:u w:val="none"/>
        </w:rPr>
        <w:t>（</w:t>
      </w:r>
      <w:r>
        <w:rPr>
          <w:rFonts w:hint="eastAsia" w:ascii="宋体" w:hAnsi="宋体" w:eastAsia="宋体" w:cs="宋体"/>
          <w:color w:val="auto"/>
          <w:sz w:val="21"/>
          <w:szCs w:val="21"/>
          <w:highlight w:val="none"/>
          <w:u w:val="none"/>
        </w:rPr>
        <w:t>12</w:t>
      </w:r>
      <w:r>
        <w:rPr>
          <w:rFonts w:hint="eastAsia" w:ascii="宋体" w:hAnsi="宋体" w:eastAsia="宋体" w:cs="宋体"/>
          <w:b/>
          <w:color w:val="auto"/>
          <w:sz w:val="21"/>
          <w:szCs w:val="21"/>
          <w:highlight w:val="none"/>
          <w:u w:val="none"/>
        </w:rPr>
        <w:t>）</w:t>
      </w:r>
      <w:r>
        <w:rPr>
          <w:rFonts w:hint="eastAsia" w:ascii="宋体" w:hAnsi="宋体" w:eastAsia="宋体" w:cs="宋体"/>
          <w:color w:val="auto"/>
          <w:sz w:val="21"/>
          <w:szCs w:val="21"/>
          <w:highlight w:val="none"/>
          <w:u w:val="none"/>
        </w:rPr>
        <w:t>其他特殊资质证书（如本地化服务能力等）；</w:t>
      </w:r>
    </w:p>
    <w:p w14:paraId="003BE59F">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（13）节能环保产品或政府强制采购节能产品清单证书</w:t>
      </w:r>
      <w:r>
        <w:rPr>
          <w:rFonts w:hint="eastAsia" w:ascii="宋体" w:hAnsi="宋体" w:eastAsia="宋体" w:cs="宋体"/>
          <w:b/>
          <w:color w:val="auto"/>
          <w:sz w:val="21"/>
          <w:szCs w:val="21"/>
          <w:highlight w:val="none"/>
          <w:u w:val="none"/>
        </w:rPr>
        <w:t>；</w:t>
      </w:r>
    </w:p>
    <w:p w14:paraId="4F643401">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（14）投标人质量管理和质量保证体系等方面的认证证书；</w:t>
      </w:r>
    </w:p>
    <w:p w14:paraId="1E80DE1F">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（15）投标人认为可以证明其能力或业绩的其他材料；</w:t>
      </w:r>
    </w:p>
    <w:p w14:paraId="3CC7FBC5">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（16）投标人关于产品生产时间、升级或者更新淘汰计划、配件供应以及本单位债务纠纷、违法违规记录等方面的情况（内容见投标声明书）；</w:t>
      </w:r>
    </w:p>
    <w:p w14:paraId="0CA814EF">
      <w:pPr>
        <w:keepNext w:val="0"/>
        <w:keepLines w:val="0"/>
        <w:pageBreakBefore w:val="0"/>
        <w:widowControl w:val="0"/>
        <w:kinsoku w:val="0"/>
        <w:wordWrap/>
        <w:overflowPunct w:val="0"/>
        <w:topLinePunct w:val="0"/>
        <w:autoSpaceDE w:val="0"/>
        <w:autoSpaceDN w:val="0"/>
        <w:bidi w:val="0"/>
        <w:adjustRightInd w:val="0"/>
        <w:snapToGrid w:val="0"/>
        <w:spacing w:line="360" w:lineRule="exact"/>
        <w:ind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（17）中小企业声明函（格式见第六章，如有请提供）；</w:t>
      </w:r>
    </w:p>
    <w:p w14:paraId="6B72A7EF">
      <w:pPr>
        <w:keepNext w:val="0"/>
        <w:keepLines w:val="0"/>
        <w:pageBreakBefore w:val="0"/>
        <w:widowControl w:val="0"/>
        <w:kinsoku w:val="0"/>
        <w:wordWrap/>
        <w:overflowPunct w:val="0"/>
        <w:topLinePunct w:val="0"/>
        <w:autoSpaceDE w:val="0"/>
        <w:autoSpaceDN w:val="0"/>
        <w:bidi w:val="0"/>
        <w:adjustRightInd w:val="0"/>
        <w:snapToGrid w:val="0"/>
        <w:spacing w:line="360" w:lineRule="exact"/>
        <w:ind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（18）关于符合本国产品标准的声明函（格式见第六章，如有请提供）；</w:t>
      </w:r>
    </w:p>
    <w:p w14:paraId="7CA46ACC">
      <w:pPr>
        <w:keepNext w:val="0"/>
        <w:keepLines w:val="0"/>
        <w:pageBreakBefore w:val="0"/>
        <w:widowControl w:val="0"/>
        <w:kinsoku w:val="0"/>
        <w:wordWrap/>
        <w:overflowPunct w:val="0"/>
        <w:topLinePunct w:val="0"/>
        <w:autoSpaceDE w:val="0"/>
        <w:autoSpaceDN w:val="0"/>
        <w:bidi w:val="0"/>
        <w:adjustRightInd w:val="0"/>
        <w:snapToGrid w:val="0"/>
        <w:spacing w:line="360" w:lineRule="exact"/>
        <w:ind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（19）投标人情况介绍。</w:t>
      </w:r>
    </w:p>
    <w:p w14:paraId="49A47070">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13" w:firstLineChars="196"/>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3.技术文件</w:t>
      </w:r>
    </w:p>
    <w:p w14:paraId="73773A14">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（1）对本项目系统总体要求的理解；</w:t>
      </w:r>
    </w:p>
    <w:p w14:paraId="655E6424">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（2）</w:t>
      </w:r>
      <w:r>
        <w:rPr>
          <w:rFonts w:hint="eastAsia" w:ascii="宋体" w:hAnsi="宋体" w:eastAsia="宋体" w:cs="宋体"/>
          <w:b/>
          <w:color w:val="auto"/>
          <w:sz w:val="21"/>
          <w:szCs w:val="21"/>
          <w:highlight w:val="none"/>
          <w:u w:val="none"/>
        </w:rPr>
        <w:t>技术响应表（必须提供）；</w:t>
      </w:r>
    </w:p>
    <w:p w14:paraId="2584212C">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（3）设备配置清单（均不含报价）；</w:t>
      </w:r>
    </w:p>
    <w:p w14:paraId="4A1A20A5">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rPr>
        <w:t>（4）</w:t>
      </w:r>
      <w:r>
        <w:rPr>
          <w:rFonts w:hint="eastAsia" w:ascii="宋体" w:hAnsi="宋体" w:eastAsia="宋体" w:cs="宋体"/>
          <w:b/>
          <w:color w:val="auto"/>
          <w:sz w:val="21"/>
          <w:szCs w:val="21"/>
          <w:highlight w:val="none"/>
          <w:u w:val="none"/>
        </w:rPr>
        <w:t>售后服务承诺书</w:t>
      </w:r>
      <w:r>
        <w:rPr>
          <w:rFonts w:hint="eastAsia" w:ascii="宋体" w:hAnsi="宋体" w:eastAsia="宋体" w:cs="宋体"/>
          <w:color w:val="auto"/>
          <w:sz w:val="21"/>
          <w:szCs w:val="21"/>
          <w:highlight w:val="none"/>
          <w:u w:val="none"/>
        </w:rPr>
        <w:t>（应据项目实际要求描述如：投标人建议的安装、调试、验收方法或方案；技术服务、技术培训、售后服务的内容和措施等），</w:t>
      </w:r>
      <w:r>
        <w:rPr>
          <w:rFonts w:hint="eastAsia" w:ascii="宋体" w:hAnsi="宋体" w:eastAsia="宋体" w:cs="宋体"/>
          <w:b/>
          <w:color w:val="auto"/>
          <w:sz w:val="21"/>
          <w:szCs w:val="21"/>
          <w:highlight w:val="none"/>
          <w:u w:val="none"/>
        </w:rPr>
        <w:t>(格式自拟,必须提供)</w:t>
      </w:r>
      <w:r>
        <w:rPr>
          <w:rFonts w:hint="eastAsia" w:ascii="宋体" w:hAnsi="宋体" w:eastAsia="宋体" w:cs="宋体"/>
          <w:color w:val="auto"/>
          <w:sz w:val="21"/>
          <w:szCs w:val="21"/>
          <w:highlight w:val="none"/>
        </w:rPr>
        <w:t>；</w:t>
      </w:r>
    </w:p>
    <w:p w14:paraId="52B45544">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（5）投标人拥有主要装备和检测设施的情况和现状（格式自拟）及项目实施人员一览表； </w:t>
      </w:r>
    </w:p>
    <w:p w14:paraId="4C583889">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（6）优惠条件：投标人承诺给予招标人的各种优惠条件，包括备品备件、专用耗材、售后服务等方面的优惠；</w:t>
      </w:r>
    </w:p>
    <w:p w14:paraId="0F18A429">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（7）投标人对本项目的合理化建议和改进措施；</w:t>
      </w:r>
    </w:p>
    <w:p w14:paraId="465D6FD5">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（8）投标人需要说明的其他文件和说明（格式略）；</w:t>
      </w:r>
    </w:p>
    <w:p w14:paraId="77CA4344">
      <w:pPr>
        <w:keepNext w:val="0"/>
        <w:keepLines w:val="0"/>
        <w:pageBreakBefore w:val="0"/>
        <w:widowControl w:val="0"/>
        <w:kinsoku w:val="0"/>
        <w:wordWrap/>
        <w:overflowPunct w:val="0"/>
        <w:topLinePunct w:val="0"/>
        <w:autoSpaceDE w:val="0"/>
        <w:autoSpaceDN w:val="0"/>
        <w:bidi w:val="0"/>
        <w:snapToGrid w:val="0"/>
        <w:spacing w:line="360" w:lineRule="exact"/>
        <w:ind w:leftChars="0"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▲（9）招标项目采购需求中要求必须提供的材料。</w:t>
      </w:r>
    </w:p>
    <w:p w14:paraId="6D2944B4">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13" w:firstLineChars="196"/>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4.报价文件：</w:t>
      </w:r>
    </w:p>
    <w:p w14:paraId="02A7A827">
      <w:pPr>
        <w:keepNext w:val="0"/>
        <w:keepLines w:val="0"/>
        <w:pageBreakBefore w:val="0"/>
        <w:widowControl w:val="0"/>
        <w:tabs>
          <w:tab w:val="left" w:pos="3870"/>
          <w:tab w:val="left" w:pos="4085"/>
        </w:tabs>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（1）投标函（</w:t>
      </w:r>
      <w:r>
        <w:rPr>
          <w:rFonts w:hint="eastAsia" w:ascii="宋体" w:hAnsi="宋体" w:eastAsia="宋体" w:cs="宋体"/>
          <w:b/>
          <w:color w:val="auto"/>
          <w:sz w:val="21"/>
          <w:szCs w:val="21"/>
          <w:highlight w:val="none"/>
        </w:rPr>
        <w:t>必须提供</w:t>
      </w:r>
      <w:r>
        <w:rPr>
          <w:rFonts w:hint="eastAsia" w:ascii="宋体" w:hAnsi="宋体" w:eastAsia="宋体" w:cs="宋体"/>
          <w:color w:val="auto"/>
          <w:sz w:val="21"/>
          <w:szCs w:val="21"/>
          <w:highlight w:val="none"/>
        </w:rPr>
        <w:t xml:space="preserve">，格式见第六章）； </w:t>
      </w:r>
    </w:p>
    <w:p w14:paraId="0151D1C7">
      <w:pPr>
        <w:keepNext w:val="0"/>
        <w:keepLines w:val="0"/>
        <w:pageBreakBefore w:val="0"/>
        <w:widowControl w:val="0"/>
        <w:tabs>
          <w:tab w:val="left" w:pos="3870"/>
          <w:tab w:val="left" w:pos="4085"/>
        </w:tabs>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（2）投标报价明细表（</w:t>
      </w:r>
      <w:r>
        <w:rPr>
          <w:rFonts w:hint="eastAsia" w:ascii="宋体" w:hAnsi="宋体" w:eastAsia="宋体" w:cs="宋体"/>
          <w:b/>
          <w:color w:val="auto"/>
          <w:sz w:val="21"/>
          <w:szCs w:val="21"/>
          <w:highlight w:val="none"/>
        </w:rPr>
        <w:t>必须提供</w:t>
      </w:r>
      <w:r>
        <w:rPr>
          <w:rFonts w:hint="eastAsia" w:ascii="宋体" w:hAnsi="宋体" w:eastAsia="宋体" w:cs="宋体"/>
          <w:color w:val="auto"/>
          <w:sz w:val="21"/>
          <w:szCs w:val="21"/>
          <w:highlight w:val="none"/>
        </w:rPr>
        <w:t>，格式见第六章）；</w:t>
      </w:r>
    </w:p>
    <w:p w14:paraId="3FB03980">
      <w:pPr>
        <w:keepNext w:val="0"/>
        <w:keepLines w:val="0"/>
        <w:pageBreakBefore w:val="0"/>
        <w:widowControl w:val="0"/>
        <w:tabs>
          <w:tab w:val="left" w:pos="3870"/>
          <w:tab w:val="left" w:pos="4085"/>
        </w:tabs>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（3）投标人针对报价需要说明的其他文件和说明（格式自拟）；</w:t>
      </w:r>
    </w:p>
    <w:p w14:paraId="7D175E47">
      <w:pPr>
        <w:keepNext w:val="0"/>
        <w:keepLines w:val="0"/>
        <w:pageBreakBefore w:val="0"/>
        <w:widowControl w:val="0"/>
        <w:tabs>
          <w:tab w:val="left" w:pos="3870"/>
          <w:tab w:val="left" w:pos="4085"/>
        </w:tabs>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（4）开标一览表（</w:t>
      </w:r>
      <w:r>
        <w:rPr>
          <w:rFonts w:hint="eastAsia" w:ascii="宋体" w:hAnsi="宋体" w:eastAsia="宋体" w:cs="宋体"/>
          <w:b/>
          <w:color w:val="auto"/>
          <w:sz w:val="21"/>
          <w:szCs w:val="21"/>
          <w:highlight w:val="none"/>
        </w:rPr>
        <w:t>必须提供</w:t>
      </w:r>
      <w:r>
        <w:rPr>
          <w:rFonts w:hint="eastAsia" w:ascii="宋体" w:hAnsi="宋体" w:eastAsia="宋体" w:cs="宋体"/>
          <w:color w:val="auto"/>
          <w:sz w:val="21"/>
          <w:szCs w:val="21"/>
          <w:highlight w:val="none"/>
        </w:rPr>
        <w:t>,格式见第六章）。</w:t>
      </w:r>
    </w:p>
    <w:p w14:paraId="7A71DEC7">
      <w:pPr>
        <w:pStyle w:val="17"/>
        <w:keepNext w:val="0"/>
        <w:keepLines w:val="0"/>
        <w:pageBreakBefore w:val="0"/>
        <w:widowControl w:val="0"/>
        <w:kinsoku w:val="0"/>
        <w:wordWrap/>
        <w:overflowPunct w:val="0"/>
        <w:topLinePunct w:val="0"/>
        <w:autoSpaceDE w:val="0"/>
        <w:autoSpaceDN w:val="0"/>
        <w:bidi w:val="0"/>
        <w:spacing w:line="360" w:lineRule="exact"/>
        <w:ind w:firstLine="42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注：法定代表人授权委托书、投标声明书、投标函、开标一览表必须按</w:t>
      </w:r>
      <w:r>
        <w:rPr>
          <w:rFonts w:hint="eastAsia" w:ascii="宋体" w:hAnsi="宋体" w:eastAsia="宋体" w:cs="宋体"/>
          <w:b/>
          <w:color w:val="auto"/>
          <w:sz w:val="21"/>
          <w:szCs w:val="21"/>
          <w:highlight w:val="none"/>
        </w:rPr>
        <w:t>招标文件格式要求签字或签章</w:t>
      </w:r>
      <w:r>
        <w:rPr>
          <w:rFonts w:hint="eastAsia" w:ascii="宋体" w:hAnsi="宋体" w:eastAsia="宋体" w:cs="宋体"/>
          <w:b/>
          <w:bCs/>
          <w:color w:val="auto"/>
          <w:sz w:val="21"/>
          <w:szCs w:val="21"/>
          <w:highlight w:val="none"/>
        </w:rPr>
        <w:t>并加盖单位公章。</w:t>
      </w:r>
    </w:p>
    <w:p w14:paraId="549D40F2">
      <w:pPr>
        <w:pStyle w:val="17"/>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b/>
          <w:color w:val="auto"/>
          <w:sz w:val="30"/>
          <w:szCs w:val="30"/>
          <w:highlight w:val="none"/>
        </w:rPr>
      </w:pPr>
    </w:p>
    <w:p w14:paraId="60C3090A">
      <w:pPr>
        <w:pStyle w:val="17"/>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b/>
          <w:color w:val="auto"/>
          <w:sz w:val="30"/>
          <w:szCs w:val="30"/>
          <w:highlight w:val="none"/>
        </w:rPr>
      </w:pPr>
    </w:p>
    <w:p w14:paraId="6E5F84AD">
      <w:pPr>
        <w:pStyle w:val="17"/>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b/>
          <w:color w:val="auto"/>
          <w:sz w:val="30"/>
          <w:szCs w:val="30"/>
          <w:highlight w:val="none"/>
        </w:rPr>
      </w:pPr>
    </w:p>
    <w:p w14:paraId="1BB77DEA">
      <w:pPr>
        <w:pStyle w:val="17"/>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b/>
          <w:color w:val="auto"/>
          <w:sz w:val="30"/>
          <w:szCs w:val="30"/>
          <w:highlight w:val="none"/>
        </w:rPr>
      </w:pPr>
    </w:p>
    <w:p w14:paraId="04DE5879">
      <w:pPr>
        <w:pStyle w:val="17"/>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b/>
          <w:color w:val="auto"/>
          <w:sz w:val="30"/>
          <w:szCs w:val="30"/>
          <w:highlight w:val="none"/>
        </w:rPr>
      </w:pPr>
    </w:p>
    <w:p w14:paraId="554CFBAC">
      <w:pPr>
        <w:pStyle w:val="17"/>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b/>
          <w:color w:val="auto"/>
          <w:sz w:val="30"/>
          <w:szCs w:val="30"/>
          <w:highlight w:val="none"/>
        </w:rPr>
      </w:pPr>
    </w:p>
    <w:p w14:paraId="32950F90">
      <w:pPr>
        <w:pStyle w:val="17"/>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三、投标文件格式</w:t>
      </w:r>
    </w:p>
    <w:p w14:paraId="29AE5F27">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left"/>
        <w:textAlignment w:val="auto"/>
        <w:outlineLvl w:val="0"/>
        <w:rPr>
          <w:rFonts w:hint="eastAsia" w:ascii="宋体" w:hAnsi="宋体" w:eastAsia="宋体" w:cs="宋体"/>
          <w:b/>
          <w:color w:val="auto"/>
          <w:sz w:val="21"/>
          <w:szCs w:val="21"/>
          <w:highlight w:val="none"/>
        </w:rPr>
      </w:pPr>
    </w:p>
    <w:p w14:paraId="5580B2C9">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left"/>
        <w:textAlignment w:val="auto"/>
        <w:outlineLvl w:val="0"/>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 xml:space="preserve">  一）</w:t>
      </w:r>
      <w:r>
        <w:rPr>
          <w:rFonts w:hint="eastAsia" w:ascii="宋体" w:hAnsi="宋体" w:eastAsia="宋体" w:cs="宋体"/>
          <w:b/>
          <w:bCs/>
          <w:color w:val="auto"/>
          <w:sz w:val="21"/>
          <w:szCs w:val="21"/>
          <w:highlight w:val="none"/>
        </w:rPr>
        <w:t>资格文件部分（格式）</w:t>
      </w:r>
    </w:p>
    <w:p w14:paraId="00F85518">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val="0"/>
          <w:bCs/>
          <w:color w:val="auto"/>
          <w:sz w:val="21"/>
          <w:szCs w:val="21"/>
          <w:highlight w:val="none"/>
          <w:u w:val="none"/>
        </w:rPr>
        <w:t>（1）有</w:t>
      </w:r>
      <w:r>
        <w:rPr>
          <w:rFonts w:hint="eastAsia" w:ascii="宋体" w:hAnsi="宋体" w:eastAsia="宋体" w:cs="宋体"/>
          <w:color w:val="auto"/>
          <w:sz w:val="21"/>
          <w:szCs w:val="21"/>
          <w:highlight w:val="none"/>
          <w:u w:val="none"/>
        </w:rPr>
        <w:t>效的营业执照等证明文件复印件；</w:t>
      </w:r>
    </w:p>
    <w:p w14:paraId="5CD63F33">
      <w:pPr>
        <w:pStyle w:val="14"/>
        <w:keepNext w:val="0"/>
        <w:keepLines w:val="0"/>
        <w:pageBreakBefore w:val="0"/>
        <w:widowControl w:val="0"/>
        <w:kinsoku w:val="0"/>
        <w:wordWrap/>
        <w:overflowPunct w:val="0"/>
        <w:topLinePunct w:val="0"/>
        <w:autoSpaceDE w:val="0"/>
        <w:autoSpaceDN w:val="0"/>
        <w:bidi w:val="0"/>
        <w:adjustRightInd w:val="0"/>
        <w:snapToGrid w:val="0"/>
        <w:spacing w:line="360" w:lineRule="exact"/>
        <w:ind w:leftChars="0" w:firstLine="422" w:firstLineChars="200"/>
        <w:textAlignment w:val="auto"/>
        <w:rPr>
          <w:rFonts w:hint="eastAsia" w:ascii="宋体" w:hAnsi="宋体" w:eastAsia="宋体" w:cs="宋体"/>
          <w:b/>
          <w:color w:val="auto"/>
          <w:sz w:val="21"/>
          <w:szCs w:val="21"/>
          <w:highlight w:val="none"/>
          <w:u w:val="none"/>
        </w:rPr>
      </w:pPr>
      <w:r>
        <w:rPr>
          <w:rFonts w:hint="eastAsia" w:ascii="宋体" w:hAnsi="宋体" w:eastAsia="宋体" w:cs="宋体"/>
          <w:b/>
          <w:bCs/>
          <w:color w:val="auto"/>
          <w:sz w:val="21"/>
          <w:szCs w:val="21"/>
          <w:highlight w:val="none"/>
          <w:u w:val="none"/>
        </w:rPr>
        <w:t>①投标人有效的营业执照等证明文件扫描件或其他电子文件，同时要加盖单位公章</w:t>
      </w:r>
      <w:r>
        <w:rPr>
          <w:rFonts w:hint="eastAsia" w:ascii="宋体" w:hAnsi="宋体" w:eastAsia="宋体" w:cs="宋体"/>
          <w:b/>
          <w:color w:val="auto"/>
          <w:sz w:val="21"/>
          <w:szCs w:val="21"/>
          <w:highlight w:val="none"/>
          <w:u w:val="none"/>
        </w:rPr>
        <w:t>（必须提供）</w:t>
      </w:r>
      <w:r>
        <w:rPr>
          <w:rFonts w:hint="eastAsia" w:ascii="宋体" w:hAnsi="宋体" w:eastAsia="宋体" w:cs="宋体"/>
          <w:color w:val="auto"/>
          <w:sz w:val="21"/>
          <w:szCs w:val="21"/>
          <w:highlight w:val="none"/>
          <w:u w:val="none"/>
        </w:rPr>
        <w:t>；</w:t>
      </w:r>
    </w:p>
    <w:p w14:paraId="502CBAE1">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②对于有经营资质要求的，投标人必须提供有效的经营资质证书副本内页扫描件或其他电子文件，同时要加盖单位公章。</w:t>
      </w:r>
    </w:p>
    <w:p w14:paraId="5B38244E">
      <w:pPr>
        <w:keepNext w:val="0"/>
        <w:keepLines w:val="0"/>
        <w:pageBreakBefore w:val="0"/>
        <w:widowControl w:val="0"/>
        <w:kinsoku w:val="0"/>
        <w:wordWrap/>
        <w:overflowPunct w:val="0"/>
        <w:topLinePunct w:val="0"/>
        <w:autoSpaceDE w:val="0"/>
        <w:autoSpaceDN w:val="0"/>
        <w:bidi w:val="0"/>
        <w:snapToGrid w:val="0"/>
        <w:spacing w:line="360" w:lineRule="exact"/>
        <w:ind w:leftChars="0" w:firstLine="422" w:firstLineChars="200"/>
        <w:jc w:val="left"/>
        <w:textAlignment w:val="auto"/>
        <w:rPr>
          <w:rFonts w:hint="eastAsia" w:ascii="宋体" w:hAnsi="宋体" w:eastAsia="宋体" w:cs="宋体"/>
          <w:b w:val="0"/>
          <w:bCs/>
          <w:color w:val="auto"/>
          <w:sz w:val="21"/>
          <w:szCs w:val="21"/>
          <w:highlight w:val="none"/>
          <w:u w:val="none"/>
        </w:rPr>
      </w:pPr>
      <w:r>
        <w:rPr>
          <w:rFonts w:hint="eastAsia" w:ascii="宋体" w:hAnsi="宋体" w:eastAsia="宋体" w:cs="宋体"/>
          <w:b/>
          <w:bCs w:val="0"/>
          <w:color w:val="auto"/>
          <w:sz w:val="21"/>
          <w:szCs w:val="21"/>
          <w:highlight w:val="none"/>
          <w:u w:val="none"/>
        </w:rPr>
        <w:t>（2）</w:t>
      </w:r>
      <w:r>
        <w:rPr>
          <w:rFonts w:hint="eastAsia" w:ascii="宋体" w:hAnsi="宋体" w:eastAsia="宋体" w:cs="宋体"/>
          <w:b/>
          <w:bCs w:val="0"/>
          <w:color w:val="auto"/>
          <w:kern w:val="0"/>
          <w:sz w:val="21"/>
          <w:szCs w:val="21"/>
          <w:highlight w:val="none"/>
          <w:u w:val="none"/>
        </w:rPr>
        <w:t>参加政府采购活动前三年内在经营活动中没有重大违法记录的书面声明</w:t>
      </w:r>
      <w:r>
        <w:rPr>
          <w:rFonts w:hint="eastAsia" w:ascii="宋体" w:hAnsi="宋体" w:eastAsia="宋体" w:cs="宋体"/>
          <w:b w:val="0"/>
          <w:bCs/>
          <w:color w:val="auto"/>
          <w:sz w:val="21"/>
          <w:szCs w:val="21"/>
          <w:highlight w:val="none"/>
          <w:u w:val="none"/>
        </w:rPr>
        <w:t>和信用记录查询方法；</w:t>
      </w:r>
    </w:p>
    <w:p w14:paraId="3C664F14">
      <w:pPr>
        <w:keepNext w:val="0"/>
        <w:keepLines w:val="0"/>
        <w:pageBreakBefore w:val="0"/>
        <w:widowControl w:val="0"/>
        <w:kinsoku w:val="0"/>
        <w:wordWrap/>
        <w:overflowPunct w:val="0"/>
        <w:topLinePunct w:val="0"/>
        <w:autoSpaceDE w:val="0"/>
        <w:autoSpaceDN w:val="0"/>
        <w:bidi w:val="0"/>
        <w:snapToGrid w:val="0"/>
        <w:spacing w:line="360" w:lineRule="exact"/>
        <w:ind w:leftChars="0" w:firstLine="422"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bCs/>
          <w:color w:val="auto"/>
          <w:sz w:val="21"/>
          <w:szCs w:val="21"/>
          <w:highlight w:val="none"/>
          <w:u w:val="none"/>
        </w:rPr>
        <w:t>①</w:t>
      </w:r>
      <w:r>
        <w:rPr>
          <w:rFonts w:hint="eastAsia" w:ascii="宋体" w:hAnsi="宋体" w:eastAsia="宋体" w:cs="宋体"/>
          <w:b/>
          <w:bCs/>
          <w:color w:val="auto"/>
          <w:kern w:val="0"/>
          <w:sz w:val="21"/>
          <w:szCs w:val="21"/>
          <w:highlight w:val="none"/>
          <w:u w:val="none"/>
        </w:rPr>
        <w:t>参加政府采购活动前三年内在经营活动中没有重大违法记录的书面声明</w:t>
      </w:r>
      <w:r>
        <w:rPr>
          <w:rFonts w:hint="eastAsia" w:ascii="宋体" w:hAnsi="宋体" w:eastAsia="宋体" w:cs="宋体"/>
          <w:color w:val="auto"/>
          <w:sz w:val="21"/>
          <w:szCs w:val="21"/>
          <w:highlight w:val="none"/>
          <w:u w:val="none"/>
        </w:rPr>
        <w:t>（格式自拟，</w:t>
      </w:r>
      <w:r>
        <w:rPr>
          <w:rFonts w:hint="eastAsia" w:ascii="宋体" w:hAnsi="宋体" w:eastAsia="宋体" w:cs="宋体"/>
          <w:b/>
          <w:bCs/>
          <w:color w:val="auto"/>
          <w:sz w:val="21"/>
          <w:szCs w:val="21"/>
          <w:highlight w:val="none"/>
          <w:u w:val="none"/>
        </w:rPr>
        <w:t>必须提供</w:t>
      </w:r>
      <w:r>
        <w:rPr>
          <w:rFonts w:hint="eastAsia" w:ascii="宋体" w:hAnsi="宋体" w:eastAsia="宋体" w:cs="宋体"/>
          <w:color w:val="auto"/>
          <w:sz w:val="21"/>
          <w:szCs w:val="21"/>
          <w:highlight w:val="none"/>
          <w:u w:val="none"/>
        </w:rPr>
        <w:t>）；</w:t>
      </w:r>
    </w:p>
    <w:p w14:paraId="64717F23">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②供应商可在“信用中国”网站（www.creditchina.gov.cn）、中国政府采购网（www.ccgp.gov.cn）查询相关供应商主体信用记录。</w:t>
      </w:r>
    </w:p>
    <w:p w14:paraId="271A3AF5">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“信用中国”网站查询方法：投标人在本项目投标截止时间前10日内,进入投标人基本信息页面，点击“下载信用报告”后点击“下载”。</w:t>
      </w:r>
    </w:p>
    <w:p w14:paraId="0DD33919">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“中国政府采购网”的查询方法：点击“政府采购严重违法失信行为记录名单”进行查询。截止时间为本项目投标截止时间前10日至投标截止时间中任意一天。</w:t>
      </w:r>
    </w:p>
    <w:p w14:paraId="0C516E40">
      <w:pPr>
        <w:keepNext w:val="0"/>
        <w:keepLines w:val="0"/>
        <w:pageBreakBefore w:val="0"/>
        <w:widowControl w:val="0"/>
        <w:kinsoku w:val="0"/>
        <w:wordWrap/>
        <w:overflowPunct w:val="0"/>
        <w:topLinePunct w:val="0"/>
        <w:autoSpaceDE w:val="0"/>
        <w:autoSpaceDN w:val="0"/>
        <w:bidi w:val="0"/>
        <w:snapToGrid w:val="0"/>
        <w:spacing w:line="360" w:lineRule="exact"/>
        <w:ind w:leftChars="0" w:firstLine="0" w:firstLineChars="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14:paraId="1CB65308">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b/>
          <w:color w:val="auto"/>
          <w:kern w:val="0"/>
          <w:sz w:val="32"/>
          <w:szCs w:val="32"/>
          <w:highlight w:val="none"/>
        </w:rPr>
      </w:pPr>
      <w:r>
        <w:rPr>
          <w:rFonts w:hint="eastAsia" w:ascii="宋体" w:hAnsi="宋体" w:eastAsia="宋体" w:cs="宋体"/>
          <w:b/>
          <w:color w:val="auto"/>
          <w:sz w:val="32"/>
          <w:szCs w:val="32"/>
          <w:highlight w:val="none"/>
        </w:rPr>
        <w:t xml:space="preserve"> </w:t>
      </w:r>
    </w:p>
    <w:p w14:paraId="4A1D52CD">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b/>
          <w:color w:val="auto"/>
          <w:kern w:val="0"/>
          <w:sz w:val="32"/>
          <w:szCs w:val="32"/>
          <w:highlight w:val="none"/>
        </w:rPr>
      </w:pPr>
    </w:p>
    <w:p w14:paraId="07FCE4B1">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b/>
          <w:color w:val="auto"/>
          <w:kern w:val="0"/>
          <w:sz w:val="32"/>
          <w:szCs w:val="32"/>
          <w:highlight w:val="none"/>
        </w:rPr>
      </w:pPr>
    </w:p>
    <w:p w14:paraId="2E4FD946">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b/>
          <w:color w:val="auto"/>
          <w:kern w:val="0"/>
          <w:sz w:val="36"/>
          <w:szCs w:val="36"/>
          <w:highlight w:val="none"/>
        </w:rPr>
      </w:pPr>
    </w:p>
    <w:p w14:paraId="4BD6F329">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参加政府采购活动前三年内在经营活动中没有重大违法记录的书面声明</w:t>
      </w:r>
    </w:p>
    <w:p w14:paraId="5E7BFDCB">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b/>
          <w:color w:val="auto"/>
          <w:sz w:val="36"/>
          <w:szCs w:val="36"/>
          <w:highlight w:val="none"/>
        </w:rPr>
      </w:pPr>
      <w:r>
        <w:rPr>
          <w:rFonts w:hint="eastAsia" w:ascii="宋体" w:hAnsi="宋体" w:eastAsia="宋体" w:cs="宋体"/>
          <w:b/>
          <w:color w:val="auto"/>
          <w:sz w:val="32"/>
          <w:szCs w:val="32"/>
          <w:highlight w:val="none"/>
        </w:rPr>
        <w:t>（格式自拟，必须提供</w:t>
      </w:r>
      <w:r>
        <w:rPr>
          <w:rFonts w:hint="eastAsia" w:ascii="宋体" w:hAnsi="宋体" w:eastAsia="宋体" w:cs="宋体"/>
          <w:b/>
          <w:color w:val="auto"/>
          <w:sz w:val="36"/>
          <w:szCs w:val="36"/>
          <w:highlight w:val="none"/>
        </w:rPr>
        <w:t>）</w:t>
      </w:r>
    </w:p>
    <w:p w14:paraId="165F141D">
      <w:pPr>
        <w:keepNext w:val="0"/>
        <w:keepLines w:val="0"/>
        <w:pageBreakBefore w:val="0"/>
        <w:widowControl w:val="0"/>
        <w:kinsoku w:val="0"/>
        <w:wordWrap/>
        <w:overflowPunct w:val="0"/>
        <w:topLinePunct w:val="0"/>
        <w:autoSpaceDE w:val="0"/>
        <w:autoSpaceDN w:val="0"/>
        <w:bidi w:val="0"/>
        <w:snapToGrid w:val="0"/>
        <w:spacing w:line="360" w:lineRule="exact"/>
        <w:ind w:firstLine="413" w:firstLineChars="196"/>
        <w:jc w:val="center"/>
        <w:textAlignment w:val="auto"/>
        <w:rPr>
          <w:rFonts w:hint="eastAsia" w:ascii="宋体" w:hAnsi="宋体" w:eastAsia="宋体" w:cs="宋体"/>
          <w:b/>
          <w:color w:val="auto"/>
          <w:sz w:val="21"/>
          <w:szCs w:val="21"/>
          <w:highlight w:val="none"/>
        </w:rPr>
      </w:pPr>
    </w:p>
    <w:p w14:paraId="0C1D9AF7">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3509" w:firstLineChars="1671"/>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法定代表人（或机构负责人）或委托代理人签名（或签章）：             </w:t>
      </w:r>
    </w:p>
    <w:p w14:paraId="3E09ED3F">
      <w:pPr>
        <w:keepNext w:val="0"/>
        <w:keepLines w:val="0"/>
        <w:pageBreakBefore w:val="0"/>
        <w:widowControl w:val="0"/>
        <w:kinsoku w:val="0"/>
        <w:wordWrap/>
        <w:overflowPunct w:val="0"/>
        <w:topLinePunct w:val="0"/>
        <w:autoSpaceDE w:val="0"/>
        <w:autoSpaceDN w:val="0"/>
        <w:bidi w:val="0"/>
        <w:snapToGrid w:val="0"/>
        <w:spacing w:line="360" w:lineRule="exact"/>
        <w:ind w:firstLine="5880" w:firstLineChars="28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投标人公章：                                    </w:t>
      </w:r>
    </w:p>
    <w:p w14:paraId="25135B15">
      <w:pPr>
        <w:pStyle w:val="14"/>
        <w:keepNext w:val="0"/>
        <w:keepLines w:val="0"/>
        <w:pageBreakBefore w:val="0"/>
        <w:widowControl w:val="0"/>
        <w:tabs>
          <w:tab w:val="left" w:pos="5580"/>
        </w:tabs>
        <w:kinsoku w:val="0"/>
        <w:wordWrap/>
        <w:overflowPunct w:val="0"/>
        <w:topLinePunct w:val="0"/>
        <w:autoSpaceDE w:val="0"/>
        <w:autoSpaceDN w:val="0"/>
        <w:bidi w:val="0"/>
        <w:spacing w:line="360" w:lineRule="exact"/>
        <w:ind w:left="1080" w:leftChars="257" w:hanging="54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32AC2AEF">
      <w:pPr>
        <w:keepNext w:val="0"/>
        <w:keepLines w:val="0"/>
        <w:pageBreakBefore w:val="0"/>
        <w:widowControl w:val="0"/>
        <w:kinsoku w:val="0"/>
        <w:wordWrap/>
        <w:overflowPunct w:val="0"/>
        <w:topLinePunct w:val="0"/>
        <w:autoSpaceDE w:val="0"/>
        <w:autoSpaceDN w:val="0"/>
        <w:bidi w:val="0"/>
        <w:snapToGrid w:val="0"/>
        <w:spacing w:line="360" w:lineRule="exact"/>
        <w:ind w:firstLine="843" w:firstLineChars="400"/>
        <w:jc w:val="left"/>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说明:1.投标人应按照相关法规规定如实做出书面声明。</w:t>
      </w:r>
    </w:p>
    <w:p w14:paraId="005314D3">
      <w:pPr>
        <w:keepNext w:val="0"/>
        <w:keepLines w:val="0"/>
        <w:pageBreakBefore w:val="0"/>
        <w:widowControl w:val="0"/>
        <w:kinsoku w:val="0"/>
        <w:wordWrap/>
        <w:overflowPunct w:val="0"/>
        <w:topLinePunct w:val="0"/>
        <w:autoSpaceDE w:val="0"/>
        <w:autoSpaceDN w:val="0"/>
        <w:bidi w:val="0"/>
        <w:snapToGrid w:val="0"/>
        <w:spacing w:line="360" w:lineRule="exact"/>
        <w:ind w:firstLine="1476" w:firstLineChars="700"/>
        <w:jc w:val="left"/>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rPr>
        <w:t>2.</w:t>
      </w:r>
      <w:r>
        <w:rPr>
          <w:rFonts w:hint="eastAsia" w:ascii="宋体" w:hAnsi="宋体" w:eastAsia="宋体" w:cs="宋体"/>
          <w:b/>
          <w:color w:val="auto"/>
          <w:kern w:val="0"/>
          <w:sz w:val="21"/>
          <w:szCs w:val="21"/>
          <w:highlight w:val="none"/>
        </w:rPr>
        <w:t>按照采购文件的规定盖章（自然人投标的无需盖章，需要签字或签章）。</w:t>
      </w:r>
    </w:p>
    <w:bookmarkEnd w:id="11"/>
    <w:bookmarkEnd w:id="12"/>
    <w:p w14:paraId="10B1B010">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left"/>
        <w:textAlignment w:val="auto"/>
        <w:outlineLvl w:val="0"/>
        <w:rPr>
          <w:rFonts w:hint="eastAsia" w:ascii="宋体" w:hAnsi="宋体" w:eastAsia="宋体" w:cs="宋体"/>
          <w:b/>
          <w:color w:val="auto"/>
          <w:sz w:val="21"/>
          <w:szCs w:val="21"/>
          <w:highlight w:val="none"/>
        </w:rPr>
      </w:pPr>
    </w:p>
    <w:p w14:paraId="67727349">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left"/>
        <w:textAlignment w:val="auto"/>
        <w:outlineLvl w:val="0"/>
        <w:rPr>
          <w:rFonts w:hint="eastAsia" w:ascii="宋体" w:hAnsi="宋体" w:eastAsia="宋体" w:cs="宋体"/>
          <w:b/>
          <w:color w:val="auto"/>
          <w:sz w:val="21"/>
          <w:szCs w:val="21"/>
          <w:highlight w:val="none"/>
        </w:rPr>
      </w:pPr>
    </w:p>
    <w:p w14:paraId="464A5E9B">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w:t>
      </w:r>
      <w:r>
        <w:rPr>
          <w:rFonts w:hint="eastAsia" w:ascii="宋体" w:hAnsi="宋体" w:eastAsia="宋体" w:cs="宋体"/>
          <w:b/>
          <w:bCs/>
          <w:color w:val="auto"/>
          <w:sz w:val="21"/>
          <w:szCs w:val="21"/>
          <w:highlight w:val="none"/>
        </w:rPr>
        <w:t>资信及商务文件部分（格式）</w:t>
      </w:r>
    </w:p>
    <w:p w14:paraId="1B64818A">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1"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color w:val="auto"/>
          <w:sz w:val="21"/>
          <w:szCs w:val="21"/>
          <w:highlight w:val="none"/>
        </w:rPr>
        <w:t>投标保证金的相关证明扫描件或其他电子文件</w:t>
      </w:r>
    </w:p>
    <w:p w14:paraId="544DDF07">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04" w:firstLineChars="97"/>
        <w:jc w:val="left"/>
        <w:textAlignment w:val="auto"/>
        <w:rPr>
          <w:rFonts w:hint="eastAsia" w:ascii="宋体" w:hAnsi="宋体" w:eastAsia="宋体" w:cs="宋体"/>
          <w:b/>
          <w:color w:val="auto"/>
          <w:sz w:val="30"/>
          <w:szCs w:val="30"/>
          <w:highlight w:val="none"/>
        </w:rPr>
      </w:pPr>
      <w:r>
        <w:rPr>
          <w:rFonts w:hint="eastAsia" w:ascii="宋体" w:hAnsi="宋体" w:eastAsia="宋体" w:cs="宋体"/>
          <w:b/>
          <w:color w:val="auto"/>
          <w:sz w:val="21"/>
          <w:szCs w:val="21"/>
          <w:highlight w:val="none"/>
        </w:rPr>
        <w:t>（2）投标声明书格式：</w:t>
      </w:r>
    </w:p>
    <w:p w14:paraId="2C7146F4">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jc w:val="center"/>
        <w:textAlignment w:val="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投标声明书</w:t>
      </w:r>
    </w:p>
    <w:p w14:paraId="6B4AAB46">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广西壮族自治区政府采购中心</w:t>
      </w:r>
      <w:r>
        <w:rPr>
          <w:rFonts w:hint="eastAsia" w:ascii="宋体" w:hAnsi="宋体" w:eastAsia="宋体" w:cs="宋体"/>
          <w:color w:val="auto"/>
          <w:sz w:val="21"/>
          <w:szCs w:val="21"/>
          <w:highlight w:val="none"/>
        </w:rPr>
        <w:t>：</w:t>
      </w:r>
    </w:p>
    <w:p w14:paraId="47A82A1F">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（投标人名称）系中华人民共和国合法企业，经营地址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898B902">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64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（投标人名称）的法定代表人，我方愿意参加贵方组织的</w:t>
      </w:r>
    </w:p>
    <w:p w14:paraId="36A2A564">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项目的投标，为便于贵方公正、择优地确定中标人及其投标产品和服务，我方就本次投标有关事项郑重声明如下：</w:t>
      </w:r>
    </w:p>
    <w:p w14:paraId="74FBC818">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1.我方向贵方提交的所有投标文件、资料都是准确的和真实的。</w:t>
      </w:r>
    </w:p>
    <w:p w14:paraId="44794C1A">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2.我方不是采购人的附属机构；在获知本项目采购信息后，与采购人聘请的为此项目提供咨询服务的公司及其附属机构没有任何联系。</w:t>
      </w:r>
    </w:p>
    <w:p w14:paraId="4435A55B">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3.我方此次向贵方提供的产品名称为：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；规格型号：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；该型号产品我方有现货可供，并已于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月生产完工或向　</w:t>
      </w:r>
      <w:r>
        <w:rPr>
          <w:rFonts w:hint="eastAsia" w:ascii="宋体" w:hAnsi="宋体" w:eastAsia="宋体" w:cs="宋体"/>
          <w:color w:val="auto"/>
          <w:sz w:val="21"/>
          <w:szCs w:val="21"/>
          <w:highlight w:val="none"/>
          <w:u w:val="single"/>
        </w:rPr>
        <w:t>　              （原厂商名称）</w:t>
      </w:r>
      <w:r>
        <w:rPr>
          <w:rFonts w:hint="eastAsia" w:ascii="宋体" w:hAnsi="宋体" w:eastAsia="宋体" w:cs="宋体"/>
          <w:color w:val="auto"/>
          <w:sz w:val="21"/>
          <w:szCs w:val="21"/>
          <w:highlight w:val="none"/>
        </w:rPr>
        <w:t>购进［</w:t>
      </w:r>
      <w:r>
        <w:rPr>
          <w:rFonts w:hint="eastAsia" w:ascii="宋体" w:hAnsi="宋体" w:eastAsia="宋体" w:cs="宋体"/>
          <w:b/>
          <w:bCs/>
          <w:color w:val="auto"/>
          <w:sz w:val="21"/>
          <w:szCs w:val="21"/>
          <w:highlight w:val="none"/>
        </w:rPr>
        <w:t>或</w:t>
      </w:r>
      <w:r>
        <w:rPr>
          <w:rFonts w:hint="eastAsia" w:ascii="宋体" w:hAnsi="宋体" w:eastAsia="宋体" w:cs="宋体"/>
          <w:color w:val="auto"/>
          <w:sz w:val="21"/>
          <w:szCs w:val="21"/>
          <w:highlight w:val="none"/>
        </w:rPr>
        <w:t>需在中标后向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订购］。</w:t>
      </w:r>
    </w:p>
    <w:p w14:paraId="4111C5CB">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4.我方诚意提请贵方关注：近期有关该型号产品的生产、供货、售后服务以及性能等方面的重大决策和事项有：</w:t>
      </w:r>
    </w:p>
    <w:p w14:paraId="370CB2DA">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w:t>
      </w:r>
    </w:p>
    <w:p w14:paraId="6E7A0B73">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w:t>
      </w:r>
    </w:p>
    <w:p w14:paraId="2AE716F5">
      <w:pPr>
        <w:keepNext w:val="0"/>
        <w:keepLines w:val="0"/>
        <w:pageBreakBefore w:val="0"/>
        <w:widowControl w:val="0"/>
        <w:kinsoku w:val="0"/>
        <w:wordWrap/>
        <w:overflowPunct w:val="0"/>
        <w:topLinePunct w:val="0"/>
        <w:autoSpaceDE w:val="0"/>
        <w:autoSpaceDN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5.我方参加政府采购活动前三年内在经营活动中重大违法记录和不良信用记录情况：</w:t>
      </w:r>
    </w:p>
    <w:p w14:paraId="579507CE">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22"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b/>
          <w:color w:val="auto"/>
          <w:sz w:val="21"/>
          <w:szCs w:val="21"/>
          <w:highlight w:val="none"/>
          <w:u w:val="single"/>
        </w:rPr>
        <w:t>　　　　　　</w:t>
      </w:r>
      <w:r>
        <w:rPr>
          <w:rFonts w:hint="eastAsia" w:ascii="宋体" w:hAnsi="宋体" w:eastAsia="宋体" w:cs="宋体"/>
          <w:color w:val="auto"/>
          <w:sz w:val="21"/>
          <w:szCs w:val="21"/>
          <w:highlight w:val="none"/>
          <w:u w:val="single"/>
        </w:rPr>
        <w:t>　　　　　　　　　　　　　　　　　　　　　</w:t>
      </w:r>
    </w:p>
    <w:p w14:paraId="07B7E552">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6.以上事项如有虚假或隐瞒，我方愿意承担一切后果。</w:t>
      </w:r>
    </w:p>
    <w:p w14:paraId="09D0DA36">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3509" w:firstLineChars="1671"/>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法定代表人或委托代理人签字或签章：</w:t>
      </w:r>
      <w:r>
        <w:rPr>
          <w:rFonts w:hint="eastAsia" w:ascii="宋体" w:hAnsi="宋体" w:eastAsia="宋体" w:cs="宋体"/>
          <w:color w:val="auto"/>
          <w:sz w:val="21"/>
          <w:szCs w:val="21"/>
          <w:highlight w:val="none"/>
          <w:u w:val="single"/>
        </w:rPr>
        <w:t xml:space="preserve">             </w:t>
      </w:r>
    </w:p>
    <w:p w14:paraId="72EC9FAC">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4200" w:firstLineChars="20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投标人公章：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4725724F">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年    月    日</w:t>
      </w:r>
    </w:p>
    <w:p w14:paraId="06CAAFE8">
      <w:pPr>
        <w:keepNext w:val="0"/>
        <w:keepLines w:val="0"/>
        <w:pageBreakBefore w:val="0"/>
        <w:widowControl w:val="0"/>
        <w:kinsoku w:val="0"/>
        <w:wordWrap/>
        <w:overflowPunct w:val="0"/>
        <w:topLinePunct w:val="0"/>
        <w:autoSpaceDE w:val="0"/>
        <w:autoSpaceDN w:val="0"/>
        <w:bidi w:val="0"/>
        <w:spacing w:before="100" w:beforeAutospacing="1" w:after="100" w:afterAutospacing="1" w:line="360" w:lineRule="exact"/>
        <w:ind w:firstLine="413" w:firstLineChars="196"/>
        <w:jc w:val="left"/>
        <w:textAlignment w:val="auto"/>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（重大违法记录，是指供应商因违法经营受到刑事处罚或者责令停产停业、吊销许可证或者执照、较大数额罚款等行政处罚。）</w:t>
      </w:r>
    </w:p>
    <w:p w14:paraId="5C6D5953">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left"/>
        <w:textAlignment w:val="auto"/>
        <w:rPr>
          <w:rFonts w:hint="eastAsia" w:ascii="宋体" w:hAnsi="宋体" w:eastAsia="宋体" w:cs="宋体"/>
          <w:b/>
          <w:color w:val="auto"/>
          <w:sz w:val="21"/>
          <w:szCs w:val="21"/>
          <w:highlight w:val="none"/>
        </w:rPr>
      </w:pPr>
    </w:p>
    <w:p w14:paraId="553CA5E5">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1"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（3）法定代表人授权委托书格式：</w:t>
      </w:r>
    </w:p>
    <w:p w14:paraId="5EF650B6">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jc w:val="center"/>
        <w:textAlignment w:val="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法定代表人授权委托书</w:t>
      </w:r>
    </w:p>
    <w:p w14:paraId="0934B6B4">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Cs/>
          <w:color w:val="auto"/>
          <w:sz w:val="21"/>
          <w:szCs w:val="21"/>
          <w:highlight w:val="none"/>
        </w:rPr>
        <w:t>致：</w:t>
      </w:r>
      <w:r>
        <w:rPr>
          <w:rFonts w:hint="eastAsia" w:ascii="宋体" w:hAnsi="宋体" w:eastAsia="宋体" w:cs="宋体"/>
          <w:color w:val="auto"/>
          <w:sz w:val="21"/>
          <w:szCs w:val="21"/>
          <w:highlight w:val="none"/>
          <w:u w:val="single"/>
        </w:rPr>
        <w:t>广西壮族自治区政府采购中心</w:t>
      </w:r>
      <w:r>
        <w:rPr>
          <w:rFonts w:hint="eastAsia" w:ascii="宋体" w:hAnsi="宋体" w:eastAsia="宋体" w:cs="宋体"/>
          <w:color w:val="auto"/>
          <w:sz w:val="21"/>
          <w:szCs w:val="21"/>
          <w:highlight w:val="none"/>
        </w:rPr>
        <w:t>：</w:t>
      </w:r>
    </w:p>
    <w:p w14:paraId="48B5FFC4">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（投标人名称）的法定代表人，现授权委托本单位在职职工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（姓名）以我方的名义参加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项目的投标活动，并代表我方全权办理针对上述项目的投标、开标、评标、签约等具体事务和签署相关文件。</w:t>
      </w:r>
    </w:p>
    <w:p w14:paraId="37B7BDDA">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我方对被授权人的签名事项负全部责任。</w:t>
      </w:r>
    </w:p>
    <w:p w14:paraId="3FEF9CCF">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rPr>
        <w:t>在撤销授权的书面通知以前，本授权书一直有效。</w:t>
      </w:r>
      <w:r>
        <w:rPr>
          <w:rFonts w:hint="eastAsia" w:ascii="宋体" w:hAnsi="宋体" w:eastAsia="宋体" w:cs="宋体"/>
          <w:color w:val="auto"/>
          <w:sz w:val="21"/>
          <w:szCs w:val="21"/>
          <w:highlight w:val="none"/>
        </w:rPr>
        <w:t>被授权人在授权书有效期内签署的所有文件不因授权的撤销而失效。</w:t>
      </w:r>
    </w:p>
    <w:p w14:paraId="55F735EA">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被授权人无转委托权，特此委托。</w:t>
      </w:r>
    </w:p>
    <w:p w14:paraId="705C035B">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被授权人签名：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法定代表人签字（或签章）：</w:t>
      </w:r>
      <w:r>
        <w:rPr>
          <w:rFonts w:hint="eastAsia" w:ascii="宋体" w:hAnsi="宋体" w:eastAsia="宋体" w:cs="宋体"/>
          <w:color w:val="auto"/>
          <w:sz w:val="21"/>
          <w:szCs w:val="21"/>
          <w:highlight w:val="none"/>
          <w:u w:val="single"/>
        </w:rPr>
        <w:t xml:space="preserve">          </w:t>
      </w:r>
    </w:p>
    <w:p w14:paraId="4C32E5B1">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所在部门职务：</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职务：</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70673FFE">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被授权人身份证号码：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4DFCBC09">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贴附“委托代理人身份证复印件”（正反两面）</w:t>
      </w:r>
    </w:p>
    <w:p w14:paraId="6AC7DFC6">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textAlignment w:val="auto"/>
        <w:rPr>
          <w:rFonts w:hint="eastAsia" w:ascii="宋体" w:hAnsi="宋体" w:eastAsia="宋体" w:cs="宋体"/>
          <w:color w:val="auto"/>
          <w:sz w:val="21"/>
          <w:szCs w:val="21"/>
          <w:highlight w:val="none"/>
        </w:rPr>
      </w:pPr>
    </w:p>
    <w:p w14:paraId="17449035">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4620" w:firstLineChars="2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投标人公章：</w:t>
      </w:r>
      <w:r>
        <w:rPr>
          <w:rFonts w:hint="eastAsia" w:ascii="宋体" w:hAnsi="宋体" w:eastAsia="宋体" w:cs="宋体"/>
          <w:color w:val="auto"/>
          <w:sz w:val="21"/>
          <w:szCs w:val="21"/>
          <w:highlight w:val="none"/>
          <w:u w:val="single"/>
          <w:lang w:val="en-US" w:eastAsia="zh-CN"/>
        </w:rPr>
        <w:t xml:space="preserve">      </w:t>
      </w:r>
    </w:p>
    <w:p w14:paraId="44C1D938">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p w14:paraId="1FB3CAE3">
      <w:pPr>
        <w:keepNext w:val="0"/>
        <w:keepLines w:val="0"/>
        <w:pageBreakBefore w:val="0"/>
        <w:widowControl w:val="0"/>
        <w:kinsoku w:val="0"/>
        <w:wordWrap/>
        <w:overflowPunct w:val="0"/>
        <w:topLinePunct w:val="0"/>
        <w:autoSpaceDE w:val="0"/>
        <w:autoSpaceDN w:val="0"/>
        <w:bidi w:val="0"/>
        <w:snapToGrid w:val="0"/>
        <w:spacing w:before="312" w:beforeLines="100" w:after="312" w:afterLines="100" w:line="360" w:lineRule="exact"/>
        <w:ind w:firstLine="413" w:firstLineChars="196"/>
        <w:jc w:val="left"/>
        <w:textAlignment w:val="auto"/>
        <w:rPr>
          <w:rFonts w:hint="eastAsia" w:ascii="宋体" w:hAnsi="宋体" w:eastAsia="宋体" w:cs="宋体"/>
          <w:b/>
          <w:color w:val="auto"/>
          <w:sz w:val="21"/>
          <w:szCs w:val="21"/>
          <w:highlight w:val="none"/>
        </w:rPr>
      </w:pPr>
    </w:p>
    <w:p w14:paraId="4E32D55E">
      <w:pPr>
        <w:keepNext w:val="0"/>
        <w:keepLines w:val="0"/>
        <w:pageBreakBefore w:val="0"/>
        <w:widowControl w:val="0"/>
        <w:kinsoku w:val="0"/>
        <w:wordWrap/>
        <w:overflowPunct w:val="0"/>
        <w:topLinePunct w:val="0"/>
        <w:autoSpaceDE w:val="0"/>
        <w:autoSpaceDN w:val="0"/>
        <w:bidi w:val="0"/>
        <w:snapToGrid w:val="0"/>
        <w:spacing w:before="312" w:beforeLines="100" w:after="312" w:afterLines="100" w:line="360" w:lineRule="exact"/>
        <w:ind w:firstLine="211"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（4）投标截止之日前半年内投标人连续三个月的依法缴纳税费或依法免缴税费的证明（扫描件或其他电子文件，格式自拟）（</w:t>
      </w:r>
      <w:r>
        <w:rPr>
          <w:rFonts w:hint="eastAsia" w:ascii="宋体" w:hAnsi="宋体" w:eastAsia="宋体" w:cs="宋体"/>
          <w:b/>
          <w:color w:val="auto"/>
          <w:sz w:val="21"/>
          <w:szCs w:val="21"/>
          <w:highlight w:val="none"/>
          <w:u w:val="single"/>
        </w:rPr>
        <w:t>必须提供</w:t>
      </w:r>
      <w:r>
        <w:rPr>
          <w:rFonts w:hint="eastAsia" w:ascii="宋体" w:hAnsi="宋体" w:eastAsia="宋体" w:cs="宋体"/>
          <w:b/>
          <w:color w:val="auto"/>
          <w:sz w:val="21"/>
          <w:szCs w:val="21"/>
          <w:highlight w:val="none"/>
        </w:rPr>
        <w:t>）；</w:t>
      </w:r>
      <w:r>
        <w:rPr>
          <w:rFonts w:hint="eastAsia" w:ascii="宋体" w:hAnsi="宋体" w:eastAsia="宋体" w:cs="宋体"/>
          <w:color w:val="auto"/>
          <w:sz w:val="21"/>
          <w:szCs w:val="21"/>
          <w:highlight w:val="none"/>
        </w:rPr>
        <w:t>无纳税记录的，应提供由投标人所在地主管国税或地税部门出具的《依法纳税或依法免税证明》（格式自拟，</w:t>
      </w:r>
      <w:r>
        <w:rPr>
          <w:rFonts w:hint="eastAsia" w:ascii="宋体" w:hAnsi="宋体" w:eastAsia="宋体" w:cs="宋体"/>
          <w:b/>
          <w:color w:val="auto"/>
          <w:sz w:val="21"/>
          <w:szCs w:val="21"/>
          <w:highlight w:val="none"/>
        </w:rPr>
        <w:t>扫描件或其他电子文件</w:t>
      </w:r>
      <w:r>
        <w:rPr>
          <w:rFonts w:hint="eastAsia" w:ascii="宋体" w:hAnsi="宋体" w:eastAsia="宋体" w:cs="宋体"/>
          <w:color w:val="auto"/>
          <w:sz w:val="21"/>
          <w:szCs w:val="21"/>
          <w:highlight w:val="none"/>
        </w:rPr>
        <w:t>）。</w:t>
      </w:r>
    </w:p>
    <w:p w14:paraId="2B4AC658">
      <w:pPr>
        <w:keepNext w:val="0"/>
        <w:keepLines w:val="0"/>
        <w:pageBreakBefore w:val="0"/>
        <w:widowControl w:val="0"/>
        <w:kinsoku w:val="0"/>
        <w:wordWrap/>
        <w:overflowPunct w:val="0"/>
        <w:topLinePunct w:val="0"/>
        <w:autoSpaceDE w:val="0"/>
        <w:autoSpaceDN w:val="0"/>
        <w:bidi w:val="0"/>
        <w:snapToGrid w:val="0"/>
        <w:spacing w:before="312" w:beforeLines="100" w:after="312" w:afterLines="100" w:line="360" w:lineRule="exact"/>
        <w:ind w:firstLine="211"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（5）投标截止之日前半年内投标人连续三个月的依法缴纳社保费的缴费凭证</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扫描件或其他电子文件，格式自拟）（</w:t>
      </w:r>
      <w:r>
        <w:rPr>
          <w:rFonts w:hint="eastAsia" w:ascii="宋体" w:hAnsi="宋体" w:eastAsia="宋体" w:cs="宋体"/>
          <w:b/>
          <w:color w:val="auto"/>
          <w:sz w:val="21"/>
          <w:szCs w:val="21"/>
          <w:highlight w:val="none"/>
          <w:u w:val="single"/>
        </w:rPr>
        <w:t>必须提供</w:t>
      </w:r>
      <w:r>
        <w:rPr>
          <w:rFonts w:hint="eastAsia" w:ascii="宋体" w:hAnsi="宋体" w:eastAsia="宋体" w:cs="宋体"/>
          <w:b/>
          <w:color w:val="auto"/>
          <w:sz w:val="21"/>
          <w:szCs w:val="21"/>
          <w:highlight w:val="none"/>
        </w:rPr>
        <w:t>）；</w:t>
      </w:r>
      <w:r>
        <w:rPr>
          <w:rFonts w:hint="eastAsia" w:ascii="宋体" w:hAnsi="宋体" w:eastAsia="宋体" w:cs="宋体"/>
          <w:color w:val="auto"/>
          <w:sz w:val="21"/>
          <w:szCs w:val="21"/>
          <w:highlight w:val="none"/>
        </w:rPr>
        <w:t>无缴费记录的，应提供由投标人所在地社保部门出具的《依法缴纳或依法免缴社保费证明》（格式自拟，</w:t>
      </w:r>
      <w:r>
        <w:rPr>
          <w:rFonts w:hint="eastAsia" w:ascii="宋体" w:hAnsi="宋体" w:eastAsia="宋体" w:cs="宋体"/>
          <w:b/>
          <w:color w:val="auto"/>
          <w:sz w:val="21"/>
          <w:szCs w:val="21"/>
          <w:highlight w:val="none"/>
        </w:rPr>
        <w:t>扫描件或其他电子文件</w:t>
      </w:r>
      <w:r>
        <w:rPr>
          <w:rFonts w:hint="eastAsia" w:ascii="宋体" w:hAnsi="宋体" w:eastAsia="宋体" w:cs="宋体"/>
          <w:color w:val="auto"/>
          <w:sz w:val="21"/>
          <w:szCs w:val="21"/>
          <w:highlight w:val="none"/>
        </w:rPr>
        <w:t>）。</w:t>
      </w:r>
    </w:p>
    <w:p w14:paraId="1443A279">
      <w:pPr>
        <w:keepNext w:val="0"/>
        <w:keepLines w:val="0"/>
        <w:pageBreakBefore w:val="0"/>
        <w:widowControl w:val="0"/>
        <w:kinsoku w:val="0"/>
        <w:wordWrap/>
        <w:overflowPunct w:val="0"/>
        <w:topLinePunct w:val="0"/>
        <w:autoSpaceDE w:val="0"/>
        <w:autoSpaceDN w:val="0"/>
        <w:bidi w:val="0"/>
        <w:snapToGrid w:val="0"/>
        <w:spacing w:before="312" w:beforeLines="100" w:after="312" w:afterLines="100" w:line="360" w:lineRule="exact"/>
        <w:ind w:firstLine="211"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（6）财务状况报告（</w:t>
      </w:r>
      <w:r>
        <w:rPr>
          <w:rFonts w:hint="eastAsia" w:ascii="宋体" w:hAnsi="宋体" w:eastAsia="宋体" w:cs="宋体"/>
          <w:b/>
          <w:color w:val="auto"/>
          <w:sz w:val="21"/>
          <w:szCs w:val="21"/>
          <w:highlight w:val="none"/>
          <w:u w:val="single"/>
        </w:rPr>
        <w:t>格式自拟，必须提供</w:t>
      </w:r>
      <w:r>
        <w:rPr>
          <w:rFonts w:hint="eastAsia" w:ascii="宋体" w:hAnsi="宋体" w:eastAsia="宋体" w:cs="宋体"/>
          <w:b/>
          <w:color w:val="auto"/>
          <w:sz w:val="21"/>
          <w:szCs w:val="21"/>
          <w:highlight w:val="none"/>
        </w:rPr>
        <w:t>）；</w:t>
      </w:r>
    </w:p>
    <w:p w14:paraId="5191199D">
      <w:pPr>
        <w:keepNext w:val="0"/>
        <w:keepLines w:val="0"/>
        <w:pageBreakBefore w:val="0"/>
        <w:widowControl w:val="0"/>
        <w:kinsoku w:val="0"/>
        <w:wordWrap/>
        <w:overflowPunct w:val="0"/>
        <w:topLinePunct w:val="0"/>
        <w:autoSpaceDE w:val="0"/>
        <w:autoSpaceDN w:val="0"/>
        <w:bidi w:val="0"/>
        <w:snapToGrid w:val="0"/>
        <w:spacing w:before="312" w:beforeLines="100" w:after="312" w:afterLines="100" w:line="360" w:lineRule="exact"/>
        <w:ind w:firstLine="211"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（7）</w:t>
      </w:r>
      <w:r>
        <w:rPr>
          <w:rFonts w:hint="eastAsia" w:ascii="宋体" w:hAnsi="宋体" w:eastAsia="宋体" w:cs="宋体"/>
          <w:b/>
          <w:color w:val="auto"/>
          <w:sz w:val="21"/>
          <w:szCs w:val="21"/>
          <w:highlight w:val="none"/>
        </w:rPr>
        <w:t>具备履行合同所必需的设备和专业技术能力的证明材料（</w:t>
      </w:r>
      <w:r>
        <w:rPr>
          <w:rFonts w:hint="eastAsia" w:ascii="宋体" w:hAnsi="宋体" w:eastAsia="宋体" w:cs="宋体"/>
          <w:b/>
          <w:color w:val="auto"/>
          <w:sz w:val="21"/>
          <w:szCs w:val="21"/>
          <w:highlight w:val="none"/>
          <w:u w:val="single"/>
        </w:rPr>
        <w:t>内容、格式自拟，必须提供</w:t>
      </w:r>
      <w:r>
        <w:rPr>
          <w:rFonts w:hint="eastAsia" w:ascii="宋体" w:hAnsi="宋体" w:eastAsia="宋体" w:cs="宋体"/>
          <w:b/>
          <w:color w:val="auto"/>
          <w:sz w:val="21"/>
          <w:szCs w:val="21"/>
          <w:highlight w:val="none"/>
        </w:rPr>
        <w:t>）</w:t>
      </w:r>
      <w:r>
        <w:rPr>
          <w:rFonts w:hint="eastAsia" w:ascii="宋体" w:hAnsi="宋体" w:eastAsia="宋体" w:cs="宋体"/>
          <w:b/>
          <w:color w:val="auto"/>
          <w:kern w:val="0"/>
          <w:sz w:val="21"/>
          <w:szCs w:val="21"/>
          <w:highlight w:val="none"/>
        </w:rPr>
        <w:t>；</w:t>
      </w:r>
    </w:p>
    <w:p w14:paraId="6105EB43">
      <w:pPr>
        <w:keepNext w:val="0"/>
        <w:keepLines w:val="0"/>
        <w:pageBreakBefore w:val="0"/>
        <w:widowControl w:val="0"/>
        <w:kinsoku w:val="0"/>
        <w:wordWrap/>
        <w:overflowPunct w:val="0"/>
        <w:topLinePunct w:val="0"/>
        <w:autoSpaceDE w:val="0"/>
        <w:autoSpaceDN w:val="0"/>
        <w:bidi w:val="0"/>
        <w:snapToGrid w:val="0"/>
        <w:spacing w:before="50" w:line="360" w:lineRule="exact"/>
        <w:jc w:val="left"/>
        <w:textAlignment w:val="auto"/>
        <w:rPr>
          <w:rFonts w:hint="eastAsia" w:ascii="宋体" w:hAnsi="宋体" w:eastAsia="宋体" w:cs="宋体"/>
          <w:b/>
          <w:color w:val="auto"/>
          <w:sz w:val="21"/>
          <w:szCs w:val="21"/>
          <w:highlight w:val="none"/>
        </w:rPr>
      </w:pPr>
    </w:p>
    <w:p w14:paraId="1C3099A7">
      <w:pPr>
        <w:keepNext w:val="0"/>
        <w:keepLines w:val="0"/>
        <w:pageBreakBefore w:val="0"/>
        <w:widowControl w:val="0"/>
        <w:kinsoku w:val="0"/>
        <w:wordWrap/>
        <w:overflowPunct w:val="0"/>
        <w:topLinePunct w:val="0"/>
        <w:autoSpaceDE w:val="0"/>
        <w:autoSpaceDN w:val="0"/>
        <w:bidi w:val="0"/>
        <w:snapToGrid w:val="0"/>
        <w:spacing w:before="50" w:line="360" w:lineRule="exact"/>
        <w:ind w:firstLine="211"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（8）商务响应表格式：</w:t>
      </w:r>
    </w:p>
    <w:p w14:paraId="2C613F85">
      <w:pPr>
        <w:keepNext w:val="0"/>
        <w:keepLines w:val="0"/>
        <w:pageBreakBefore w:val="0"/>
        <w:widowControl w:val="0"/>
        <w:kinsoku w:val="0"/>
        <w:wordWrap/>
        <w:overflowPunct w:val="0"/>
        <w:topLinePunct w:val="0"/>
        <w:autoSpaceDE w:val="0"/>
        <w:autoSpaceDN w:val="0"/>
        <w:bidi w:val="0"/>
        <w:snapToGrid w:val="0"/>
        <w:spacing w:before="50" w:line="360" w:lineRule="exact"/>
        <w:jc w:val="center"/>
        <w:textAlignment w:val="auto"/>
        <w:rPr>
          <w:rFonts w:hint="eastAsia" w:ascii="宋体" w:hAnsi="宋体" w:eastAsia="宋体" w:cs="宋体"/>
          <w:color w:val="auto"/>
          <w:sz w:val="32"/>
          <w:szCs w:val="32"/>
          <w:highlight w:val="none"/>
          <w:u w:val="single"/>
        </w:rPr>
      </w:pPr>
      <w:r>
        <w:rPr>
          <w:rFonts w:hint="eastAsia" w:ascii="宋体" w:hAnsi="宋体" w:eastAsia="宋体" w:cs="宋体"/>
          <w:b/>
          <w:color w:val="auto"/>
          <w:sz w:val="32"/>
          <w:szCs w:val="32"/>
          <w:highlight w:val="none"/>
        </w:rPr>
        <w:t>商务响应表</w:t>
      </w:r>
    </w:p>
    <w:p w14:paraId="50B66538">
      <w:pPr>
        <w:keepNext w:val="0"/>
        <w:keepLines w:val="0"/>
        <w:pageBreakBefore w:val="0"/>
        <w:widowControl w:val="0"/>
        <w:kinsoku w:val="0"/>
        <w:wordWrap/>
        <w:overflowPunct w:val="0"/>
        <w:topLinePunct w:val="0"/>
        <w:autoSpaceDE w:val="0"/>
        <w:autoSpaceDN w:val="0"/>
        <w:bidi w:val="0"/>
        <w:snapToGrid w:val="0"/>
        <w:spacing w:before="50" w:line="360" w:lineRule="exact"/>
        <w:jc w:val="left"/>
        <w:textAlignment w:val="auto"/>
        <w:rPr>
          <w:rFonts w:hint="eastAsia" w:ascii="宋体" w:hAnsi="宋体" w:eastAsia="宋体" w:cs="宋体"/>
          <w:color w:val="auto"/>
          <w:sz w:val="32"/>
          <w:szCs w:val="32"/>
          <w:highlight w:val="none"/>
          <w:u w:val="single"/>
        </w:rPr>
      </w:pPr>
    </w:p>
    <w:tbl>
      <w:tblPr>
        <w:tblStyle w:val="20"/>
        <w:tblW w:w="940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7"/>
        <w:gridCol w:w="2280"/>
        <w:gridCol w:w="3165"/>
        <w:gridCol w:w="3045"/>
      </w:tblGrid>
      <w:tr w14:paraId="786EF8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917" w:type="dxa"/>
            <w:tcBorders>
              <w:top w:val="single" w:color="auto" w:sz="4" w:space="0"/>
              <w:left w:val="single" w:color="auto" w:sz="4" w:space="0"/>
              <w:bottom w:val="single" w:color="auto" w:sz="4" w:space="0"/>
              <w:right w:val="single" w:color="auto" w:sz="4" w:space="0"/>
            </w:tcBorders>
          </w:tcPr>
          <w:p w14:paraId="0EAC86CF">
            <w:pPr>
              <w:keepNext w:val="0"/>
              <w:keepLines w:val="0"/>
              <w:pageBreakBefore w:val="0"/>
              <w:widowControl w:val="0"/>
              <w:kinsoku w:val="0"/>
              <w:wordWrap/>
              <w:overflowPunct w:val="0"/>
              <w:topLinePunct w:val="0"/>
              <w:autoSpaceDE w:val="0"/>
              <w:autoSpaceDN w:val="0"/>
              <w:bidi w:val="0"/>
              <w:snapToGrid w:val="0"/>
              <w:spacing w:before="156" w:beforeLines="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项号</w:t>
            </w:r>
          </w:p>
        </w:tc>
        <w:tc>
          <w:tcPr>
            <w:tcW w:w="2280" w:type="dxa"/>
            <w:tcBorders>
              <w:top w:val="single" w:color="auto" w:sz="4" w:space="0"/>
              <w:left w:val="single" w:color="auto" w:sz="4" w:space="0"/>
              <w:bottom w:val="single" w:color="auto" w:sz="4" w:space="0"/>
              <w:right w:val="single" w:color="auto" w:sz="4" w:space="0"/>
            </w:tcBorders>
          </w:tcPr>
          <w:p w14:paraId="0C62D866">
            <w:pPr>
              <w:keepNext w:val="0"/>
              <w:keepLines w:val="0"/>
              <w:pageBreakBefore w:val="0"/>
              <w:widowControl w:val="0"/>
              <w:kinsoku w:val="0"/>
              <w:wordWrap/>
              <w:overflowPunct w:val="0"/>
              <w:topLinePunct w:val="0"/>
              <w:autoSpaceDE w:val="0"/>
              <w:autoSpaceDN w:val="0"/>
              <w:bidi w:val="0"/>
              <w:snapToGrid w:val="0"/>
              <w:spacing w:before="156" w:beforeLines="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招标文件要求</w:t>
            </w:r>
          </w:p>
        </w:tc>
        <w:tc>
          <w:tcPr>
            <w:tcW w:w="3165" w:type="dxa"/>
            <w:tcBorders>
              <w:top w:val="single" w:color="auto" w:sz="4" w:space="0"/>
              <w:left w:val="single" w:color="auto" w:sz="4" w:space="0"/>
              <w:bottom w:val="single" w:color="auto" w:sz="4" w:space="0"/>
              <w:right w:val="single" w:color="auto" w:sz="4" w:space="0"/>
            </w:tcBorders>
          </w:tcPr>
          <w:p w14:paraId="750434E7">
            <w:pPr>
              <w:keepNext w:val="0"/>
              <w:keepLines w:val="0"/>
              <w:pageBreakBefore w:val="0"/>
              <w:widowControl w:val="0"/>
              <w:kinsoku w:val="0"/>
              <w:wordWrap/>
              <w:overflowPunct w:val="0"/>
              <w:topLinePunct w:val="0"/>
              <w:autoSpaceDE w:val="0"/>
              <w:autoSpaceDN w:val="0"/>
              <w:bidi w:val="0"/>
              <w:snapToGrid w:val="0"/>
              <w:spacing w:before="156" w:beforeLines="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是否提供并响应</w:t>
            </w:r>
          </w:p>
        </w:tc>
        <w:tc>
          <w:tcPr>
            <w:tcW w:w="3045" w:type="dxa"/>
            <w:tcBorders>
              <w:top w:val="single" w:color="auto" w:sz="4" w:space="0"/>
              <w:left w:val="single" w:color="auto" w:sz="4" w:space="0"/>
              <w:bottom w:val="single" w:color="auto" w:sz="4" w:space="0"/>
              <w:right w:val="single" w:color="auto" w:sz="4" w:space="0"/>
            </w:tcBorders>
          </w:tcPr>
          <w:p w14:paraId="304D347F">
            <w:pPr>
              <w:keepNext w:val="0"/>
              <w:keepLines w:val="0"/>
              <w:pageBreakBefore w:val="0"/>
              <w:widowControl w:val="0"/>
              <w:kinsoku w:val="0"/>
              <w:wordWrap/>
              <w:overflowPunct w:val="0"/>
              <w:topLinePunct w:val="0"/>
              <w:autoSpaceDE w:val="0"/>
              <w:autoSpaceDN w:val="0"/>
              <w:bidi w:val="0"/>
              <w:snapToGrid w:val="0"/>
              <w:spacing w:before="156" w:beforeLines="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投标人的承诺或说明</w:t>
            </w:r>
          </w:p>
        </w:tc>
      </w:tr>
      <w:tr w14:paraId="472C0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917" w:type="dxa"/>
            <w:tcBorders>
              <w:top w:val="single" w:color="auto" w:sz="4" w:space="0"/>
              <w:left w:val="single" w:color="auto" w:sz="4" w:space="0"/>
              <w:bottom w:val="single" w:color="auto" w:sz="4" w:space="0"/>
              <w:right w:val="single" w:color="auto" w:sz="4" w:space="0"/>
            </w:tcBorders>
            <w:vAlign w:val="center"/>
          </w:tcPr>
          <w:p w14:paraId="2D94BF79">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280" w:type="dxa"/>
            <w:tcBorders>
              <w:top w:val="single" w:color="auto" w:sz="4" w:space="0"/>
              <w:left w:val="single" w:color="auto" w:sz="4" w:space="0"/>
              <w:bottom w:val="single" w:color="auto" w:sz="4" w:space="0"/>
              <w:right w:val="single" w:color="auto" w:sz="4" w:space="0"/>
            </w:tcBorders>
            <w:vAlign w:val="center"/>
          </w:tcPr>
          <w:p w14:paraId="18E14DAC">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3165" w:type="dxa"/>
            <w:tcBorders>
              <w:top w:val="single" w:color="auto" w:sz="4" w:space="0"/>
              <w:left w:val="single" w:color="auto" w:sz="4" w:space="0"/>
              <w:bottom w:val="single" w:color="auto" w:sz="4" w:space="0"/>
              <w:right w:val="single" w:color="auto" w:sz="4" w:space="0"/>
            </w:tcBorders>
            <w:vAlign w:val="center"/>
          </w:tcPr>
          <w:p w14:paraId="380C1CB5">
            <w:pPr>
              <w:keepNext w:val="0"/>
              <w:keepLines w:val="0"/>
              <w:pageBreakBefore w:val="0"/>
              <w:widowControl w:val="0"/>
              <w:kinsoku w:val="0"/>
              <w:wordWrap/>
              <w:overflowPunct w:val="0"/>
              <w:topLinePunct w:val="0"/>
              <w:autoSpaceDE w:val="0"/>
              <w:autoSpaceDN w:val="0"/>
              <w:bidi w:val="0"/>
              <w:snapToGrid w:val="0"/>
              <w:spacing w:line="360" w:lineRule="exact"/>
              <w:ind w:firstLine="315" w:firstLineChars="150"/>
              <w:textAlignment w:val="auto"/>
              <w:rPr>
                <w:rFonts w:hint="eastAsia" w:ascii="宋体" w:hAnsi="宋体" w:eastAsia="宋体" w:cs="宋体"/>
                <w:color w:val="auto"/>
                <w:sz w:val="21"/>
                <w:szCs w:val="21"/>
                <w:highlight w:val="none"/>
              </w:rPr>
            </w:pPr>
          </w:p>
        </w:tc>
        <w:tc>
          <w:tcPr>
            <w:tcW w:w="3045" w:type="dxa"/>
            <w:tcBorders>
              <w:top w:val="single" w:color="auto" w:sz="4" w:space="0"/>
              <w:left w:val="single" w:color="auto" w:sz="4" w:space="0"/>
              <w:bottom w:val="single" w:color="auto" w:sz="4" w:space="0"/>
              <w:right w:val="single" w:color="auto" w:sz="4" w:space="0"/>
            </w:tcBorders>
            <w:vAlign w:val="center"/>
          </w:tcPr>
          <w:p w14:paraId="159839A9">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p>
        </w:tc>
      </w:tr>
      <w:tr w14:paraId="0CEDDA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917" w:type="dxa"/>
            <w:tcBorders>
              <w:top w:val="single" w:color="auto" w:sz="4" w:space="0"/>
              <w:left w:val="single" w:color="auto" w:sz="4" w:space="0"/>
              <w:bottom w:val="single" w:color="auto" w:sz="4" w:space="0"/>
              <w:right w:val="single" w:color="auto" w:sz="4" w:space="0"/>
            </w:tcBorders>
            <w:vAlign w:val="center"/>
          </w:tcPr>
          <w:p w14:paraId="38CB62D6">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2280" w:type="dxa"/>
            <w:tcBorders>
              <w:top w:val="single" w:color="auto" w:sz="4" w:space="0"/>
              <w:left w:val="single" w:color="auto" w:sz="4" w:space="0"/>
              <w:bottom w:val="single" w:color="auto" w:sz="4" w:space="0"/>
              <w:right w:val="single" w:color="auto" w:sz="4" w:space="0"/>
            </w:tcBorders>
            <w:vAlign w:val="center"/>
          </w:tcPr>
          <w:p w14:paraId="667CD83D">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3165" w:type="dxa"/>
            <w:tcBorders>
              <w:top w:val="single" w:color="auto" w:sz="4" w:space="0"/>
              <w:left w:val="single" w:color="auto" w:sz="4" w:space="0"/>
              <w:bottom w:val="single" w:color="auto" w:sz="4" w:space="0"/>
              <w:right w:val="single" w:color="auto" w:sz="4" w:space="0"/>
            </w:tcBorders>
            <w:vAlign w:val="center"/>
          </w:tcPr>
          <w:p w14:paraId="5F51CB16">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p>
        </w:tc>
        <w:tc>
          <w:tcPr>
            <w:tcW w:w="3045" w:type="dxa"/>
            <w:tcBorders>
              <w:top w:val="single" w:color="auto" w:sz="4" w:space="0"/>
              <w:left w:val="single" w:color="auto" w:sz="4" w:space="0"/>
              <w:bottom w:val="single" w:color="auto" w:sz="4" w:space="0"/>
              <w:right w:val="single" w:color="auto" w:sz="4" w:space="0"/>
            </w:tcBorders>
            <w:vAlign w:val="center"/>
          </w:tcPr>
          <w:p w14:paraId="13BC5E1C">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p>
        </w:tc>
      </w:tr>
      <w:tr w14:paraId="6B9393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917" w:type="dxa"/>
            <w:tcBorders>
              <w:top w:val="single" w:color="auto" w:sz="4" w:space="0"/>
              <w:left w:val="single" w:color="auto" w:sz="4" w:space="0"/>
              <w:bottom w:val="single" w:color="auto" w:sz="4" w:space="0"/>
              <w:right w:val="single" w:color="auto" w:sz="4" w:space="0"/>
            </w:tcBorders>
            <w:vAlign w:val="center"/>
          </w:tcPr>
          <w:p w14:paraId="0033F1E7">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2280" w:type="dxa"/>
            <w:tcBorders>
              <w:top w:val="single" w:color="auto" w:sz="4" w:space="0"/>
              <w:left w:val="single" w:color="auto" w:sz="4" w:space="0"/>
              <w:bottom w:val="single" w:color="auto" w:sz="4" w:space="0"/>
              <w:right w:val="single" w:color="auto" w:sz="4" w:space="0"/>
            </w:tcBorders>
            <w:vAlign w:val="center"/>
          </w:tcPr>
          <w:p w14:paraId="5D6355FD">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3165" w:type="dxa"/>
            <w:tcBorders>
              <w:top w:val="single" w:color="auto" w:sz="4" w:space="0"/>
              <w:left w:val="single" w:color="auto" w:sz="4" w:space="0"/>
              <w:bottom w:val="single" w:color="auto" w:sz="4" w:space="0"/>
              <w:right w:val="single" w:color="auto" w:sz="4" w:space="0"/>
            </w:tcBorders>
            <w:vAlign w:val="center"/>
          </w:tcPr>
          <w:p w14:paraId="4E137E69">
            <w:pPr>
              <w:keepNext w:val="0"/>
              <w:keepLines w:val="0"/>
              <w:pageBreakBefore w:val="0"/>
              <w:widowControl w:val="0"/>
              <w:kinsoku w:val="0"/>
              <w:wordWrap/>
              <w:overflowPunct w:val="0"/>
              <w:topLinePunct w:val="0"/>
              <w:autoSpaceDE w:val="0"/>
              <w:autoSpaceDN w:val="0"/>
              <w:bidi w:val="0"/>
              <w:snapToGrid w:val="0"/>
              <w:spacing w:line="360" w:lineRule="exact"/>
              <w:ind w:left="43"/>
              <w:textAlignment w:val="auto"/>
              <w:rPr>
                <w:rFonts w:hint="eastAsia" w:ascii="宋体" w:hAnsi="宋体" w:eastAsia="宋体" w:cs="宋体"/>
                <w:color w:val="auto"/>
                <w:sz w:val="21"/>
                <w:szCs w:val="21"/>
                <w:highlight w:val="none"/>
              </w:rPr>
            </w:pPr>
          </w:p>
        </w:tc>
        <w:tc>
          <w:tcPr>
            <w:tcW w:w="3045" w:type="dxa"/>
            <w:tcBorders>
              <w:top w:val="single" w:color="auto" w:sz="4" w:space="0"/>
              <w:left w:val="single" w:color="auto" w:sz="4" w:space="0"/>
              <w:bottom w:val="single" w:color="auto" w:sz="4" w:space="0"/>
              <w:right w:val="single" w:color="auto" w:sz="4" w:space="0"/>
            </w:tcBorders>
            <w:vAlign w:val="center"/>
          </w:tcPr>
          <w:p w14:paraId="48C1FD1C">
            <w:pPr>
              <w:keepNext w:val="0"/>
              <w:keepLines w:val="0"/>
              <w:pageBreakBefore w:val="0"/>
              <w:widowControl w:val="0"/>
              <w:kinsoku w:val="0"/>
              <w:wordWrap/>
              <w:overflowPunct w:val="0"/>
              <w:topLinePunct w:val="0"/>
              <w:autoSpaceDE w:val="0"/>
              <w:autoSpaceDN w:val="0"/>
              <w:bidi w:val="0"/>
              <w:snapToGrid w:val="0"/>
              <w:spacing w:line="360" w:lineRule="exact"/>
              <w:ind w:left="43"/>
              <w:textAlignment w:val="auto"/>
              <w:rPr>
                <w:rFonts w:hint="eastAsia" w:ascii="宋体" w:hAnsi="宋体" w:eastAsia="宋体" w:cs="宋体"/>
                <w:color w:val="auto"/>
                <w:sz w:val="21"/>
                <w:szCs w:val="21"/>
                <w:highlight w:val="none"/>
              </w:rPr>
            </w:pPr>
          </w:p>
        </w:tc>
      </w:tr>
      <w:tr w14:paraId="751009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917" w:type="dxa"/>
            <w:tcBorders>
              <w:top w:val="single" w:color="auto" w:sz="4" w:space="0"/>
              <w:left w:val="single" w:color="auto" w:sz="4" w:space="0"/>
              <w:bottom w:val="single" w:color="auto" w:sz="4" w:space="0"/>
              <w:right w:val="single" w:color="auto" w:sz="4" w:space="0"/>
            </w:tcBorders>
            <w:vAlign w:val="center"/>
          </w:tcPr>
          <w:p w14:paraId="27FC08BC">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2280" w:type="dxa"/>
            <w:tcBorders>
              <w:top w:val="single" w:color="auto" w:sz="4" w:space="0"/>
              <w:left w:val="single" w:color="auto" w:sz="4" w:space="0"/>
              <w:bottom w:val="single" w:color="auto" w:sz="4" w:space="0"/>
              <w:right w:val="single" w:color="auto" w:sz="4" w:space="0"/>
            </w:tcBorders>
            <w:vAlign w:val="center"/>
          </w:tcPr>
          <w:p w14:paraId="6BC9612F">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3165" w:type="dxa"/>
            <w:tcBorders>
              <w:top w:val="single" w:color="auto" w:sz="4" w:space="0"/>
              <w:left w:val="single" w:color="auto" w:sz="4" w:space="0"/>
              <w:bottom w:val="single" w:color="auto" w:sz="4" w:space="0"/>
              <w:right w:val="single" w:color="auto" w:sz="4" w:space="0"/>
            </w:tcBorders>
            <w:vAlign w:val="center"/>
          </w:tcPr>
          <w:p w14:paraId="0023F7FC">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p>
        </w:tc>
        <w:tc>
          <w:tcPr>
            <w:tcW w:w="3045" w:type="dxa"/>
            <w:tcBorders>
              <w:top w:val="single" w:color="auto" w:sz="4" w:space="0"/>
              <w:left w:val="single" w:color="auto" w:sz="4" w:space="0"/>
              <w:bottom w:val="single" w:color="auto" w:sz="4" w:space="0"/>
              <w:right w:val="single" w:color="auto" w:sz="4" w:space="0"/>
            </w:tcBorders>
            <w:vAlign w:val="center"/>
          </w:tcPr>
          <w:p w14:paraId="140E5A4F">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p>
        </w:tc>
      </w:tr>
    </w:tbl>
    <w:p w14:paraId="6A5C202C">
      <w:pPr>
        <w:keepNext w:val="0"/>
        <w:keepLines w:val="0"/>
        <w:pageBreakBefore w:val="0"/>
        <w:widowControl w:val="0"/>
        <w:kinsoku w:val="0"/>
        <w:wordWrap/>
        <w:overflowPunct w:val="0"/>
        <w:topLinePunct w:val="0"/>
        <w:autoSpaceDE w:val="0"/>
        <w:autoSpaceDN w:val="0"/>
        <w:bidi w:val="0"/>
        <w:snapToGrid w:val="0"/>
        <w:spacing w:before="50" w:after="50" w:line="360" w:lineRule="exact"/>
        <w:textAlignment w:val="auto"/>
        <w:rPr>
          <w:rFonts w:hint="eastAsia" w:ascii="宋体" w:hAnsi="宋体" w:eastAsia="宋体" w:cs="宋体"/>
          <w:color w:val="auto"/>
          <w:spacing w:val="20"/>
          <w:sz w:val="32"/>
          <w:szCs w:val="32"/>
          <w:highlight w:val="none"/>
        </w:rPr>
      </w:pPr>
    </w:p>
    <w:p w14:paraId="408E9C56">
      <w:pPr>
        <w:keepNext w:val="0"/>
        <w:keepLines w:val="0"/>
        <w:pageBreakBefore w:val="0"/>
        <w:widowControl w:val="0"/>
        <w:kinsoku w:val="0"/>
        <w:wordWrap/>
        <w:overflowPunct w:val="0"/>
        <w:topLinePunct w:val="0"/>
        <w:autoSpaceDE w:val="0"/>
        <w:autoSpaceDN w:val="0"/>
        <w:bidi w:val="0"/>
        <w:snapToGrid w:val="0"/>
        <w:spacing w:before="50" w:after="50" w:line="360" w:lineRule="exact"/>
        <w:jc w:val="left"/>
        <w:textAlignment w:val="auto"/>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z w:val="21"/>
          <w:szCs w:val="21"/>
          <w:highlight w:val="none"/>
        </w:rPr>
        <w:t>法定代表人或委托代理人签字或签章</w:t>
      </w:r>
      <w:r>
        <w:rPr>
          <w:rFonts w:hint="eastAsia" w:ascii="宋体" w:hAnsi="宋体" w:eastAsia="宋体" w:cs="宋体"/>
          <w:color w:val="auto"/>
          <w:spacing w:val="20"/>
          <w:sz w:val="21"/>
          <w:szCs w:val="21"/>
          <w:highlight w:val="none"/>
        </w:rPr>
        <w:t>：</w:t>
      </w:r>
      <w:r>
        <w:rPr>
          <w:rFonts w:hint="eastAsia" w:ascii="宋体" w:hAnsi="宋体" w:eastAsia="宋体" w:cs="宋体"/>
          <w:color w:val="auto"/>
          <w:spacing w:val="20"/>
          <w:sz w:val="21"/>
          <w:szCs w:val="21"/>
          <w:highlight w:val="none"/>
          <w:u w:val="single"/>
        </w:rPr>
        <w:t xml:space="preserve">  </w:t>
      </w:r>
      <w:r>
        <w:rPr>
          <w:rFonts w:hint="eastAsia" w:ascii="宋体" w:hAnsi="宋体" w:eastAsia="宋体" w:cs="宋体"/>
          <w:color w:val="auto"/>
          <w:spacing w:val="20"/>
          <w:sz w:val="21"/>
          <w:szCs w:val="21"/>
          <w:highlight w:val="none"/>
          <w:u w:val="single"/>
          <w:lang w:val="en-US" w:eastAsia="zh-CN"/>
        </w:rPr>
        <w:t xml:space="preserve"> </w:t>
      </w:r>
      <w:r>
        <w:rPr>
          <w:rFonts w:hint="eastAsia" w:ascii="宋体" w:hAnsi="宋体" w:eastAsia="宋体" w:cs="宋体"/>
          <w:color w:val="auto"/>
          <w:spacing w:val="20"/>
          <w:sz w:val="21"/>
          <w:szCs w:val="21"/>
          <w:highlight w:val="none"/>
          <w:u w:val="single"/>
        </w:rPr>
        <w:t xml:space="preserve">      </w:t>
      </w:r>
    </w:p>
    <w:p w14:paraId="43514305">
      <w:pPr>
        <w:keepNext w:val="0"/>
        <w:keepLines w:val="0"/>
        <w:pageBreakBefore w:val="0"/>
        <w:widowControl w:val="0"/>
        <w:kinsoku w:val="0"/>
        <w:wordWrap/>
        <w:overflowPunct w:val="0"/>
        <w:topLinePunct w:val="0"/>
        <w:autoSpaceDE w:val="0"/>
        <w:autoSpaceDN w:val="0"/>
        <w:bidi w:val="0"/>
        <w:snapToGrid w:val="0"/>
        <w:spacing w:line="360" w:lineRule="exact"/>
        <w:ind w:firstLine="245" w:firstLineChars="98"/>
        <w:jc w:val="left"/>
        <w:textAlignment w:val="auto"/>
        <w:rPr>
          <w:rFonts w:hint="eastAsia" w:ascii="宋体" w:hAnsi="宋体" w:eastAsia="宋体" w:cs="宋体"/>
          <w:color w:val="auto"/>
          <w:spacing w:val="20"/>
          <w:sz w:val="21"/>
          <w:szCs w:val="21"/>
          <w:highlight w:val="none"/>
        </w:rPr>
      </w:pPr>
    </w:p>
    <w:p w14:paraId="3A3602FF">
      <w:pPr>
        <w:keepNext w:val="0"/>
        <w:keepLines w:val="0"/>
        <w:pageBreakBefore w:val="0"/>
        <w:widowControl w:val="0"/>
        <w:kinsoku w:val="0"/>
        <w:wordWrap/>
        <w:overflowPunct w:val="0"/>
        <w:topLinePunct w:val="0"/>
        <w:autoSpaceDE w:val="0"/>
        <w:autoSpaceDN w:val="0"/>
        <w:bidi w:val="0"/>
        <w:snapToGrid w:val="0"/>
        <w:spacing w:line="36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color w:val="auto"/>
          <w:spacing w:val="20"/>
          <w:sz w:val="21"/>
          <w:szCs w:val="21"/>
          <w:highlight w:val="none"/>
        </w:rPr>
        <w:t>投标人盖章：</w:t>
      </w:r>
      <w:r>
        <w:rPr>
          <w:rFonts w:hint="eastAsia" w:ascii="宋体" w:hAnsi="宋体" w:eastAsia="宋体" w:cs="宋体"/>
          <w:color w:val="auto"/>
          <w:spacing w:val="20"/>
          <w:sz w:val="21"/>
          <w:szCs w:val="21"/>
          <w:highlight w:val="none"/>
          <w:u w:val="single"/>
        </w:rPr>
        <w:t xml:space="preserve">            </w:t>
      </w:r>
      <w:r>
        <w:rPr>
          <w:rFonts w:hint="eastAsia" w:ascii="宋体" w:hAnsi="宋体" w:eastAsia="宋体" w:cs="宋体"/>
          <w:color w:val="auto"/>
          <w:spacing w:val="20"/>
          <w:sz w:val="21"/>
          <w:szCs w:val="21"/>
          <w:highlight w:val="none"/>
        </w:rPr>
        <w:t xml:space="preserve">     日 期：</w:t>
      </w:r>
      <w:r>
        <w:rPr>
          <w:rFonts w:hint="eastAsia" w:ascii="宋体" w:hAnsi="宋体" w:eastAsia="宋体" w:cs="宋体"/>
          <w:color w:val="auto"/>
          <w:spacing w:val="20"/>
          <w:sz w:val="21"/>
          <w:szCs w:val="21"/>
          <w:highlight w:val="none"/>
          <w:u w:val="single"/>
        </w:rPr>
        <w:t xml:space="preserve">          </w:t>
      </w:r>
    </w:p>
    <w:p w14:paraId="4B3356C8">
      <w:pPr>
        <w:keepNext w:val="0"/>
        <w:keepLines w:val="0"/>
        <w:pageBreakBefore w:val="0"/>
        <w:widowControl w:val="0"/>
        <w:kinsoku w:val="0"/>
        <w:wordWrap/>
        <w:overflowPunct w:val="0"/>
        <w:topLinePunct w:val="0"/>
        <w:autoSpaceDE w:val="0"/>
        <w:autoSpaceDN w:val="0"/>
        <w:bidi w:val="0"/>
        <w:snapToGrid w:val="0"/>
        <w:spacing w:line="360" w:lineRule="exact"/>
        <w:ind w:firstLine="207" w:firstLineChars="98"/>
        <w:jc w:val="left"/>
        <w:textAlignment w:val="auto"/>
        <w:rPr>
          <w:rFonts w:hint="eastAsia" w:ascii="宋体" w:hAnsi="宋体" w:eastAsia="宋体" w:cs="宋体"/>
          <w:b/>
          <w:color w:val="auto"/>
          <w:sz w:val="21"/>
          <w:szCs w:val="21"/>
          <w:highlight w:val="none"/>
        </w:rPr>
      </w:pPr>
    </w:p>
    <w:p w14:paraId="50098CFE">
      <w:pPr>
        <w:keepNext w:val="0"/>
        <w:keepLines w:val="0"/>
        <w:pageBreakBefore w:val="0"/>
        <w:widowControl w:val="0"/>
        <w:kinsoku w:val="0"/>
        <w:wordWrap/>
        <w:overflowPunct w:val="0"/>
        <w:topLinePunct w:val="0"/>
        <w:autoSpaceDE w:val="0"/>
        <w:autoSpaceDN w:val="0"/>
        <w:bidi w:val="0"/>
        <w:snapToGrid w:val="0"/>
        <w:spacing w:line="360" w:lineRule="exact"/>
        <w:ind w:left="840" w:hanging="840" w:hangingChars="400"/>
        <w:jc w:val="left"/>
        <w:textAlignment w:val="auto"/>
        <w:rPr>
          <w:rFonts w:hint="eastAsia" w:ascii="宋体" w:hAnsi="宋体" w:eastAsia="宋体" w:cs="宋体"/>
          <w:color w:val="auto"/>
          <w:sz w:val="21"/>
          <w:szCs w:val="21"/>
          <w:highlight w:val="none"/>
        </w:rPr>
      </w:pPr>
    </w:p>
    <w:p w14:paraId="0DF7F560">
      <w:pPr>
        <w:keepNext w:val="0"/>
        <w:keepLines w:val="0"/>
        <w:pageBreakBefore w:val="0"/>
        <w:widowControl w:val="0"/>
        <w:kinsoku w:val="0"/>
        <w:wordWrap/>
        <w:overflowPunct w:val="0"/>
        <w:topLinePunct w:val="0"/>
        <w:autoSpaceDE w:val="0"/>
        <w:autoSpaceDN w:val="0"/>
        <w:bidi w:val="0"/>
        <w:snapToGrid w:val="0"/>
        <w:spacing w:line="360" w:lineRule="exact"/>
        <w:ind w:left="840" w:hanging="840" w:hangingChars="400"/>
        <w:jc w:val="left"/>
        <w:textAlignment w:val="auto"/>
        <w:rPr>
          <w:rFonts w:hint="eastAsia" w:ascii="宋体" w:hAnsi="宋体" w:eastAsia="宋体" w:cs="宋体"/>
          <w:color w:val="auto"/>
          <w:sz w:val="21"/>
          <w:szCs w:val="21"/>
          <w:highlight w:val="none"/>
        </w:rPr>
      </w:pPr>
    </w:p>
    <w:p w14:paraId="562D9150">
      <w:pPr>
        <w:keepNext w:val="0"/>
        <w:keepLines w:val="0"/>
        <w:pageBreakBefore w:val="0"/>
        <w:widowControl w:val="0"/>
        <w:kinsoku w:val="0"/>
        <w:wordWrap/>
        <w:overflowPunct w:val="0"/>
        <w:topLinePunct w:val="0"/>
        <w:autoSpaceDE w:val="0"/>
        <w:autoSpaceDN w:val="0"/>
        <w:bidi w:val="0"/>
        <w:snapToGrid w:val="0"/>
        <w:spacing w:line="360" w:lineRule="exact"/>
        <w:ind w:left="840" w:hanging="840" w:hangingChars="400"/>
        <w:jc w:val="left"/>
        <w:textAlignment w:val="auto"/>
        <w:rPr>
          <w:rFonts w:hint="eastAsia" w:ascii="宋体" w:hAnsi="宋体" w:eastAsia="宋体" w:cs="宋体"/>
          <w:color w:val="auto"/>
          <w:sz w:val="21"/>
          <w:szCs w:val="21"/>
          <w:highlight w:val="none"/>
        </w:rPr>
      </w:pPr>
    </w:p>
    <w:p w14:paraId="342D27ED">
      <w:pPr>
        <w:keepNext w:val="0"/>
        <w:keepLines w:val="0"/>
        <w:pageBreakBefore w:val="0"/>
        <w:widowControl w:val="0"/>
        <w:kinsoku w:val="0"/>
        <w:wordWrap/>
        <w:overflowPunct w:val="0"/>
        <w:topLinePunct w:val="0"/>
        <w:autoSpaceDE w:val="0"/>
        <w:autoSpaceDN w:val="0"/>
        <w:bidi w:val="0"/>
        <w:adjustRightInd/>
        <w:snapToGrid w:val="0"/>
        <w:spacing w:line="360" w:lineRule="exact"/>
        <w:ind w:left="949" w:leftChars="152" w:hanging="630" w:hangingChars="3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（9）招标项目采购需求中要求必须提供的材料等</w:t>
      </w:r>
      <w:r>
        <w:rPr>
          <w:rFonts w:hint="eastAsia" w:ascii="宋体" w:hAnsi="宋体" w:eastAsia="宋体" w:cs="宋体"/>
          <w:color w:val="auto"/>
          <w:sz w:val="21"/>
          <w:szCs w:val="21"/>
          <w:highlight w:val="none"/>
        </w:rPr>
        <w:t>（招标项目采购需求中要求必须提供的材料，据实提供）</w:t>
      </w:r>
      <w:r>
        <w:rPr>
          <w:rFonts w:hint="eastAsia" w:ascii="宋体" w:hAnsi="宋体" w:eastAsia="宋体" w:cs="宋体"/>
          <w:color w:val="auto"/>
          <w:sz w:val="21"/>
          <w:szCs w:val="21"/>
          <w:highlight w:val="none"/>
          <w:lang w:eastAsia="zh-CN"/>
        </w:rPr>
        <w:t>；</w:t>
      </w:r>
    </w:p>
    <w:p w14:paraId="4752F680">
      <w:pPr>
        <w:keepNext w:val="0"/>
        <w:keepLines w:val="0"/>
        <w:pageBreakBefore w:val="0"/>
        <w:widowControl w:val="0"/>
        <w:kinsoku w:val="0"/>
        <w:wordWrap/>
        <w:overflowPunct w:val="0"/>
        <w:topLinePunct w:val="0"/>
        <w:autoSpaceDE w:val="0"/>
        <w:autoSpaceDN w:val="0"/>
        <w:bidi w:val="0"/>
        <w:adjustRightInd/>
        <w:snapToGrid w:val="0"/>
        <w:spacing w:line="360" w:lineRule="exact"/>
        <w:ind w:left="1058" w:leftChars="304" w:hanging="420" w:hanging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（10）具备法律、行政法规规定的其他条件的证明材料（格式自拟）；</w:t>
      </w:r>
    </w:p>
    <w:p w14:paraId="54241994">
      <w:pPr>
        <w:keepNext w:val="0"/>
        <w:keepLines w:val="0"/>
        <w:pageBreakBefore w:val="0"/>
        <w:widowControl w:val="0"/>
        <w:kinsoku w:val="0"/>
        <w:wordWrap/>
        <w:overflowPunct w:val="0"/>
        <w:topLinePunct w:val="0"/>
        <w:autoSpaceDE w:val="0"/>
        <w:autoSpaceDN w:val="0"/>
        <w:bidi w:val="0"/>
        <w:adjustRightInd/>
        <w:snapToGrid w:val="0"/>
        <w:spacing w:line="360" w:lineRule="exact"/>
        <w:ind w:left="1058" w:leftChars="304" w:hanging="420" w:hanging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（11）类似案例成功的业绩（投标人同类项目实施情况一览表、合同扫描件）；</w:t>
      </w:r>
    </w:p>
    <w:p w14:paraId="3755984A">
      <w:pPr>
        <w:keepNext w:val="0"/>
        <w:keepLines w:val="0"/>
        <w:pageBreakBefore w:val="0"/>
        <w:widowControl w:val="0"/>
        <w:kinsoku w:val="0"/>
        <w:wordWrap/>
        <w:overflowPunct w:val="0"/>
        <w:topLinePunct w:val="0"/>
        <w:autoSpaceDE w:val="0"/>
        <w:autoSpaceDN w:val="0"/>
        <w:bidi w:val="0"/>
        <w:adjustRightInd/>
        <w:snapToGrid w:val="0"/>
        <w:spacing w:line="360" w:lineRule="exact"/>
        <w:ind w:left="1058" w:leftChars="304" w:hanging="420" w:hanging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（12）其他特殊资质证书（如本地化服务能力等）；</w:t>
      </w:r>
    </w:p>
    <w:p w14:paraId="58177C88">
      <w:pPr>
        <w:keepNext w:val="0"/>
        <w:keepLines w:val="0"/>
        <w:pageBreakBefore w:val="0"/>
        <w:widowControl w:val="0"/>
        <w:kinsoku w:val="0"/>
        <w:wordWrap/>
        <w:overflowPunct w:val="0"/>
        <w:topLinePunct w:val="0"/>
        <w:autoSpaceDE w:val="0"/>
        <w:autoSpaceDN w:val="0"/>
        <w:bidi w:val="0"/>
        <w:adjustRightInd/>
        <w:snapToGrid w:val="0"/>
        <w:spacing w:line="360" w:lineRule="exact"/>
        <w:ind w:left="1058" w:leftChars="304" w:hanging="420" w:hanging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（13）节能环保产品或政府强制采购节能产品清单证书；</w:t>
      </w:r>
    </w:p>
    <w:p w14:paraId="7A888162">
      <w:pPr>
        <w:keepNext w:val="0"/>
        <w:keepLines w:val="0"/>
        <w:pageBreakBefore w:val="0"/>
        <w:widowControl w:val="0"/>
        <w:kinsoku w:val="0"/>
        <w:wordWrap/>
        <w:overflowPunct w:val="0"/>
        <w:topLinePunct w:val="0"/>
        <w:autoSpaceDE w:val="0"/>
        <w:autoSpaceDN w:val="0"/>
        <w:bidi w:val="0"/>
        <w:adjustRightInd/>
        <w:snapToGrid w:val="0"/>
        <w:spacing w:line="360" w:lineRule="exact"/>
        <w:ind w:left="1058" w:leftChars="304" w:hanging="420" w:hanging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（14）投标人质量管理和质量保证体系等方面的认证证书；</w:t>
      </w:r>
    </w:p>
    <w:p w14:paraId="493FD901">
      <w:pPr>
        <w:keepNext w:val="0"/>
        <w:keepLines w:val="0"/>
        <w:pageBreakBefore w:val="0"/>
        <w:widowControl w:val="0"/>
        <w:kinsoku w:val="0"/>
        <w:wordWrap/>
        <w:overflowPunct w:val="0"/>
        <w:topLinePunct w:val="0"/>
        <w:autoSpaceDE w:val="0"/>
        <w:autoSpaceDN w:val="0"/>
        <w:bidi w:val="0"/>
        <w:adjustRightInd/>
        <w:snapToGrid w:val="0"/>
        <w:spacing w:line="360" w:lineRule="exact"/>
        <w:ind w:left="1058" w:leftChars="304" w:hanging="420" w:hanging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（15）投标人认为可以证明其能力或业绩的其他材料；</w:t>
      </w:r>
    </w:p>
    <w:p w14:paraId="2F5C9433">
      <w:pPr>
        <w:keepNext w:val="0"/>
        <w:keepLines w:val="0"/>
        <w:pageBreakBefore w:val="0"/>
        <w:widowControl w:val="0"/>
        <w:kinsoku w:val="0"/>
        <w:wordWrap/>
        <w:overflowPunct w:val="0"/>
        <w:topLinePunct w:val="0"/>
        <w:autoSpaceDE w:val="0"/>
        <w:autoSpaceDN w:val="0"/>
        <w:bidi w:val="0"/>
        <w:adjustRightInd/>
        <w:snapToGrid w:val="0"/>
        <w:spacing w:line="360" w:lineRule="exact"/>
        <w:ind w:left="1058" w:leftChars="304" w:hanging="420" w:hanging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（16）投标人关于产品生产时间、升级或者更新淘汰计划、配件供应以及本单位债务纠纷、违法违规记录等方面的情况（内容见投标声明书）；</w:t>
      </w:r>
    </w:p>
    <w:p w14:paraId="400F1544">
      <w:pPr>
        <w:keepNext w:val="0"/>
        <w:keepLines w:val="0"/>
        <w:pageBreakBefore w:val="0"/>
        <w:widowControl w:val="0"/>
        <w:kinsoku w:val="0"/>
        <w:wordWrap/>
        <w:overflowPunct w:val="0"/>
        <w:topLinePunct w:val="0"/>
        <w:autoSpaceDE w:val="0"/>
        <w:autoSpaceDN w:val="0"/>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6337E12F">
      <w:pPr>
        <w:keepNext w:val="0"/>
        <w:keepLines w:val="0"/>
        <w:pageBreakBefore w:val="0"/>
        <w:widowControl w:val="0"/>
        <w:kinsoku w:val="0"/>
        <w:wordWrap/>
        <w:overflowPunct w:val="0"/>
        <w:topLinePunct w:val="0"/>
        <w:autoSpaceDE w:val="0"/>
        <w:autoSpaceDN w:val="0"/>
        <w:bidi w:val="0"/>
        <w:snapToGrid w:val="0"/>
        <w:spacing w:before="312" w:beforeLines="100" w:after="312" w:afterLines="100" w:line="3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（17）中小企业声明函格式：</w:t>
      </w:r>
    </w:p>
    <w:p w14:paraId="14635BA4">
      <w:pPr>
        <w:pStyle w:val="33"/>
        <w:keepNext w:val="0"/>
        <w:keepLines w:val="0"/>
        <w:pageBreakBefore w:val="0"/>
        <w:widowControl w:val="0"/>
        <w:kinsoku w:val="0"/>
        <w:wordWrap/>
        <w:overflowPunct w:val="0"/>
        <w:topLinePunct w:val="0"/>
        <w:autoSpaceDE w:val="0"/>
        <w:autoSpaceDN w:val="0"/>
        <w:bidi w:val="0"/>
        <w:spacing w:after="0" w:line="360" w:lineRule="exact"/>
        <w:textAlignment w:val="auto"/>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中小企业声明函</w:t>
      </w:r>
    </w:p>
    <w:p w14:paraId="51F5F52B">
      <w:pPr>
        <w:pStyle w:val="33"/>
        <w:keepNext w:val="0"/>
        <w:keepLines w:val="0"/>
        <w:pageBreakBefore w:val="0"/>
        <w:widowControl w:val="0"/>
        <w:kinsoku w:val="0"/>
        <w:wordWrap/>
        <w:overflowPunct w:val="0"/>
        <w:topLinePunct w:val="0"/>
        <w:autoSpaceDE w:val="0"/>
        <w:autoSpaceDN w:val="0"/>
        <w:bidi w:val="0"/>
        <w:spacing w:after="0" w:line="360" w:lineRule="exact"/>
        <w:textAlignment w:val="auto"/>
        <w:rPr>
          <w:rFonts w:hint="eastAsia" w:ascii="宋体" w:hAnsi="宋体" w:eastAsia="宋体" w:cs="宋体"/>
          <w:color w:val="auto"/>
          <w:sz w:val="32"/>
          <w:szCs w:val="32"/>
          <w:highlight w:val="none"/>
        </w:rPr>
      </w:pPr>
    </w:p>
    <w:p w14:paraId="0EFB9289">
      <w:pPr>
        <w:pStyle w:val="34"/>
        <w:keepNext w:val="0"/>
        <w:keepLines w:val="0"/>
        <w:pageBreakBefore w:val="0"/>
        <w:widowControl w:val="0"/>
        <w:kinsoku w:val="0"/>
        <w:wordWrap/>
        <w:overflowPunct w:val="0"/>
        <w:topLinePunct w:val="0"/>
        <w:autoSpaceDE w:val="0"/>
        <w:autoSpaceDN w:val="0"/>
        <w:bidi w:val="0"/>
        <w:spacing w:line="360" w:lineRule="exact"/>
        <w:ind w:firstLine="64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本公司（联合体）郑重声明，根据《政府采购促进中小企业发展管理办法》（财库〔2020〕46号）的规定，本公司 （联合体）参加</w:t>
      </w:r>
      <w:r>
        <w:rPr>
          <w:rFonts w:hint="eastAsia" w:ascii="宋体" w:hAnsi="宋体" w:eastAsia="宋体" w:cs="宋体"/>
          <w:color w:val="auto"/>
          <w:sz w:val="21"/>
          <w:szCs w:val="21"/>
          <w:highlight w:val="none"/>
          <w:u w:val="single"/>
        </w:rPr>
        <w:t>（单位名称）</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rPr>
        <w:t>釆购活动,提供的货物全部由符合政策要求的中小企业制造。相关企业（含联合体中的中小企业、签订分包意向协议的中小企业）的具体情况如下</w:t>
      </w:r>
      <w:bookmarkStart w:id="13" w:name="bookmark1"/>
      <w:bookmarkEnd w:id="13"/>
      <w:r>
        <w:rPr>
          <w:rFonts w:hint="eastAsia" w:ascii="宋体" w:hAnsi="宋体" w:eastAsia="宋体" w:cs="宋体"/>
          <w:color w:val="auto"/>
          <w:sz w:val="21"/>
          <w:szCs w:val="21"/>
          <w:highlight w:val="none"/>
        </w:rPr>
        <w:t>：</w:t>
      </w:r>
    </w:p>
    <w:p w14:paraId="18A137B4">
      <w:pPr>
        <w:pStyle w:val="34"/>
        <w:keepNext w:val="0"/>
        <w:keepLines w:val="0"/>
        <w:pageBreakBefore w:val="0"/>
        <w:widowControl w:val="0"/>
        <w:kinsoku w:val="0"/>
        <w:wordWrap/>
        <w:overflowPunct w:val="0"/>
        <w:topLinePunct w:val="0"/>
        <w:autoSpaceDE w:val="0"/>
        <w:autoSpaceDN w:val="0"/>
        <w:bidi w:val="0"/>
        <w:spacing w:line="360" w:lineRule="exact"/>
        <w:ind w:firstLine="64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u w:val="single"/>
        </w:rPr>
        <w:t xml:space="preserve">     （标的名称）</w:t>
      </w:r>
      <w:r>
        <w:rPr>
          <w:rFonts w:hint="eastAsia" w:ascii="宋体" w:hAnsi="宋体" w:eastAsia="宋体" w:cs="宋体"/>
          <w:color w:val="auto"/>
          <w:sz w:val="21"/>
          <w:szCs w:val="21"/>
          <w:highlight w:val="none"/>
        </w:rPr>
        <w:t>，属于</w:t>
      </w:r>
      <w:r>
        <w:rPr>
          <w:rFonts w:hint="eastAsia" w:ascii="宋体" w:hAnsi="宋体" w:eastAsia="宋体" w:cs="宋体"/>
          <w:color w:val="auto"/>
          <w:sz w:val="21"/>
          <w:szCs w:val="21"/>
          <w:highlight w:val="none"/>
          <w:u w:val="single"/>
        </w:rPr>
        <w:t xml:space="preserve">     （釆购文件中明确的所属行业）行业</w:t>
      </w:r>
      <w:r>
        <w:rPr>
          <w:rFonts w:hint="eastAsia" w:ascii="宋体" w:hAnsi="宋体" w:eastAsia="宋体" w:cs="宋体"/>
          <w:color w:val="auto"/>
          <w:sz w:val="21"/>
          <w:szCs w:val="21"/>
          <w:highlight w:val="none"/>
        </w:rPr>
        <w:t>；制造商为</w:t>
      </w:r>
      <w:r>
        <w:rPr>
          <w:rFonts w:hint="eastAsia" w:ascii="宋体" w:hAnsi="宋体" w:eastAsia="宋体" w:cs="宋体"/>
          <w:color w:val="auto"/>
          <w:sz w:val="21"/>
          <w:szCs w:val="21"/>
          <w:highlight w:val="none"/>
          <w:u w:val="single"/>
        </w:rPr>
        <w:t>（企业名称）</w:t>
      </w:r>
      <w:r>
        <w:rPr>
          <w:rFonts w:hint="eastAsia" w:ascii="宋体" w:hAnsi="宋体" w:eastAsia="宋体" w:cs="宋体"/>
          <w:color w:val="auto"/>
          <w:sz w:val="21"/>
          <w:szCs w:val="21"/>
          <w:highlight w:val="none"/>
        </w:rPr>
        <w:t>，从业人员</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人，营业收入为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万元，资产总额为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万元，属于</w:t>
      </w:r>
      <w:r>
        <w:rPr>
          <w:rFonts w:hint="eastAsia" w:ascii="宋体" w:hAnsi="宋体" w:eastAsia="宋体" w:cs="宋体"/>
          <w:color w:val="auto"/>
          <w:sz w:val="21"/>
          <w:szCs w:val="21"/>
          <w:highlight w:val="none"/>
          <w:u w:val="single"/>
        </w:rPr>
        <w:t>（中型企业、小型企业、微型企业）</w:t>
      </w:r>
      <w:r>
        <w:rPr>
          <w:rFonts w:hint="eastAsia" w:ascii="宋体" w:hAnsi="宋体" w:eastAsia="宋体" w:cs="宋体"/>
          <w:color w:val="auto"/>
          <w:sz w:val="21"/>
          <w:szCs w:val="21"/>
          <w:highlight w:val="none"/>
        </w:rPr>
        <w:t xml:space="preserve">； </w:t>
      </w:r>
    </w:p>
    <w:p w14:paraId="28599982">
      <w:pPr>
        <w:pStyle w:val="34"/>
        <w:keepNext w:val="0"/>
        <w:keepLines w:val="0"/>
        <w:pageBreakBefore w:val="0"/>
        <w:widowControl w:val="0"/>
        <w:kinsoku w:val="0"/>
        <w:wordWrap/>
        <w:overflowPunct w:val="0"/>
        <w:topLinePunct w:val="0"/>
        <w:autoSpaceDE w:val="0"/>
        <w:autoSpaceDN w:val="0"/>
        <w:bidi w:val="0"/>
        <w:spacing w:line="360" w:lineRule="exact"/>
        <w:ind w:firstLine="64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u w:val="single"/>
        </w:rPr>
        <w:t xml:space="preserve">    （标的名称）</w:t>
      </w:r>
      <w:r>
        <w:rPr>
          <w:rFonts w:hint="eastAsia" w:ascii="宋体" w:hAnsi="宋体" w:eastAsia="宋体" w:cs="宋体"/>
          <w:color w:val="auto"/>
          <w:sz w:val="21"/>
          <w:szCs w:val="21"/>
          <w:highlight w:val="none"/>
        </w:rPr>
        <w:t>，属于</w:t>
      </w:r>
      <w:r>
        <w:rPr>
          <w:rFonts w:hint="eastAsia" w:ascii="宋体" w:hAnsi="宋体" w:eastAsia="宋体" w:cs="宋体"/>
          <w:color w:val="auto"/>
          <w:sz w:val="21"/>
          <w:szCs w:val="21"/>
          <w:highlight w:val="none"/>
          <w:u w:val="single"/>
        </w:rPr>
        <w:t xml:space="preserve">     （釆购文件中明确的所属行业）行业</w:t>
      </w:r>
      <w:r>
        <w:rPr>
          <w:rFonts w:hint="eastAsia" w:ascii="宋体" w:hAnsi="宋体" w:eastAsia="宋体" w:cs="宋体"/>
          <w:color w:val="auto"/>
          <w:sz w:val="21"/>
          <w:szCs w:val="21"/>
          <w:highlight w:val="none"/>
        </w:rPr>
        <w:t>；制造商为</w:t>
      </w:r>
      <w:r>
        <w:rPr>
          <w:rFonts w:hint="eastAsia" w:ascii="宋体" w:hAnsi="宋体" w:eastAsia="宋体" w:cs="宋体"/>
          <w:color w:val="auto"/>
          <w:sz w:val="21"/>
          <w:szCs w:val="21"/>
          <w:highlight w:val="none"/>
          <w:u w:val="single"/>
        </w:rPr>
        <w:t>（企业名称）</w:t>
      </w:r>
      <w:r>
        <w:rPr>
          <w:rFonts w:hint="eastAsia" w:ascii="宋体" w:hAnsi="宋体" w:eastAsia="宋体" w:cs="宋体"/>
          <w:color w:val="auto"/>
          <w:sz w:val="21"/>
          <w:szCs w:val="21"/>
          <w:highlight w:val="none"/>
        </w:rPr>
        <w:t>、从业人员</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人，营业收入为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万元，资产总额为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万元，属于</w:t>
      </w:r>
      <w:r>
        <w:rPr>
          <w:rFonts w:hint="eastAsia" w:ascii="宋体" w:hAnsi="宋体" w:eastAsia="宋体" w:cs="宋体"/>
          <w:color w:val="auto"/>
          <w:sz w:val="21"/>
          <w:szCs w:val="21"/>
          <w:highlight w:val="none"/>
          <w:u w:val="single"/>
        </w:rPr>
        <w:t>（中型企业、小型 企业、微型企业）</w:t>
      </w:r>
      <w:r>
        <w:rPr>
          <w:rFonts w:hint="eastAsia" w:ascii="宋体" w:hAnsi="宋体" w:eastAsia="宋体" w:cs="宋体"/>
          <w:color w:val="auto"/>
          <w:sz w:val="21"/>
          <w:szCs w:val="21"/>
          <w:highlight w:val="none"/>
        </w:rPr>
        <w:t>；</w:t>
      </w:r>
    </w:p>
    <w:p w14:paraId="0392CA4D">
      <w:pPr>
        <w:pStyle w:val="34"/>
        <w:keepNext w:val="0"/>
        <w:keepLines w:val="0"/>
        <w:pageBreakBefore w:val="0"/>
        <w:widowControl w:val="0"/>
        <w:kinsoku w:val="0"/>
        <w:wordWrap/>
        <w:overflowPunct w:val="0"/>
        <w:topLinePunct w:val="0"/>
        <w:autoSpaceDE w:val="0"/>
        <w:autoSpaceDN w:val="0"/>
        <w:bidi w:val="0"/>
        <w:spacing w:line="360" w:lineRule="exact"/>
        <w:ind w:firstLine="64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32BABC63">
      <w:pPr>
        <w:pStyle w:val="34"/>
        <w:keepNext w:val="0"/>
        <w:keepLines w:val="0"/>
        <w:pageBreakBefore w:val="0"/>
        <w:widowControl w:val="0"/>
        <w:kinsoku w:val="0"/>
        <w:wordWrap/>
        <w:overflowPunct w:val="0"/>
        <w:topLinePunct w:val="0"/>
        <w:autoSpaceDE w:val="0"/>
        <w:autoSpaceDN w:val="0"/>
        <w:bidi w:val="0"/>
        <w:spacing w:line="360" w:lineRule="exact"/>
        <w:ind w:firstLine="64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以上企业，不属于大企业的分支机构，不存在控股股东为大企业的情形，也不存在与大企业的负责人为同一人的情形。</w:t>
      </w:r>
    </w:p>
    <w:p w14:paraId="03FD3FDF">
      <w:pPr>
        <w:pStyle w:val="34"/>
        <w:keepNext w:val="0"/>
        <w:keepLines w:val="0"/>
        <w:pageBreakBefore w:val="0"/>
        <w:widowControl w:val="0"/>
        <w:kinsoku w:val="0"/>
        <w:wordWrap/>
        <w:overflowPunct w:val="0"/>
        <w:topLinePunct w:val="0"/>
        <w:autoSpaceDE w:val="0"/>
        <w:autoSpaceDN w:val="0"/>
        <w:bidi w:val="0"/>
        <w:spacing w:after="40" w:line="360" w:lineRule="exact"/>
        <w:ind w:firstLine="64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本企业对上述声明内容的真实性负责。如有虚假，将依法承担相应责任。</w:t>
      </w:r>
    </w:p>
    <w:p w14:paraId="586192F5">
      <w:pPr>
        <w:pStyle w:val="34"/>
        <w:keepNext w:val="0"/>
        <w:keepLines w:val="0"/>
        <w:pageBreakBefore w:val="0"/>
        <w:widowControl w:val="0"/>
        <w:kinsoku w:val="0"/>
        <w:wordWrap/>
        <w:overflowPunct w:val="0"/>
        <w:topLinePunct w:val="0"/>
        <w:autoSpaceDE w:val="0"/>
        <w:autoSpaceDN w:val="0"/>
        <w:bidi w:val="0"/>
        <w:spacing w:after="40" w:line="360" w:lineRule="exact"/>
        <w:ind w:firstLine="640"/>
        <w:jc w:val="both"/>
        <w:textAlignment w:val="auto"/>
        <w:rPr>
          <w:rFonts w:hint="eastAsia" w:ascii="宋体" w:hAnsi="宋体" w:eastAsia="宋体" w:cs="宋体"/>
          <w:color w:val="auto"/>
          <w:sz w:val="21"/>
          <w:szCs w:val="21"/>
          <w:highlight w:val="none"/>
        </w:rPr>
      </w:pPr>
    </w:p>
    <w:p w14:paraId="7125C403">
      <w:pPr>
        <w:pStyle w:val="34"/>
        <w:keepNext w:val="0"/>
        <w:keepLines w:val="0"/>
        <w:pageBreakBefore w:val="0"/>
        <w:widowControl w:val="0"/>
        <w:kinsoku w:val="0"/>
        <w:wordWrap/>
        <w:overflowPunct w:val="0"/>
        <w:topLinePunct w:val="0"/>
        <w:autoSpaceDE w:val="0"/>
        <w:autoSpaceDN w:val="0"/>
        <w:bidi w:val="0"/>
        <w:spacing w:line="360" w:lineRule="exact"/>
        <w:ind w:firstLine="64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企业名称（盖章）：</w:t>
      </w:r>
    </w:p>
    <w:p w14:paraId="2E469B00">
      <w:pPr>
        <w:pStyle w:val="34"/>
        <w:keepNext w:val="0"/>
        <w:keepLines w:val="0"/>
        <w:pageBreakBefore w:val="0"/>
        <w:widowControl w:val="0"/>
        <w:kinsoku w:val="0"/>
        <w:wordWrap/>
        <w:overflowPunct w:val="0"/>
        <w:topLinePunct w:val="0"/>
        <w:autoSpaceDE w:val="0"/>
        <w:autoSpaceDN w:val="0"/>
        <w:bidi w:val="0"/>
        <w:spacing w:line="360" w:lineRule="exact"/>
        <w:ind w:firstLine="64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w:t>
      </w:r>
    </w:p>
    <w:p w14:paraId="54495F0E">
      <w:pPr>
        <w:pStyle w:val="33"/>
        <w:keepNext w:val="0"/>
        <w:keepLines w:val="0"/>
        <w:pageBreakBefore w:val="0"/>
        <w:widowControl w:val="0"/>
        <w:kinsoku w:val="0"/>
        <w:wordWrap/>
        <w:overflowPunct w:val="0"/>
        <w:topLinePunct w:val="0"/>
        <w:autoSpaceDE w:val="0"/>
        <w:autoSpaceDN w:val="0"/>
        <w:bidi w:val="0"/>
        <w:spacing w:after="0" w:line="360" w:lineRule="exact"/>
        <w:textAlignment w:val="auto"/>
        <w:rPr>
          <w:rFonts w:hint="eastAsia" w:ascii="宋体" w:hAnsi="宋体" w:eastAsia="宋体" w:cs="宋体"/>
          <w:color w:val="auto"/>
          <w:sz w:val="21"/>
          <w:szCs w:val="21"/>
          <w:highlight w:val="none"/>
        </w:rPr>
      </w:pPr>
    </w:p>
    <w:p w14:paraId="786DF5D0">
      <w:pPr>
        <w:pStyle w:val="33"/>
        <w:keepNext w:val="0"/>
        <w:keepLines w:val="0"/>
        <w:pageBreakBefore w:val="0"/>
        <w:widowControl w:val="0"/>
        <w:kinsoku w:val="0"/>
        <w:wordWrap/>
        <w:overflowPunct w:val="0"/>
        <w:topLinePunct w:val="0"/>
        <w:autoSpaceDE w:val="0"/>
        <w:autoSpaceDN w:val="0"/>
        <w:bidi w:val="0"/>
        <w:spacing w:after="0" w:line="360" w:lineRule="exact"/>
        <w:textAlignment w:val="auto"/>
        <w:rPr>
          <w:rFonts w:hint="eastAsia" w:ascii="宋体" w:hAnsi="宋体" w:eastAsia="宋体" w:cs="宋体"/>
          <w:color w:val="auto"/>
          <w:sz w:val="21"/>
          <w:szCs w:val="21"/>
          <w:highlight w:val="none"/>
        </w:rPr>
      </w:pPr>
    </w:p>
    <w:p w14:paraId="210121FB">
      <w:pPr>
        <w:pStyle w:val="33"/>
        <w:keepNext w:val="0"/>
        <w:keepLines w:val="0"/>
        <w:pageBreakBefore w:val="0"/>
        <w:widowControl w:val="0"/>
        <w:kinsoku w:val="0"/>
        <w:wordWrap/>
        <w:overflowPunct w:val="0"/>
        <w:topLinePunct w:val="0"/>
        <w:autoSpaceDE w:val="0"/>
        <w:autoSpaceDN w:val="0"/>
        <w:bidi w:val="0"/>
        <w:adjustRightInd w:val="0"/>
        <w:snapToGrid w:val="0"/>
        <w:spacing w:after="0"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p w14:paraId="3732150A">
      <w:pPr>
        <w:pStyle w:val="33"/>
        <w:keepNext w:val="0"/>
        <w:keepLines w:val="0"/>
        <w:pageBreakBefore w:val="0"/>
        <w:widowControl w:val="0"/>
        <w:kinsoku w:val="0"/>
        <w:wordWrap/>
        <w:overflowPunct w:val="0"/>
        <w:topLinePunct w:val="0"/>
        <w:autoSpaceDE w:val="0"/>
        <w:autoSpaceDN w:val="0"/>
        <w:bidi w:val="0"/>
        <w:adjustRightInd w:val="0"/>
        <w:snapToGrid w:val="0"/>
        <w:spacing w:after="0"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1、从业人员、营业收入、资产总额填报上一年度数据，无上一年度数据的新成立企业可不填报。</w:t>
      </w:r>
    </w:p>
    <w:p w14:paraId="45ABFE3D">
      <w:pPr>
        <w:pStyle w:val="33"/>
        <w:keepNext w:val="0"/>
        <w:keepLines w:val="0"/>
        <w:pageBreakBefore w:val="0"/>
        <w:widowControl w:val="0"/>
        <w:kinsoku w:val="0"/>
        <w:wordWrap/>
        <w:overflowPunct w:val="0"/>
        <w:topLinePunct w:val="0"/>
        <w:autoSpaceDE w:val="0"/>
        <w:autoSpaceDN w:val="0"/>
        <w:bidi w:val="0"/>
        <w:adjustRightInd w:val="0"/>
        <w:snapToGrid w:val="0"/>
        <w:spacing w:after="0" w:line="360" w:lineRule="exact"/>
        <w:jc w:val="left"/>
        <w:textAlignment w:val="auto"/>
        <w:rPr>
          <w:rFonts w:hint="eastAsia" w:ascii="宋体" w:hAnsi="宋体" w:eastAsia="宋体" w:cs="宋体"/>
          <w:color w:val="auto"/>
          <w:sz w:val="32"/>
          <w:szCs w:val="32"/>
          <w:highlight w:val="none"/>
        </w:rPr>
      </w:pPr>
      <w:r>
        <w:rPr>
          <w:rFonts w:hint="eastAsia" w:ascii="宋体" w:hAnsi="宋体" w:eastAsia="宋体" w:cs="宋体"/>
          <w:color w:val="auto"/>
          <w:sz w:val="21"/>
          <w:szCs w:val="21"/>
          <w:highlight w:val="none"/>
        </w:rPr>
        <w:t>2、采购文件中明确的所属行业名称是根据《关于印发中小企业划型标准规定的通知》（工信部联企业[2011]300号）规定确定。</w:t>
      </w:r>
      <w:r>
        <w:rPr>
          <w:rFonts w:hint="eastAsia" w:ascii="宋体" w:hAnsi="宋体" w:eastAsia="宋体" w:cs="宋体"/>
          <w:color w:val="auto"/>
          <w:sz w:val="32"/>
          <w:szCs w:val="32"/>
          <w:highlight w:val="none"/>
        </w:rPr>
        <w:br w:type="page"/>
      </w:r>
    </w:p>
    <w:p w14:paraId="65D18117">
      <w:pPr>
        <w:pStyle w:val="11"/>
        <w:keepNext w:val="0"/>
        <w:keepLines w:val="0"/>
        <w:pageBreakBefore w:val="0"/>
        <w:widowControl w:val="0"/>
        <w:kinsoku w:val="0"/>
        <w:wordWrap/>
        <w:overflowPunct w:val="0"/>
        <w:topLinePunct w:val="0"/>
        <w:autoSpaceDE w:val="0"/>
        <w:autoSpaceDN w:val="0"/>
        <w:bidi w:val="0"/>
        <w:spacing w:line="360" w:lineRule="exact"/>
        <w:ind w:firstLine="211" w:firstLineChars="100"/>
        <w:jc w:val="left"/>
        <w:textAlignment w:val="auto"/>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21"/>
          <w:szCs w:val="21"/>
          <w:highlight w:val="none"/>
        </w:rPr>
        <w:t>（18）关于符合本国产品标准的声明函格式：</w:t>
      </w:r>
    </w:p>
    <w:p w14:paraId="64FF3907">
      <w:pPr>
        <w:pStyle w:val="11"/>
        <w:keepNext w:val="0"/>
        <w:keepLines w:val="0"/>
        <w:pageBreakBefore w:val="0"/>
        <w:widowControl w:val="0"/>
        <w:kinsoku w:val="0"/>
        <w:wordWrap/>
        <w:overflowPunct w:val="0"/>
        <w:topLinePunct w:val="0"/>
        <w:autoSpaceDE w:val="0"/>
        <w:autoSpaceDN w:val="0"/>
        <w:bidi w:val="0"/>
        <w:spacing w:line="360" w:lineRule="exact"/>
        <w:ind w:firstLine="643" w:firstLineChars="200"/>
        <w:jc w:val="left"/>
        <w:textAlignment w:val="auto"/>
        <w:rPr>
          <w:rFonts w:hint="eastAsia" w:ascii="宋体" w:hAnsi="宋体" w:eastAsia="宋体" w:cs="宋体"/>
          <w:color w:val="auto"/>
          <w:kern w:val="2"/>
          <w:sz w:val="32"/>
          <w:szCs w:val="32"/>
          <w:highlight w:val="none"/>
        </w:rPr>
      </w:pPr>
    </w:p>
    <w:p w14:paraId="3186B591">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jc w:val="center"/>
        <w:textAlignment w:val="auto"/>
        <w:rPr>
          <w:rFonts w:hint="eastAsia" w:ascii="宋体" w:hAnsi="宋体" w:eastAsia="宋体" w:cs="宋体"/>
          <w:color w:val="auto"/>
          <w:sz w:val="30"/>
          <w:szCs w:val="30"/>
          <w:highlight w:val="none"/>
        </w:rPr>
      </w:pPr>
      <w:r>
        <w:rPr>
          <w:rStyle w:val="22"/>
          <w:rFonts w:hint="eastAsia" w:ascii="宋体" w:hAnsi="宋体" w:eastAsia="宋体" w:cs="宋体"/>
          <w:color w:val="auto"/>
          <w:sz w:val="30"/>
          <w:szCs w:val="30"/>
          <w:highlight w:val="none"/>
          <w:shd w:val="clear" w:color="auto" w:fill="FFFFFF"/>
        </w:rPr>
        <w:t>关于符合本国产品标准的声明函</w:t>
      </w:r>
    </w:p>
    <w:p w14:paraId="3A4CC976">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32"/>
          <w:szCs w:val="32"/>
          <w:highlight w:val="none"/>
        </w:rPr>
      </w:pPr>
    </w:p>
    <w:p w14:paraId="3EE2D454">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A345741">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1.</w:t>
      </w:r>
      <w:r>
        <w:rPr>
          <w:rStyle w:val="23"/>
          <w:rFonts w:hint="eastAsia" w:ascii="宋体" w:hAnsi="宋体" w:eastAsia="宋体" w:cs="宋体"/>
          <w:color w:val="auto"/>
          <w:sz w:val="21"/>
          <w:szCs w:val="21"/>
          <w:highlight w:val="none"/>
          <w:shd w:val="clear" w:color="auto" w:fill="FFFFFF"/>
        </w:rPr>
        <w:t>（产品名称1）</w:t>
      </w:r>
      <w:r>
        <w:rPr>
          <w:rStyle w:val="23"/>
          <w:rFonts w:hint="eastAsia" w:ascii="宋体" w:hAnsi="宋体" w:eastAsia="宋体" w:cs="宋体"/>
          <w:color w:val="auto"/>
          <w:sz w:val="21"/>
          <w:szCs w:val="21"/>
          <w:highlight w:val="none"/>
          <w:shd w:val="clear" w:color="auto" w:fill="FFFFFF"/>
          <w:vertAlign w:val="superscript"/>
        </w:rPr>
        <w:t>1</w:t>
      </w:r>
      <w:r>
        <w:rPr>
          <w:rFonts w:hint="eastAsia" w:ascii="宋体" w:hAnsi="宋体" w:eastAsia="宋体" w:cs="宋体"/>
          <w:color w:val="auto"/>
          <w:sz w:val="21"/>
          <w:szCs w:val="21"/>
          <w:highlight w:val="none"/>
          <w:shd w:val="clear" w:color="auto" w:fill="FFFFFF"/>
        </w:rPr>
        <w:t>，生产厂为</w:t>
      </w:r>
      <w:r>
        <w:rPr>
          <w:rStyle w:val="23"/>
          <w:rFonts w:hint="eastAsia" w:ascii="宋体" w:hAnsi="宋体" w:eastAsia="宋体" w:cs="宋体"/>
          <w:color w:val="auto"/>
          <w:sz w:val="21"/>
          <w:szCs w:val="21"/>
          <w:highlight w:val="none"/>
          <w:shd w:val="clear" w:color="auto" w:fill="FFFFFF"/>
        </w:rPr>
        <w:t>（厂名）</w:t>
      </w:r>
      <w:r>
        <w:rPr>
          <w:rStyle w:val="23"/>
          <w:rFonts w:hint="eastAsia" w:ascii="宋体" w:hAnsi="宋体" w:eastAsia="宋体" w:cs="宋体"/>
          <w:color w:val="auto"/>
          <w:sz w:val="21"/>
          <w:szCs w:val="21"/>
          <w:highlight w:val="none"/>
          <w:shd w:val="clear" w:color="auto" w:fill="FFFFFF"/>
          <w:vertAlign w:val="superscript"/>
        </w:rPr>
        <w:t>2</w:t>
      </w:r>
      <w:r>
        <w:rPr>
          <w:rFonts w:hint="eastAsia" w:ascii="宋体" w:hAnsi="宋体" w:eastAsia="宋体" w:cs="宋体"/>
          <w:color w:val="auto"/>
          <w:sz w:val="21"/>
          <w:szCs w:val="21"/>
          <w:highlight w:val="none"/>
          <w:shd w:val="clear" w:color="auto" w:fill="FFFFFF"/>
        </w:rPr>
        <w:t>，厂址为</w:t>
      </w:r>
      <w:r>
        <w:rPr>
          <w:rStyle w:val="23"/>
          <w:rFonts w:hint="eastAsia" w:ascii="宋体" w:hAnsi="宋体" w:eastAsia="宋体" w:cs="宋体"/>
          <w:color w:val="auto"/>
          <w:sz w:val="21"/>
          <w:szCs w:val="21"/>
          <w:highlight w:val="none"/>
          <w:shd w:val="clear" w:color="auto" w:fill="FFFFFF"/>
        </w:rPr>
        <w:t>（生产厂址）</w:t>
      </w:r>
      <w:r>
        <w:rPr>
          <w:rFonts w:hint="eastAsia" w:ascii="宋体" w:hAnsi="宋体" w:eastAsia="宋体" w:cs="宋体"/>
          <w:color w:val="auto"/>
          <w:sz w:val="21"/>
          <w:szCs w:val="21"/>
          <w:highlight w:val="none"/>
          <w:shd w:val="clear" w:color="auto" w:fill="FFFFFF"/>
        </w:rPr>
        <w:t>。</w:t>
      </w:r>
    </w:p>
    <w:p w14:paraId="4F9EB68B">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2.</w:t>
      </w:r>
      <w:r>
        <w:rPr>
          <w:rStyle w:val="23"/>
          <w:rFonts w:hint="eastAsia" w:ascii="宋体" w:hAnsi="宋体" w:eastAsia="宋体" w:cs="宋体"/>
          <w:color w:val="auto"/>
          <w:sz w:val="21"/>
          <w:szCs w:val="21"/>
          <w:highlight w:val="none"/>
          <w:shd w:val="clear" w:color="auto" w:fill="FFFFFF"/>
        </w:rPr>
        <w:t>（产品名称2）</w:t>
      </w:r>
      <w:r>
        <w:rPr>
          <w:rFonts w:hint="eastAsia" w:ascii="宋体" w:hAnsi="宋体" w:eastAsia="宋体" w:cs="宋体"/>
          <w:color w:val="auto"/>
          <w:sz w:val="21"/>
          <w:szCs w:val="21"/>
          <w:highlight w:val="none"/>
          <w:shd w:val="clear" w:color="auto" w:fill="FFFFFF"/>
        </w:rPr>
        <w:t>，生产厂为</w:t>
      </w:r>
      <w:r>
        <w:rPr>
          <w:rStyle w:val="23"/>
          <w:rFonts w:hint="eastAsia" w:ascii="宋体" w:hAnsi="宋体" w:eastAsia="宋体" w:cs="宋体"/>
          <w:color w:val="auto"/>
          <w:sz w:val="21"/>
          <w:szCs w:val="21"/>
          <w:highlight w:val="none"/>
          <w:shd w:val="clear" w:color="auto" w:fill="FFFFFF"/>
        </w:rPr>
        <w:t>（厂名）</w:t>
      </w:r>
      <w:r>
        <w:rPr>
          <w:rFonts w:hint="eastAsia" w:ascii="宋体" w:hAnsi="宋体" w:eastAsia="宋体" w:cs="宋体"/>
          <w:color w:val="auto"/>
          <w:sz w:val="21"/>
          <w:szCs w:val="21"/>
          <w:highlight w:val="none"/>
          <w:shd w:val="clear" w:color="auto" w:fill="FFFFFF"/>
        </w:rPr>
        <w:t>，厂址为</w:t>
      </w:r>
      <w:r>
        <w:rPr>
          <w:rStyle w:val="23"/>
          <w:rFonts w:hint="eastAsia" w:ascii="宋体" w:hAnsi="宋体" w:eastAsia="宋体" w:cs="宋体"/>
          <w:color w:val="auto"/>
          <w:sz w:val="21"/>
          <w:szCs w:val="21"/>
          <w:highlight w:val="none"/>
          <w:shd w:val="clear" w:color="auto" w:fill="FFFFFF"/>
        </w:rPr>
        <w:t>（生产厂址）</w:t>
      </w:r>
      <w:r>
        <w:rPr>
          <w:rFonts w:hint="eastAsia" w:ascii="宋体" w:hAnsi="宋体" w:eastAsia="宋体" w:cs="宋体"/>
          <w:color w:val="auto"/>
          <w:sz w:val="21"/>
          <w:szCs w:val="21"/>
          <w:highlight w:val="none"/>
          <w:shd w:val="clear" w:color="auto" w:fill="FFFFFF"/>
        </w:rPr>
        <w:t>。</w:t>
      </w:r>
    </w:p>
    <w:p w14:paraId="6E07433E">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w:t>
      </w:r>
    </w:p>
    <w:p w14:paraId="59B97B2A">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本公司（单位）对上述声明内容的真实性负责。如有虚假，愿承担相应法律责任。</w:t>
      </w:r>
    </w:p>
    <w:p w14:paraId="0A067676">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jc w:val="right"/>
        <w:textAlignment w:val="auto"/>
        <w:rPr>
          <w:rFonts w:hint="eastAsia" w:ascii="宋体" w:hAnsi="宋体" w:eastAsia="宋体" w:cs="宋体"/>
          <w:color w:val="auto"/>
          <w:sz w:val="21"/>
          <w:szCs w:val="21"/>
          <w:highlight w:val="none"/>
          <w:shd w:val="clear" w:color="auto" w:fill="FFFFFF"/>
        </w:rPr>
      </w:pPr>
    </w:p>
    <w:p w14:paraId="6061484A">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公司（单位）名称（盖章）：      </w:t>
      </w:r>
    </w:p>
    <w:p w14:paraId="4424B5EE">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日期：　　　　　年　　月　日    </w:t>
      </w:r>
    </w:p>
    <w:p w14:paraId="03F88244">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p>
    <w:p w14:paraId="659973E0">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p>
    <w:p w14:paraId="688052A6">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__________________________________________________________________________________</w:t>
      </w:r>
    </w:p>
    <w:p w14:paraId="0D82F3B7">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1.产品如有型号，请在“产品名称”栏一并填写。</w:t>
      </w:r>
    </w:p>
    <w:p w14:paraId="1127D408">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2.生产厂名与厂址应与生产厂营业执照载明的相关信息保持一致。</w:t>
      </w:r>
    </w:p>
    <w:p w14:paraId="7DCD95FD">
      <w:pPr>
        <w:pStyle w:val="19"/>
        <w:keepNext w:val="0"/>
        <w:keepLines w:val="0"/>
        <w:pageBreakBefore w:val="0"/>
        <w:widowControl w:val="0"/>
        <w:kinsoku w:val="0"/>
        <w:wordWrap/>
        <w:overflowPunct w:val="0"/>
        <w:topLinePunct w:val="0"/>
        <w:autoSpaceDE w:val="0"/>
        <w:autoSpaceDN w:val="0"/>
        <w:bidi w:val="0"/>
        <w:spacing w:line="360" w:lineRule="exact"/>
        <w:ind w:firstLine="240"/>
        <w:textAlignment w:val="auto"/>
        <w:rPr>
          <w:rFonts w:hint="eastAsia" w:ascii="宋体" w:hAnsi="宋体" w:eastAsia="宋体" w:cs="宋体"/>
          <w:color w:val="auto"/>
          <w:sz w:val="21"/>
          <w:szCs w:val="21"/>
          <w:highlight w:val="none"/>
        </w:rPr>
      </w:pPr>
    </w:p>
    <w:p w14:paraId="213148B2">
      <w:pPr>
        <w:keepNext w:val="0"/>
        <w:keepLines w:val="0"/>
        <w:pageBreakBefore w:val="0"/>
        <w:widowControl w:val="0"/>
        <w:kinsoku w:val="0"/>
        <w:wordWrap/>
        <w:overflowPunct w:val="0"/>
        <w:topLinePunct w:val="0"/>
        <w:autoSpaceDE w:val="0"/>
        <w:autoSpaceDN w:val="0"/>
        <w:bidi w:val="0"/>
        <w:snapToGrid w:val="0"/>
        <w:spacing w:line="360" w:lineRule="exact"/>
        <w:ind w:firstLine="210" w:firstLineChars="100"/>
        <w:jc w:val="left"/>
        <w:textAlignment w:val="auto"/>
        <w:rPr>
          <w:rFonts w:hint="eastAsia" w:ascii="宋体" w:hAnsi="宋体" w:eastAsia="宋体" w:cs="宋体"/>
          <w:color w:val="auto"/>
          <w:sz w:val="21"/>
          <w:szCs w:val="21"/>
          <w:highlight w:val="none"/>
        </w:rPr>
      </w:pPr>
    </w:p>
    <w:p w14:paraId="2B2CDE27">
      <w:pPr>
        <w:keepNext w:val="0"/>
        <w:keepLines w:val="0"/>
        <w:pageBreakBefore w:val="0"/>
        <w:widowControl w:val="0"/>
        <w:kinsoku w:val="0"/>
        <w:wordWrap/>
        <w:overflowPunct w:val="0"/>
        <w:topLinePunct w:val="0"/>
        <w:autoSpaceDE w:val="0"/>
        <w:autoSpaceDN w:val="0"/>
        <w:bidi w:val="0"/>
        <w:snapToGrid w:val="0"/>
        <w:spacing w:line="360" w:lineRule="exact"/>
        <w:ind w:firstLine="210" w:firstLineChars="100"/>
        <w:jc w:val="left"/>
        <w:textAlignment w:val="auto"/>
        <w:rPr>
          <w:rFonts w:hint="eastAsia" w:ascii="宋体" w:hAnsi="宋体" w:eastAsia="宋体" w:cs="宋体"/>
          <w:color w:val="auto"/>
          <w:sz w:val="21"/>
          <w:szCs w:val="21"/>
          <w:highlight w:val="none"/>
        </w:rPr>
      </w:pPr>
    </w:p>
    <w:p w14:paraId="7C209A6E">
      <w:pPr>
        <w:keepNext w:val="0"/>
        <w:keepLines w:val="0"/>
        <w:pageBreakBefore w:val="0"/>
        <w:widowControl w:val="0"/>
        <w:kinsoku w:val="0"/>
        <w:wordWrap/>
        <w:overflowPunct w:val="0"/>
        <w:topLinePunct w:val="0"/>
        <w:autoSpaceDE w:val="0"/>
        <w:autoSpaceDN w:val="0"/>
        <w:bidi w:val="0"/>
        <w:snapToGrid w:val="0"/>
        <w:spacing w:line="360" w:lineRule="exact"/>
        <w:ind w:firstLine="210" w:firstLineChars="100"/>
        <w:jc w:val="left"/>
        <w:textAlignment w:val="auto"/>
        <w:rPr>
          <w:rFonts w:hint="eastAsia" w:ascii="宋体" w:hAnsi="宋体" w:eastAsia="宋体" w:cs="宋体"/>
          <w:color w:val="auto"/>
          <w:sz w:val="21"/>
          <w:szCs w:val="21"/>
          <w:highlight w:val="none"/>
        </w:rPr>
      </w:pPr>
    </w:p>
    <w:p w14:paraId="3B942F54">
      <w:pPr>
        <w:keepNext w:val="0"/>
        <w:keepLines w:val="0"/>
        <w:pageBreakBefore w:val="0"/>
        <w:widowControl w:val="0"/>
        <w:kinsoku w:val="0"/>
        <w:wordWrap/>
        <w:overflowPunct w:val="0"/>
        <w:topLinePunct w:val="0"/>
        <w:autoSpaceDE w:val="0"/>
        <w:autoSpaceDN w:val="0"/>
        <w:bidi w:val="0"/>
        <w:snapToGrid w:val="0"/>
        <w:spacing w:line="360" w:lineRule="exact"/>
        <w:ind w:firstLine="210" w:firstLineChars="100"/>
        <w:jc w:val="left"/>
        <w:textAlignment w:val="auto"/>
        <w:rPr>
          <w:rFonts w:hint="eastAsia" w:ascii="宋体" w:hAnsi="宋体" w:eastAsia="宋体" w:cs="宋体"/>
          <w:color w:val="auto"/>
          <w:sz w:val="21"/>
          <w:szCs w:val="21"/>
          <w:highlight w:val="none"/>
        </w:rPr>
      </w:pPr>
    </w:p>
    <w:p w14:paraId="10295E8B">
      <w:pPr>
        <w:keepNext w:val="0"/>
        <w:keepLines w:val="0"/>
        <w:pageBreakBefore w:val="0"/>
        <w:widowControl w:val="0"/>
        <w:kinsoku w:val="0"/>
        <w:wordWrap/>
        <w:overflowPunct w:val="0"/>
        <w:topLinePunct w:val="0"/>
        <w:autoSpaceDE w:val="0"/>
        <w:autoSpaceDN w:val="0"/>
        <w:bidi w:val="0"/>
        <w:snapToGrid w:val="0"/>
        <w:spacing w:line="360" w:lineRule="exact"/>
        <w:ind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（19）投标人情况介绍（主要产品、技术力量、生产规模、经营业绩等，格式自拟）。</w:t>
      </w:r>
    </w:p>
    <w:p w14:paraId="698C8910">
      <w:pPr>
        <w:keepNext w:val="0"/>
        <w:keepLines w:val="0"/>
        <w:pageBreakBefore w:val="0"/>
        <w:widowControl w:val="0"/>
        <w:kinsoku w:val="0"/>
        <w:wordWrap/>
        <w:overflowPunct w:val="0"/>
        <w:topLinePunct w:val="0"/>
        <w:autoSpaceDE w:val="0"/>
        <w:autoSpaceDN w:val="0"/>
        <w:bidi w:val="0"/>
        <w:snapToGrid w:val="0"/>
        <w:spacing w:line="360" w:lineRule="exact"/>
        <w:ind w:firstLine="516" w:firstLineChars="246"/>
        <w:jc w:val="left"/>
        <w:textAlignment w:val="auto"/>
        <w:rPr>
          <w:rFonts w:hint="eastAsia" w:ascii="宋体" w:hAnsi="宋体" w:eastAsia="宋体" w:cs="宋体"/>
          <w:color w:val="auto"/>
          <w:sz w:val="21"/>
          <w:szCs w:val="21"/>
          <w:highlight w:val="none"/>
        </w:rPr>
      </w:pPr>
    </w:p>
    <w:p w14:paraId="759C3A02">
      <w:pPr>
        <w:keepNext w:val="0"/>
        <w:keepLines w:val="0"/>
        <w:pageBreakBefore w:val="0"/>
        <w:widowControl w:val="0"/>
        <w:kinsoku w:val="0"/>
        <w:wordWrap/>
        <w:overflowPunct w:val="0"/>
        <w:topLinePunct w:val="0"/>
        <w:autoSpaceDE w:val="0"/>
        <w:autoSpaceDN w:val="0"/>
        <w:bidi w:val="0"/>
        <w:snapToGrid w:val="0"/>
        <w:spacing w:line="360" w:lineRule="exact"/>
        <w:ind w:firstLine="516" w:firstLineChars="246"/>
        <w:jc w:val="left"/>
        <w:textAlignment w:val="auto"/>
        <w:rPr>
          <w:rFonts w:hint="eastAsia" w:ascii="宋体" w:hAnsi="宋体" w:eastAsia="宋体" w:cs="宋体"/>
          <w:color w:val="auto"/>
          <w:sz w:val="21"/>
          <w:szCs w:val="21"/>
          <w:highlight w:val="none"/>
        </w:rPr>
      </w:pPr>
    </w:p>
    <w:p w14:paraId="0D8C52A3">
      <w:pPr>
        <w:keepNext w:val="0"/>
        <w:keepLines w:val="0"/>
        <w:pageBreakBefore w:val="0"/>
        <w:widowControl w:val="0"/>
        <w:kinsoku w:val="0"/>
        <w:wordWrap/>
        <w:overflowPunct w:val="0"/>
        <w:topLinePunct w:val="0"/>
        <w:autoSpaceDE w:val="0"/>
        <w:autoSpaceDN w:val="0"/>
        <w:bidi w:val="0"/>
        <w:snapToGrid w:val="0"/>
        <w:spacing w:line="360" w:lineRule="exact"/>
        <w:ind w:firstLine="516" w:firstLineChars="246"/>
        <w:jc w:val="left"/>
        <w:textAlignment w:val="auto"/>
        <w:rPr>
          <w:rFonts w:hint="eastAsia" w:ascii="宋体" w:hAnsi="宋体" w:eastAsia="宋体" w:cs="宋体"/>
          <w:color w:val="auto"/>
          <w:sz w:val="21"/>
          <w:szCs w:val="21"/>
          <w:highlight w:val="none"/>
        </w:rPr>
      </w:pPr>
    </w:p>
    <w:p w14:paraId="3727063E">
      <w:pPr>
        <w:keepNext w:val="0"/>
        <w:keepLines w:val="0"/>
        <w:pageBreakBefore w:val="0"/>
        <w:widowControl w:val="0"/>
        <w:kinsoku w:val="0"/>
        <w:wordWrap/>
        <w:overflowPunct w:val="0"/>
        <w:topLinePunct w:val="0"/>
        <w:autoSpaceDE w:val="0"/>
        <w:autoSpaceDN w:val="0"/>
        <w:bidi w:val="0"/>
        <w:spacing w:line="36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p>
    <w:p w14:paraId="499718EB">
      <w:pPr>
        <w:keepNext w:val="0"/>
        <w:keepLines w:val="0"/>
        <w:pageBreakBefore w:val="0"/>
        <w:widowControl w:val="0"/>
        <w:kinsoku w:val="0"/>
        <w:wordWrap/>
        <w:overflowPunct w:val="0"/>
        <w:topLinePunct w:val="0"/>
        <w:autoSpaceDE w:val="0"/>
        <w:autoSpaceDN w:val="0"/>
        <w:bidi w:val="0"/>
        <w:snapToGrid w:val="0"/>
        <w:spacing w:line="360" w:lineRule="exact"/>
        <w:ind w:firstLine="211"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三）技术文件部分（格式）</w:t>
      </w:r>
    </w:p>
    <w:p w14:paraId="7DE10FD0">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（1）</w:t>
      </w:r>
      <w:r>
        <w:rPr>
          <w:rFonts w:hint="eastAsia" w:ascii="宋体" w:hAnsi="宋体" w:eastAsia="宋体" w:cs="宋体"/>
          <w:color w:val="auto"/>
          <w:sz w:val="21"/>
          <w:szCs w:val="21"/>
          <w:highlight w:val="none"/>
        </w:rPr>
        <w:t>对本项目系统总体要求的理解（包括：功能说明、性能指标、设备选型说明以及质量、性能、价格、外观、体积等方面进行比较和选择的理由和过程，格式自拟）</w:t>
      </w:r>
    </w:p>
    <w:p w14:paraId="111DDC9C">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0"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Cs/>
          <w:color w:val="auto"/>
          <w:sz w:val="21"/>
          <w:szCs w:val="21"/>
          <w:highlight w:val="none"/>
        </w:rPr>
        <w:t>（2）</w:t>
      </w:r>
      <w:r>
        <w:rPr>
          <w:rFonts w:hint="eastAsia" w:ascii="宋体" w:hAnsi="宋体" w:eastAsia="宋体" w:cs="宋体"/>
          <w:color w:val="auto"/>
          <w:sz w:val="21"/>
          <w:szCs w:val="21"/>
          <w:highlight w:val="none"/>
        </w:rPr>
        <w:t>技术响应表格式：</w:t>
      </w:r>
      <w:r>
        <w:rPr>
          <w:rFonts w:hint="eastAsia" w:ascii="宋体" w:hAnsi="宋体" w:eastAsia="宋体" w:cs="宋体"/>
          <w:b/>
          <w:color w:val="auto"/>
          <w:sz w:val="21"/>
          <w:szCs w:val="21"/>
          <w:highlight w:val="none"/>
        </w:rPr>
        <w:t xml:space="preserve"> </w:t>
      </w:r>
    </w:p>
    <w:p w14:paraId="1FDFF6C6">
      <w:pPr>
        <w:pStyle w:val="19"/>
        <w:keepNext w:val="0"/>
        <w:keepLines w:val="0"/>
        <w:pageBreakBefore w:val="0"/>
        <w:widowControl w:val="0"/>
        <w:kinsoku w:val="0"/>
        <w:wordWrap/>
        <w:overflowPunct w:val="0"/>
        <w:topLinePunct w:val="0"/>
        <w:autoSpaceDE w:val="0"/>
        <w:autoSpaceDN w:val="0"/>
        <w:bidi w:val="0"/>
        <w:spacing w:line="360" w:lineRule="exact"/>
        <w:ind w:left="0" w:leftChars="0" w:firstLine="0" w:firstLineChars="0"/>
        <w:jc w:val="center"/>
        <w:textAlignment w:val="auto"/>
        <w:rPr>
          <w:rFonts w:hint="eastAsia"/>
          <w:b/>
          <w:bCs/>
          <w:color w:val="auto"/>
          <w:sz w:val="30"/>
          <w:szCs w:val="30"/>
          <w:highlight w:val="none"/>
        </w:rPr>
      </w:pPr>
      <w:r>
        <w:rPr>
          <w:rFonts w:hint="eastAsia" w:ascii="宋体" w:hAnsi="宋体" w:eastAsia="宋体" w:cs="宋体"/>
          <w:b/>
          <w:bCs/>
          <w:color w:val="auto"/>
          <w:sz w:val="30"/>
          <w:szCs w:val="30"/>
          <w:highlight w:val="none"/>
        </w:rPr>
        <w:t>技术响应表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3600"/>
        <w:gridCol w:w="3600"/>
        <w:gridCol w:w="1573"/>
      </w:tblGrid>
      <w:tr w14:paraId="1388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01" w:type="dxa"/>
            <w:tcBorders>
              <w:top w:val="single" w:color="auto" w:sz="4" w:space="0"/>
              <w:left w:val="single" w:color="auto" w:sz="4" w:space="0"/>
              <w:bottom w:val="single" w:color="auto" w:sz="4" w:space="0"/>
              <w:right w:val="single" w:color="auto" w:sz="4" w:space="0"/>
            </w:tcBorders>
            <w:vAlign w:val="center"/>
          </w:tcPr>
          <w:p w14:paraId="768F1FCB">
            <w:pPr>
              <w:pStyle w:val="14"/>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项号</w:t>
            </w:r>
          </w:p>
        </w:tc>
        <w:tc>
          <w:tcPr>
            <w:tcW w:w="3600" w:type="dxa"/>
            <w:tcBorders>
              <w:top w:val="single" w:color="auto" w:sz="4" w:space="0"/>
              <w:left w:val="single" w:color="auto" w:sz="4" w:space="0"/>
              <w:bottom w:val="single" w:color="auto" w:sz="4" w:space="0"/>
              <w:right w:val="single" w:color="auto" w:sz="4" w:space="0"/>
            </w:tcBorders>
            <w:vAlign w:val="center"/>
          </w:tcPr>
          <w:p w14:paraId="1ACF3AA8">
            <w:pPr>
              <w:pStyle w:val="14"/>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招标要求</w:t>
            </w:r>
          </w:p>
        </w:tc>
        <w:tc>
          <w:tcPr>
            <w:tcW w:w="3600" w:type="dxa"/>
            <w:tcBorders>
              <w:top w:val="single" w:color="auto" w:sz="4" w:space="0"/>
              <w:left w:val="single" w:color="auto" w:sz="4" w:space="0"/>
              <w:bottom w:val="single" w:color="auto" w:sz="4" w:space="0"/>
              <w:right w:val="single" w:color="auto" w:sz="4" w:space="0"/>
            </w:tcBorders>
            <w:vAlign w:val="center"/>
          </w:tcPr>
          <w:p w14:paraId="0213244D">
            <w:pPr>
              <w:pStyle w:val="14"/>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应标情况</w:t>
            </w:r>
          </w:p>
        </w:tc>
        <w:tc>
          <w:tcPr>
            <w:tcW w:w="1573" w:type="dxa"/>
            <w:tcBorders>
              <w:top w:val="single" w:color="auto" w:sz="4" w:space="0"/>
              <w:left w:val="single" w:color="auto" w:sz="4" w:space="0"/>
              <w:bottom w:val="single" w:color="auto" w:sz="4" w:space="0"/>
              <w:right w:val="single" w:color="auto" w:sz="4" w:space="0"/>
            </w:tcBorders>
            <w:vAlign w:val="center"/>
          </w:tcPr>
          <w:p w14:paraId="2200CD4C">
            <w:pPr>
              <w:pStyle w:val="14"/>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偏离说明</w:t>
            </w:r>
          </w:p>
        </w:tc>
      </w:tr>
      <w:tr w14:paraId="68950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14:paraId="1EC35379">
            <w:pPr>
              <w:pStyle w:val="14"/>
              <w:keepNext w:val="0"/>
              <w:keepLines w:val="0"/>
              <w:pageBreakBefore w:val="0"/>
              <w:widowControl w:val="0"/>
              <w:kinsoku w:val="0"/>
              <w:wordWrap/>
              <w:overflowPunct w:val="0"/>
              <w:topLinePunct w:val="0"/>
              <w:autoSpaceDE w:val="0"/>
              <w:autoSpaceDN w:val="0"/>
              <w:bidi w:val="0"/>
              <w:spacing w:line="360" w:lineRule="exact"/>
              <w:ind w:left="5250"/>
              <w:jc w:val="center"/>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vAlign w:val="center"/>
          </w:tcPr>
          <w:p w14:paraId="1AC2C468">
            <w:pPr>
              <w:pStyle w:val="14"/>
              <w:keepNext w:val="0"/>
              <w:keepLines w:val="0"/>
              <w:pageBreakBefore w:val="0"/>
              <w:widowControl w:val="0"/>
              <w:kinsoku w:val="0"/>
              <w:wordWrap/>
              <w:overflowPunct w:val="0"/>
              <w:topLinePunct w:val="0"/>
              <w:autoSpaceDE w:val="0"/>
              <w:autoSpaceDN w:val="0"/>
              <w:bidi w:val="0"/>
              <w:spacing w:line="360" w:lineRule="exact"/>
              <w:ind w:left="5250"/>
              <w:jc w:val="center"/>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vAlign w:val="center"/>
          </w:tcPr>
          <w:p w14:paraId="26A8EA31">
            <w:pPr>
              <w:pStyle w:val="14"/>
              <w:keepNext w:val="0"/>
              <w:keepLines w:val="0"/>
              <w:pageBreakBefore w:val="0"/>
              <w:widowControl w:val="0"/>
              <w:kinsoku w:val="0"/>
              <w:wordWrap/>
              <w:overflowPunct w:val="0"/>
              <w:topLinePunct w:val="0"/>
              <w:autoSpaceDE w:val="0"/>
              <w:autoSpaceDN w:val="0"/>
              <w:bidi w:val="0"/>
              <w:spacing w:line="360" w:lineRule="exact"/>
              <w:ind w:left="5250"/>
              <w:jc w:val="center"/>
              <w:textAlignment w:val="auto"/>
              <w:rPr>
                <w:rFonts w:hint="eastAsia" w:ascii="宋体" w:hAnsi="宋体" w:eastAsia="宋体" w:cs="宋体"/>
                <w:color w:val="auto"/>
                <w:sz w:val="21"/>
                <w:szCs w:val="21"/>
                <w:highlight w:val="none"/>
              </w:rPr>
            </w:pPr>
          </w:p>
        </w:tc>
        <w:tc>
          <w:tcPr>
            <w:tcW w:w="1573" w:type="dxa"/>
            <w:tcBorders>
              <w:top w:val="single" w:color="auto" w:sz="4" w:space="0"/>
              <w:left w:val="single" w:color="auto" w:sz="4" w:space="0"/>
              <w:bottom w:val="single" w:color="auto" w:sz="4" w:space="0"/>
              <w:right w:val="single" w:color="auto" w:sz="4" w:space="0"/>
            </w:tcBorders>
            <w:vAlign w:val="center"/>
          </w:tcPr>
          <w:p w14:paraId="7624B690">
            <w:pPr>
              <w:pStyle w:val="14"/>
              <w:keepNext w:val="0"/>
              <w:keepLines w:val="0"/>
              <w:pageBreakBefore w:val="0"/>
              <w:widowControl w:val="0"/>
              <w:kinsoku w:val="0"/>
              <w:wordWrap/>
              <w:overflowPunct w:val="0"/>
              <w:topLinePunct w:val="0"/>
              <w:autoSpaceDE w:val="0"/>
              <w:autoSpaceDN w:val="0"/>
              <w:bidi w:val="0"/>
              <w:spacing w:line="360" w:lineRule="exact"/>
              <w:ind w:left="5250"/>
              <w:jc w:val="center"/>
              <w:textAlignment w:val="auto"/>
              <w:rPr>
                <w:rFonts w:hint="eastAsia" w:ascii="宋体" w:hAnsi="宋体" w:eastAsia="宋体" w:cs="宋体"/>
                <w:color w:val="auto"/>
                <w:sz w:val="21"/>
                <w:szCs w:val="21"/>
                <w:highlight w:val="none"/>
              </w:rPr>
            </w:pPr>
          </w:p>
        </w:tc>
      </w:tr>
      <w:tr w14:paraId="04F4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14:paraId="6524C3D3">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14:paraId="1435FBC6">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14:paraId="05B8FE84">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1573" w:type="dxa"/>
            <w:tcBorders>
              <w:top w:val="single" w:color="auto" w:sz="4" w:space="0"/>
              <w:left w:val="single" w:color="auto" w:sz="4" w:space="0"/>
              <w:bottom w:val="single" w:color="auto" w:sz="4" w:space="0"/>
              <w:right w:val="single" w:color="auto" w:sz="4" w:space="0"/>
            </w:tcBorders>
          </w:tcPr>
          <w:p w14:paraId="37DE3505">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r>
      <w:tr w14:paraId="657F2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14:paraId="676C6D7D">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14:paraId="273BE21D">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14:paraId="2F8DE18E">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1573" w:type="dxa"/>
            <w:tcBorders>
              <w:top w:val="single" w:color="auto" w:sz="4" w:space="0"/>
              <w:left w:val="single" w:color="auto" w:sz="4" w:space="0"/>
              <w:bottom w:val="single" w:color="auto" w:sz="4" w:space="0"/>
              <w:right w:val="single" w:color="auto" w:sz="4" w:space="0"/>
            </w:tcBorders>
          </w:tcPr>
          <w:p w14:paraId="777D641E">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r>
      <w:tr w14:paraId="2780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14:paraId="7B2DC671">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14:paraId="2E6DA85A">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14:paraId="0A3EBBE9">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1573" w:type="dxa"/>
            <w:tcBorders>
              <w:top w:val="single" w:color="auto" w:sz="4" w:space="0"/>
              <w:left w:val="single" w:color="auto" w:sz="4" w:space="0"/>
              <w:bottom w:val="single" w:color="auto" w:sz="4" w:space="0"/>
              <w:right w:val="single" w:color="auto" w:sz="4" w:space="0"/>
            </w:tcBorders>
          </w:tcPr>
          <w:p w14:paraId="5DAEBBA7">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r>
      <w:tr w14:paraId="5FF8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14:paraId="55E4434B">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14:paraId="329D0F62">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14:paraId="79920DA3">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1573" w:type="dxa"/>
            <w:tcBorders>
              <w:top w:val="single" w:color="auto" w:sz="4" w:space="0"/>
              <w:left w:val="single" w:color="auto" w:sz="4" w:space="0"/>
              <w:bottom w:val="single" w:color="auto" w:sz="4" w:space="0"/>
              <w:right w:val="single" w:color="auto" w:sz="4" w:space="0"/>
            </w:tcBorders>
          </w:tcPr>
          <w:p w14:paraId="10E559A9">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r>
    </w:tbl>
    <w:p w14:paraId="56CDBBF4">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left"/>
        <w:textAlignment w:val="auto"/>
        <w:rPr>
          <w:rFonts w:hint="eastAsia" w:ascii="宋体" w:hAnsi="宋体" w:eastAsia="宋体" w:cs="宋体"/>
          <w:color w:val="auto"/>
          <w:sz w:val="21"/>
          <w:szCs w:val="21"/>
          <w:highlight w:val="none"/>
          <w:u w:val="single"/>
        </w:rPr>
      </w:pPr>
    </w:p>
    <w:p w14:paraId="658B40FD">
      <w:pPr>
        <w:pStyle w:val="9"/>
        <w:keepNext w:val="0"/>
        <w:keepLines w:val="0"/>
        <w:pageBreakBefore w:val="0"/>
        <w:widowControl w:val="0"/>
        <w:kinsoku w:val="0"/>
        <w:wordWrap/>
        <w:overflowPunct w:val="0"/>
        <w:topLinePunct w:val="0"/>
        <w:autoSpaceDE w:val="0"/>
        <w:autoSpaceDN w:val="0"/>
        <w:bidi w:val="0"/>
        <w:spacing w:line="36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投标人应根据投标设备的性能指标、对照招标文件要求在技术响应表中详细列明招标要求及投标设备技术规格的响应情况，并填写“偏离说明”。“偏离说明”栏注明“正偏离”、“负偏离”或“无偏离”。投标技术规格与招标要求相同的为无偏离，投标技术规格高于招标要求的为正偏离，低于招标要求的为负偏离。</w:t>
      </w:r>
    </w:p>
    <w:p w14:paraId="14B58AC7">
      <w:pPr>
        <w:keepNext w:val="0"/>
        <w:keepLines w:val="0"/>
        <w:pageBreakBefore w:val="0"/>
        <w:widowControl w:val="0"/>
        <w:kinsoku w:val="0"/>
        <w:wordWrap/>
        <w:overflowPunct w:val="0"/>
        <w:topLinePunct w:val="0"/>
        <w:autoSpaceDE w:val="0"/>
        <w:autoSpaceDN w:val="0"/>
        <w:bidi w:val="0"/>
        <w:snapToGrid w:val="0"/>
        <w:spacing w:before="50" w:after="50" w:line="360" w:lineRule="exact"/>
        <w:textAlignment w:val="auto"/>
        <w:rPr>
          <w:rFonts w:hint="eastAsia" w:ascii="宋体" w:hAnsi="宋体" w:eastAsia="宋体" w:cs="宋体"/>
          <w:color w:val="auto"/>
          <w:spacing w:val="20"/>
          <w:sz w:val="21"/>
          <w:szCs w:val="21"/>
          <w:highlight w:val="none"/>
        </w:rPr>
      </w:pPr>
    </w:p>
    <w:p w14:paraId="5CF0987E">
      <w:pPr>
        <w:keepNext w:val="0"/>
        <w:keepLines w:val="0"/>
        <w:pageBreakBefore w:val="0"/>
        <w:widowControl w:val="0"/>
        <w:kinsoku w:val="0"/>
        <w:wordWrap/>
        <w:overflowPunct w:val="0"/>
        <w:topLinePunct w:val="0"/>
        <w:autoSpaceDE w:val="0"/>
        <w:autoSpaceDN w:val="0"/>
        <w:bidi w:val="0"/>
        <w:snapToGrid w:val="0"/>
        <w:spacing w:before="50" w:after="50" w:line="360" w:lineRule="exact"/>
        <w:textAlignment w:val="auto"/>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z w:val="21"/>
          <w:szCs w:val="21"/>
          <w:highlight w:val="none"/>
        </w:rPr>
        <w:t>法定代表人或委托代理人签字或签章</w:t>
      </w:r>
      <w:r>
        <w:rPr>
          <w:rFonts w:hint="eastAsia" w:ascii="宋体" w:hAnsi="宋体" w:eastAsia="宋体" w:cs="宋体"/>
          <w:color w:val="auto"/>
          <w:spacing w:val="20"/>
          <w:sz w:val="21"/>
          <w:szCs w:val="21"/>
          <w:highlight w:val="none"/>
        </w:rPr>
        <w:t>：</w:t>
      </w:r>
      <w:r>
        <w:rPr>
          <w:rFonts w:hint="eastAsia" w:ascii="宋体" w:hAnsi="宋体" w:eastAsia="宋体" w:cs="宋体"/>
          <w:color w:val="auto"/>
          <w:spacing w:val="20"/>
          <w:sz w:val="21"/>
          <w:szCs w:val="21"/>
          <w:highlight w:val="none"/>
          <w:u w:val="single"/>
        </w:rPr>
        <w:t xml:space="preserve">   </w:t>
      </w:r>
      <w:r>
        <w:rPr>
          <w:rFonts w:hint="eastAsia" w:ascii="宋体" w:hAnsi="宋体" w:eastAsia="宋体" w:cs="宋体"/>
          <w:color w:val="auto"/>
          <w:spacing w:val="20"/>
          <w:sz w:val="21"/>
          <w:szCs w:val="21"/>
          <w:highlight w:val="none"/>
          <w:u w:val="single"/>
          <w:lang w:val="en-US" w:eastAsia="zh-CN"/>
        </w:rPr>
        <w:t xml:space="preserve">      </w:t>
      </w:r>
      <w:r>
        <w:rPr>
          <w:rFonts w:hint="eastAsia" w:ascii="宋体" w:hAnsi="宋体" w:eastAsia="宋体" w:cs="宋体"/>
          <w:color w:val="auto"/>
          <w:spacing w:val="20"/>
          <w:sz w:val="21"/>
          <w:szCs w:val="21"/>
          <w:highlight w:val="none"/>
          <w:u w:val="single"/>
        </w:rPr>
        <w:t xml:space="preserve">     </w:t>
      </w:r>
    </w:p>
    <w:p w14:paraId="21CBE25D">
      <w:pPr>
        <w:keepNext w:val="0"/>
        <w:keepLines w:val="0"/>
        <w:pageBreakBefore w:val="0"/>
        <w:widowControl w:val="0"/>
        <w:kinsoku w:val="0"/>
        <w:wordWrap/>
        <w:overflowPunct w:val="0"/>
        <w:topLinePunct w:val="0"/>
        <w:autoSpaceDE w:val="0"/>
        <w:autoSpaceDN w:val="0"/>
        <w:bidi w:val="0"/>
        <w:snapToGrid w:val="0"/>
        <w:spacing w:before="50" w:after="50" w:line="360" w:lineRule="exact"/>
        <w:textAlignment w:val="auto"/>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pacing w:val="20"/>
          <w:sz w:val="21"/>
          <w:szCs w:val="21"/>
          <w:highlight w:val="none"/>
        </w:rPr>
        <w:t>投标人盖章：</w:t>
      </w:r>
      <w:r>
        <w:rPr>
          <w:rFonts w:hint="eastAsia" w:ascii="宋体" w:hAnsi="宋体" w:eastAsia="宋体" w:cs="宋体"/>
          <w:color w:val="auto"/>
          <w:spacing w:val="20"/>
          <w:sz w:val="21"/>
          <w:szCs w:val="21"/>
          <w:highlight w:val="none"/>
          <w:u w:val="single"/>
        </w:rPr>
        <w:t xml:space="preserve">            </w:t>
      </w:r>
      <w:r>
        <w:rPr>
          <w:rFonts w:hint="eastAsia" w:ascii="宋体" w:hAnsi="宋体" w:eastAsia="宋体" w:cs="宋体"/>
          <w:color w:val="auto"/>
          <w:spacing w:val="20"/>
          <w:sz w:val="21"/>
          <w:szCs w:val="21"/>
          <w:highlight w:val="none"/>
        </w:rPr>
        <w:t xml:space="preserve">   日 期：</w:t>
      </w:r>
      <w:r>
        <w:rPr>
          <w:rFonts w:hint="eastAsia" w:ascii="宋体" w:hAnsi="宋体" w:eastAsia="宋体" w:cs="宋体"/>
          <w:color w:val="auto"/>
          <w:spacing w:val="20"/>
          <w:sz w:val="21"/>
          <w:szCs w:val="21"/>
          <w:highlight w:val="none"/>
          <w:u w:val="single"/>
        </w:rPr>
        <w:t xml:space="preserve">            </w:t>
      </w:r>
    </w:p>
    <w:p w14:paraId="6978F9FA">
      <w:pPr>
        <w:pStyle w:val="14"/>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color w:val="auto"/>
          <w:sz w:val="21"/>
          <w:szCs w:val="21"/>
          <w:highlight w:val="none"/>
        </w:rPr>
      </w:pPr>
    </w:p>
    <w:p w14:paraId="5FD447A8">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1"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color w:val="auto"/>
          <w:sz w:val="21"/>
          <w:szCs w:val="21"/>
          <w:highlight w:val="none"/>
        </w:rPr>
        <w:t>设备配置清单格式：</w:t>
      </w:r>
    </w:p>
    <w:p w14:paraId="56B43E2F">
      <w:pPr>
        <w:pStyle w:val="19"/>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b/>
          <w:bCs/>
          <w:color w:val="auto"/>
          <w:sz w:val="30"/>
          <w:szCs w:val="30"/>
          <w:highlight w:val="none"/>
        </w:rPr>
      </w:pPr>
      <w:r>
        <w:rPr>
          <w:rFonts w:hint="eastAsia" w:ascii="宋体" w:hAnsi="宋体" w:eastAsia="宋体" w:cs="宋体"/>
          <w:b/>
          <w:bCs/>
          <w:color w:val="auto"/>
          <w:sz w:val="30"/>
          <w:szCs w:val="30"/>
          <w:highlight w:val="none"/>
        </w:rPr>
        <w:t>设备配置清单</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92"/>
        <w:gridCol w:w="1443"/>
        <w:gridCol w:w="839"/>
        <w:gridCol w:w="1498"/>
        <w:gridCol w:w="1620"/>
        <w:gridCol w:w="1809"/>
        <w:gridCol w:w="912"/>
      </w:tblGrid>
      <w:tr w14:paraId="52B96B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28DD7553">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443" w:type="dxa"/>
            <w:tcBorders>
              <w:top w:val="single" w:color="auto" w:sz="4" w:space="0"/>
              <w:left w:val="single" w:color="auto" w:sz="4" w:space="0"/>
              <w:bottom w:val="single" w:color="auto" w:sz="4" w:space="0"/>
              <w:right w:val="single" w:color="auto" w:sz="4" w:space="0"/>
            </w:tcBorders>
            <w:vAlign w:val="center"/>
          </w:tcPr>
          <w:p w14:paraId="02ED0F39">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设备名称</w:t>
            </w:r>
          </w:p>
        </w:tc>
        <w:tc>
          <w:tcPr>
            <w:tcW w:w="839" w:type="dxa"/>
            <w:tcBorders>
              <w:top w:val="single" w:color="auto" w:sz="4" w:space="0"/>
              <w:left w:val="single" w:color="auto" w:sz="4" w:space="0"/>
              <w:bottom w:val="single" w:color="auto" w:sz="4" w:space="0"/>
              <w:right w:val="single" w:color="auto" w:sz="4" w:space="0"/>
            </w:tcBorders>
            <w:vAlign w:val="center"/>
          </w:tcPr>
          <w:p w14:paraId="7040248F">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品牌</w:t>
            </w:r>
          </w:p>
        </w:tc>
        <w:tc>
          <w:tcPr>
            <w:tcW w:w="1498" w:type="dxa"/>
            <w:tcBorders>
              <w:top w:val="single" w:color="auto" w:sz="4" w:space="0"/>
              <w:left w:val="single" w:color="auto" w:sz="4" w:space="0"/>
              <w:bottom w:val="single" w:color="auto" w:sz="4" w:space="0"/>
              <w:right w:val="single" w:color="auto" w:sz="4" w:space="0"/>
            </w:tcBorders>
            <w:vAlign w:val="center"/>
          </w:tcPr>
          <w:p w14:paraId="21741705">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规格型号</w:t>
            </w:r>
          </w:p>
        </w:tc>
        <w:tc>
          <w:tcPr>
            <w:tcW w:w="1620" w:type="dxa"/>
            <w:tcBorders>
              <w:top w:val="single" w:color="auto" w:sz="4" w:space="0"/>
              <w:left w:val="single" w:color="auto" w:sz="4" w:space="0"/>
              <w:bottom w:val="single" w:color="auto" w:sz="4" w:space="0"/>
              <w:right w:val="single" w:color="auto" w:sz="4" w:space="0"/>
            </w:tcBorders>
            <w:vAlign w:val="center"/>
          </w:tcPr>
          <w:p w14:paraId="5CAA94E6">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单位及数量</w:t>
            </w:r>
          </w:p>
        </w:tc>
        <w:tc>
          <w:tcPr>
            <w:tcW w:w="1809" w:type="dxa"/>
            <w:tcBorders>
              <w:top w:val="single" w:color="auto" w:sz="4" w:space="0"/>
              <w:left w:val="single" w:color="auto" w:sz="4" w:space="0"/>
              <w:bottom w:val="single" w:color="auto" w:sz="4" w:space="0"/>
              <w:right w:val="single" w:color="auto" w:sz="4" w:space="0"/>
            </w:tcBorders>
            <w:vAlign w:val="center"/>
          </w:tcPr>
          <w:p w14:paraId="4C52688B">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性能及指标</w:t>
            </w:r>
          </w:p>
        </w:tc>
        <w:tc>
          <w:tcPr>
            <w:tcW w:w="912" w:type="dxa"/>
            <w:tcBorders>
              <w:top w:val="single" w:color="auto" w:sz="4" w:space="0"/>
              <w:left w:val="single" w:color="auto" w:sz="4" w:space="0"/>
              <w:bottom w:val="single" w:color="auto" w:sz="4" w:space="0"/>
              <w:right w:val="single" w:color="auto" w:sz="4" w:space="0"/>
            </w:tcBorders>
            <w:vAlign w:val="center"/>
          </w:tcPr>
          <w:p w14:paraId="283C015A">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产地</w:t>
            </w:r>
          </w:p>
        </w:tc>
      </w:tr>
      <w:tr w14:paraId="376BB1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023C4BD9">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443" w:type="dxa"/>
            <w:tcBorders>
              <w:top w:val="single" w:color="auto" w:sz="4" w:space="0"/>
              <w:left w:val="single" w:color="auto" w:sz="4" w:space="0"/>
              <w:bottom w:val="single" w:color="auto" w:sz="4" w:space="0"/>
              <w:right w:val="single" w:color="auto" w:sz="4" w:space="0"/>
            </w:tcBorders>
            <w:vAlign w:val="center"/>
          </w:tcPr>
          <w:p w14:paraId="650886B6">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839" w:type="dxa"/>
            <w:tcBorders>
              <w:top w:val="single" w:color="auto" w:sz="4" w:space="0"/>
              <w:left w:val="single" w:color="auto" w:sz="4" w:space="0"/>
              <w:bottom w:val="single" w:color="auto" w:sz="4" w:space="0"/>
              <w:right w:val="single" w:color="auto" w:sz="4" w:space="0"/>
            </w:tcBorders>
            <w:vAlign w:val="center"/>
          </w:tcPr>
          <w:p w14:paraId="53165F2B">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vAlign w:val="center"/>
          </w:tcPr>
          <w:p w14:paraId="41320A15">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620" w:type="dxa"/>
            <w:tcBorders>
              <w:top w:val="single" w:color="auto" w:sz="4" w:space="0"/>
              <w:left w:val="single" w:color="auto" w:sz="4" w:space="0"/>
              <w:bottom w:val="single" w:color="auto" w:sz="4" w:space="0"/>
              <w:right w:val="single" w:color="auto" w:sz="4" w:space="0"/>
            </w:tcBorders>
            <w:vAlign w:val="center"/>
          </w:tcPr>
          <w:p w14:paraId="3AEB185D">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809" w:type="dxa"/>
            <w:tcBorders>
              <w:top w:val="single" w:color="auto" w:sz="4" w:space="0"/>
              <w:left w:val="single" w:color="auto" w:sz="4" w:space="0"/>
              <w:bottom w:val="single" w:color="auto" w:sz="4" w:space="0"/>
              <w:right w:val="single" w:color="auto" w:sz="4" w:space="0"/>
            </w:tcBorders>
            <w:vAlign w:val="center"/>
          </w:tcPr>
          <w:p w14:paraId="3832CC73">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912" w:type="dxa"/>
            <w:tcBorders>
              <w:top w:val="single" w:color="auto" w:sz="4" w:space="0"/>
              <w:left w:val="single" w:color="auto" w:sz="4" w:space="0"/>
              <w:bottom w:val="single" w:color="auto" w:sz="4" w:space="0"/>
              <w:right w:val="single" w:color="auto" w:sz="4" w:space="0"/>
            </w:tcBorders>
            <w:vAlign w:val="center"/>
          </w:tcPr>
          <w:p w14:paraId="6DF5F504">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r>
      <w:tr w14:paraId="3CA80A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1E62FA06">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443" w:type="dxa"/>
            <w:tcBorders>
              <w:top w:val="single" w:color="auto" w:sz="4" w:space="0"/>
              <w:left w:val="single" w:color="auto" w:sz="4" w:space="0"/>
              <w:bottom w:val="single" w:color="auto" w:sz="4" w:space="0"/>
              <w:right w:val="single" w:color="auto" w:sz="4" w:space="0"/>
            </w:tcBorders>
            <w:vAlign w:val="center"/>
          </w:tcPr>
          <w:p w14:paraId="73744C74">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839" w:type="dxa"/>
            <w:tcBorders>
              <w:top w:val="single" w:color="auto" w:sz="4" w:space="0"/>
              <w:left w:val="single" w:color="auto" w:sz="4" w:space="0"/>
              <w:bottom w:val="single" w:color="auto" w:sz="4" w:space="0"/>
              <w:right w:val="single" w:color="auto" w:sz="4" w:space="0"/>
            </w:tcBorders>
            <w:vAlign w:val="center"/>
          </w:tcPr>
          <w:p w14:paraId="36829784">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vAlign w:val="center"/>
          </w:tcPr>
          <w:p w14:paraId="2F7687F6">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620" w:type="dxa"/>
            <w:tcBorders>
              <w:top w:val="single" w:color="auto" w:sz="4" w:space="0"/>
              <w:left w:val="single" w:color="auto" w:sz="4" w:space="0"/>
              <w:bottom w:val="single" w:color="auto" w:sz="4" w:space="0"/>
              <w:right w:val="single" w:color="auto" w:sz="4" w:space="0"/>
            </w:tcBorders>
            <w:vAlign w:val="center"/>
          </w:tcPr>
          <w:p w14:paraId="27EFE17E">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809" w:type="dxa"/>
            <w:tcBorders>
              <w:top w:val="single" w:color="auto" w:sz="4" w:space="0"/>
              <w:left w:val="single" w:color="auto" w:sz="4" w:space="0"/>
              <w:bottom w:val="single" w:color="auto" w:sz="4" w:space="0"/>
              <w:right w:val="single" w:color="auto" w:sz="4" w:space="0"/>
            </w:tcBorders>
            <w:vAlign w:val="center"/>
          </w:tcPr>
          <w:p w14:paraId="6E9FF611">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912" w:type="dxa"/>
            <w:tcBorders>
              <w:top w:val="single" w:color="auto" w:sz="4" w:space="0"/>
              <w:left w:val="single" w:color="auto" w:sz="4" w:space="0"/>
              <w:bottom w:val="single" w:color="auto" w:sz="4" w:space="0"/>
              <w:right w:val="single" w:color="auto" w:sz="4" w:space="0"/>
            </w:tcBorders>
            <w:vAlign w:val="center"/>
          </w:tcPr>
          <w:p w14:paraId="23C3A597">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r>
      <w:tr w14:paraId="417C62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1E57CC5E">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443" w:type="dxa"/>
            <w:tcBorders>
              <w:top w:val="single" w:color="auto" w:sz="4" w:space="0"/>
              <w:left w:val="single" w:color="auto" w:sz="4" w:space="0"/>
              <w:bottom w:val="single" w:color="auto" w:sz="4" w:space="0"/>
              <w:right w:val="single" w:color="auto" w:sz="4" w:space="0"/>
            </w:tcBorders>
            <w:vAlign w:val="center"/>
          </w:tcPr>
          <w:p w14:paraId="375D2691">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839" w:type="dxa"/>
            <w:tcBorders>
              <w:top w:val="single" w:color="auto" w:sz="4" w:space="0"/>
              <w:left w:val="single" w:color="auto" w:sz="4" w:space="0"/>
              <w:bottom w:val="single" w:color="auto" w:sz="4" w:space="0"/>
              <w:right w:val="single" w:color="auto" w:sz="4" w:space="0"/>
            </w:tcBorders>
            <w:vAlign w:val="center"/>
          </w:tcPr>
          <w:p w14:paraId="60871744">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vAlign w:val="center"/>
          </w:tcPr>
          <w:p w14:paraId="7961D206">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620" w:type="dxa"/>
            <w:tcBorders>
              <w:top w:val="single" w:color="auto" w:sz="4" w:space="0"/>
              <w:left w:val="single" w:color="auto" w:sz="4" w:space="0"/>
              <w:bottom w:val="single" w:color="auto" w:sz="4" w:space="0"/>
              <w:right w:val="single" w:color="auto" w:sz="4" w:space="0"/>
            </w:tcBorders>
            <w:vAlign w:val="center"/>
          </w:tcPr>
          <w:p w14:paraId="7F2B8D29">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809" w:type="dxa"/>
            <w:tcBorders>
              <w:top w:val="single" w:color="auto" w:sz="4" w:space="0"/>
              <w:left w:val="single" w:color="auto" w:sz="4" w:space="0"/>
              <w:bottom w:val="single" w:color="auto" w:sz="4" w:space="0"/>
              <w:right w:val="single" w:color="auto" w:sz="4" w:space="0"/>
            </w:tcBorders>
            <w:vAlign w:val="center"/>
          </w:tcPr>
          <w:p w14:paraId="7259693A">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912" w:type="dxa"/>
            <w:tcBorders>
              <w:top w:val="single" w:color="auto" w:sz="4" w:space="0"/>
              <w:left w:val="single" w:color="auto" w:sz="4" w:space="0"/>
              <w:bottom w:val="single" w:color="auto" w:sz="4" w:space="0"/>
              <w:right w:val="single" w:color="auto" w:sz="4" w:space="0"/>
            </w:tcBorders>
            <w:vAlign w:val="center"/>
          </w:tcPr>
          <w:p w14:paraId="586E1CCE">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r>
    </w:tbl>
    <w:p w14:paraId="115198E4">
      <w:pPr>
        <w:keepNext w:val="0"/>
        <w:keepLines w:val="0"/>
        <w:pageBreakBefore w:val="0"/>
        <w:widowControl w:val="0"/>
        <w:kinsoku w:val="0"/>
        <w:wordWrap/>
        <w:overflowPunct w:val="0"/>
        <w:topLinePunct w:val="0"/>
        <w:autoSpaceDE w:val="0"/>
        <w:autoSpaceDN w:val="0"/>
        <w:bidi w:val="0"/>
        <w:snapToGrid w:val="0"/>
        <w:spacing w:before="100" w:beforeAutospacing="1" w:after="100" w:afterAutospacing="1" w:line="360" w:lineRule="exact"/>
        <w:textAlignment w:val="auto"/>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法定代表人或委托代理人签字或签章</w:t>
      </w:r>
      <w:r>
        <w:rPr>
          <w:rFonts w:hint="eastAsia" w:ascii="宋体" w:hAnsi="宋体" w:eastAsia="宋体" w:cs="宋体"/>
          <w:color w:val="auto"/>
          <w:spacing w:val="20"/>
          <w:sz w:val="21"/>
          <w:szCs w:val="21"/>
          <w:highlight w:val="none"/>
        </w:rPr>
        <w:t>：</w:t>
      </w:r>
      <w:r>
        <w:rPr>
          <w:rFonts w:hint="eastAsia" w:ascii="宋体" w:hAnsi="宋体" w:eastAsia="宋体" w:cs="宋体"/>
          <w:color w:val="auto"/>
          <w:spacing w:val="20"/>
          <w:sz w:val="21"/>
          <w:szCs w:val="21"/>
          <w:highlight w:val="none"/>
          <w:u w:val="single"/>
        </w:rPr>
        <w:t xml:space="preserve">         </w:t>
      </w:r>
    </w:p>
    <w:p w14:paraId="2CF0CD3B">
      <w:pPr>
        <w:keepNext w:val="0"/>
        <w:keepLines w:val="0"/>
        <w:pageBreakBefore w:val="0"/>
        <w:widowControl w:val="0"/>
        <w:kinsoku w:val="0"/>
        <w:wordWrap/>
        <w:overflowPunct w:val="0"/>
        <w:topLinePunct w:val="0"/>
        <w:autoSpaceDE w:val="0"/>
        <w:autoSpaceDN w:val="0"/>
        <w:bidi w:val="0"/>
        <w:snapToGrid w:val="0"/>
        <w:spacing w:before="100" w:beforeAutospacing="1" w:after="100" w:afterAutospacing="1" w:line="360" w:lineRule="exact"/>
        <w:ind w:firstLine="500" w:firstLineChars="200"/>
        <w:jc w:val="left"/>
        <w:textAlignment w:val="auto"/>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pacing w:val="20"/>
          <w:sz w:val="21"/>
          <w:szCs w:val="21"/>
          <w:highlight w:val="none"/>
        </w:rPr>
        <w:t>投标人盖章：</w:t>
      </w:r>
      <w:r>
        <w:rPr>
          <w:rFonts w:hint="eastAsia" w:ascii="宋体" w:hAnsi="宋体" w:eastAsia="宋体" w:cs="宋体"/>
          <w:color w:val="auto"/>
          <w:spacing w:val="20"/>
          <w:sz w:val="21"/>
          <w:szCs w:val="21"/>
          <w:highlight w:val="none"/>
          <w:u w:val="single"/>
        </w:rPr>
        <w:t xml:space="preserve">            </w:t>
      </w:r>
      <w:r>
        <w:rPr>
          <w:rFonts w:hint="eastAsia" w:ascii="宋体" w:hAnsi="宋体" w:eastAsia="宋体" w:cs="宋体"/>
          <w:color w:val="auto"/>
          <w:spacing w:val="20"/>
          <w:sz w:val="21"/>
          <w:szCs w:val="21"/>
          <w:highlight w:val="none"/>
        </w:rPr>
        <w:t xml:space="preserve">              日  期：</w:t>
      </w:r>
      <w:r>
        <w:rPr>
          <w:rFonts w:hint="eastAsia" w:ascii="宋体" w:hAnsi="宋体" w:eastAsia="宋体" w:cs="宋体"/>
          <w:color w:val="auto"/>
          <w:spacing w:val="20"/>
          <w:sz w:val="21"/>
          <w:szCs w:val="21"/>
          <w:highlight w:val="none"/>
          <w:u w:val="single"/>
        </w:rPr>
        <w:t xml:space="preserve">         </w:t>
      </w:r>
      <w:r>
        <w:rPr>
          <w:rFonts w:hint="eastAsia" w:ascii="宋体" w:hAnsi="宋体" w:eastAsia="宋体" w:cs="宋体"/>
          <w:color w:val="auto"/>
          <w:spacing w:val="20"/>
          <w:sz w:val="21"/>
          <w:szCs w:val="21"/>
          <w:highlight w:val="none"/>
          <w:u w:val="single"/>
          <w:lang w:val="en-US" w:eastAsia="zh-CN"/>
        </w:rPr>
        <w:t xml:space="preserve">  </w:t>
      </w:r>
      <w:r>
        <w:rPr>
          <w:rFonts w:hint="eastAsia" w:ascii="宋体" w:hAnsi="宋体" w:eastAsia="宋体" w:cs="宋体"/>
          <w:color w:val="auto"/>
          <w:spacing w:val="20"/>
          <w:sz w:val="21"/>
          <w:szCs w:val="21"/>
          <w:highlight w:val="none"/>
          <w:u w:val="single"/>
        </w:rPr>
        <w:t xml:space="preserve"> </w:t>
      </w:r>
    </w:p>
    <w:p w14:paraId="2FC97FF9">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0"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Cs/>
          <w:color w:val="auto"/>
          <w:sz w:val="21"/>
          <w:szCs w:val="21"/>
          <w:highlight w:val="none"/>
        </w:rPr>
        <w:t>（4）</w:t>
      </w:r>
      <w:r>
        <w:rPr>
          <w:rFonts w:hint="eastAsia" w:ascii="宋体" w:hAnsi="宋体" w:eastAsia="宋体" w:cs="宋体"/>
          <w:color w:val="auto"/>
          <w:sz w:val="21"/>
          <w:szCs w:val="21"/>
          <w:highlight w:val="none"/>
        </w:rPr>
        <w:t>售后服务承诺书（应据项目实际要求描述如：投标人建议的安装、调试、验收方法或方案；技术服务、技术培训、售后服务的内容和措施等）</w:t>
      </w:r>
      <w:r>
        <w:rPr>
          <w:rFonts w:hint="eastAsia" w:ascii="宋体" w:hAnsi="宋体" w:eastAsia="宋体" w:cs="宋体"/>
          <w:b/>
          <w:color w:val="auto"/>
          <w:sz w:val="21"/>
          <w:szCs w:val="21"/>
          <w:highlight w:val="none"/>
        </w:rPr>
        <w:t>(格式自拟,必须提供）</w:t>
      </w:r>
      <w:r>
        <w:rPr>
          <w:rFonts w:hint="eastAsia" w:ascii="宋体" w:hAnsi="宋体" w:eastAsia="宋体" w:cs="宋体"/>
          <w:color w:val="auto"/>
          <w:sz w:val="21"/>
          <w:szCs w:val="21"/>
          <w:highlight w:val="none"/>
        </w:rPr>
        <w:t>；</w:t>
      </w:r>
    </w:p>
    <w:p w14:paraId="38DF08C6">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（5）</w:t>
      </w:r>
      <w:r>
        <w:rPr>
          <w:rFonts w:hint="eastAsia" w:ascii="宋体" w:hAnsi="宋体" w:eastAsia="宋体" w:cs="宋体"/>
          <w:color w:val="auto"/>
          <w:sz w:val="21"/>
          <w:szCs w:val="21"/>
          <w:highlight w:val="none"/>
        </w:rPr>
        <w:t>投标人拥有主要装备和检测设施的情况和现状（格式自拟）及项目实施人员一览表</w:t>
      </w:r>
    </w:p>
    <w:p w14:paraId="772EC7BF">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（6）优惠条件：投标人承诺给予招标人的各种优惠条件，包括备品备件、专用耗材、售后服务等方面的优惠；</w:t>
      </w:r>
    </w:p>
    <w:p w14:paraId="61034300">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30"/>
          <w:szCs w:val="30"/>
          <w:highlight w:val="none"/>
        </w:rPr>
        <w:t>备品备件、专用耗材、售后服务优惠表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格式</w:t>
      </w:r>
      <w:r>
        <w:rPr>
          <w:rFonts w:hint="eastAsia" w:ascii="宋体" w:hAnsi="宋体" w:eastAsia="宋体" w:cs="宋体"/>
          <w:color w:val="auto"/>
          <w:sz w:val="21"/>
          <w:szCs w:val="21"/>
          <w:highlight w:val="none"/>
          <w:lang w:eastAsia="zh-CN"/>
        </w:rPr>
        <w:t>）</w:t>
      </w:r>
    </w:p>
    <w:tbl>
      <w:tblPr>
        <w:tblStyle w:val="20"/>
        <w:tblW w:w="932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1709"/>
        <w:gridCol w:w="1845"/>
        <w:gridCol w:w="1215"/>
        <w:gridCol w:w="1080"/>
        <w:gridCol w:w="2745"/>
      </w:tblGrid>
      <w:tr w14:paraId="5632FC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FB6650B">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709" w:type="dxa"/>
            <w:tcBorders>
              <w:top w:val="single" w:color="auto" w:sz="4" w:space="0"/>
              <w:left w:val="single" w:color="auto" w:sz="4" w:space="0"/>
              <w:bottom w:val="single" w:color="auto" w:sz="2" w:space="0"/>
              <w:right w:val="single" w:color="auto" w:sz="4" w:space="0"/>
            </w:tcBorders>
            <w:vAlign w:val="center"/>
          </w:tcPr>
          <w:p w14:paraId="43980313">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优惠内容</w:t>
            </w:r>
          </w:p>
        </w:tc>
        <w:tc>
          <w:tcPr>
            <w:tcW w:w="1845" w:type="dxa"/>
            <w:tcBorders>
              <w:top w:val="single" w:color="auto" w:sz="4" w:space="0"/>
              <w:left w:val="single" w:color="auto" w:sz="4" w:space="0"/>
              <w:bottom w:val="single" w:color="auto" w:sz="2" w:space="0"/>
              <w:right w:val="single" w:color="auto" w:sz="4" w:space="0"/>
            </w:tcBorders>
            <w:vAlign w:val="center"/>
          </w:tcPr>
          <w:p w14:paraId="498ED4CA">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适用机型</w:t>
            </w:r>
          </w:p>
        </w:tc>
        <w:tc>
          <w:tcPr>
            <w:tcW w:w="1215"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14:paraId="041D3639">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p>
        </w:tc>
        <w:tc>
          <w:tcPr>
            <w:tcW w:w="1080" w:type="dxa"/>
            <w:tcBorders>
              <w:top w:val="single" w:color="auto" w:sz="4" w:space="0"/>
              <w:left w:val="single" w:color="auto" w:sz="4" w:space="0"/>
              <w:bottom w:val="single" w:color="auto" w:sz="2" w:space="0"/>
              <w:right w:val="single" w:color="auto" w:sz="4" w:space="0"/>
            </w:tcBorders>
            <w:vAlign w:val="center"/>
          </w:tcPr>
          <w:p w14:paraId="09682942">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比投标报价优惠率</w:t>
            </w:r>
          </w:p>
        </w:tc>
        <w:tc>
          <w:tcPr>
            <w:tcW w:w="2745" w:type="dxa"/>
            <w:tcBorders>
              <w:top w:val="single" w:color="auto" w:sz="4" w:space="0"/>
              <w:left w:val="single" w:color="auto" w:sz="4" w:space="0"/>
              <w:bottom w:val="single" w:color="auto" w:sz="2" w:space="0"/>
              <w:right w:val="single" w:color="auto" w:sz="4" w:space="0"/>
            </w:tcBorders>
            <w:vAlign w:val="center"/>
          </w:tcPr>
          <w:p w14:paraId="651B26F3">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比招标要求提供更优售后服务</w:t>
            </w:r>
          </w:p>
        </w:tc>
      </w:tr>
      <w:tr w14:paraId="0CD2A2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15DD8BC5">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709" w:type="dxa"/>
            <w:tcBorders>
              <w:top w:val="single" w:color="auto" w:sz="2" w:space="0"/>
              <w:left w:val="single" w:color="auto" w:sz="2" w:space="0"/>
              <w:bottom w:val="single" w:color="auto" w:sz="6" w:space="0"/>
              <w:right w:val="single" w:color="auto" w:sz="4" w:space="0"/>
            </w:tcBorders>
            <w:vAlign w:val="center"/>
          </w:tcPr>
          <w:p w14:paraId="714535EC">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845" w:type="dxa"/>
            <w:tcBorders>
              <w:top w:val="single" w:color="auto" w:sz="2" w:space="0"/>
              <w:left w:val="single" w:color="auto" w:sz="4" w:space="0"/>
              <w:bottom w:val="single" w:color="auto" w:sz="6" w:space="0"/>
              <w:right w:val="single" w:color="auto" w:sz="6" w:space="0"/>
            </w:tcBorders>
            <w:vAlign w:val="center"/>
          </w:tcPr>
          <w:p w14:paraId="70920A06">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215"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14:paraId="461EBFDB">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080" w:type="dxa"/>
            <w:tcBorders>
              <w:top w:val="single" w:color="auto" w:sz="2" w:space="0"/>
              <w:left w:val="single" w:color="auto" w:sz="6" w:space="0"/>
              <w:bottom w:val="single" w:color="auto" w:sz="6" w:space="0"/>
              <w:right w:val="single" w:color="auto" w:sz="2" w:space="0"/>
            </w:tcBorders>
            <w:vAlign w:val="center"/>
          </w:tcPr>
          <w:p w14:paraId="2BE8844A">
            <w:pPr>
              <w:pStyle w:val="14"/>
              <w:keepNext w:val="0"/>
              <w:keepLines w:val="0"/>
              <w:pageBreakBefore w:val="0"/>
              <w:widowControl w:val="0"/>
              <w:kinsoku w:val="0"/>
              <w:wordWrap/>
              <w:overflowPunct w:val="0"/>
              <w:topLinePunct w:val="0"/>
              <w:autoSpaceDE w:val="0"/>
              <w:autoSpaceDN w:val="0"/>
              <w:bidi w:val="0"/>
              <w:snapToGrid w:val="0"/>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tc>
        <w:tc>
          <w:tcPr>
            <w:tcW w:w="2745" w:type="dxa"/>
            <w:tcBorders>
              <w:top w:val="single" w:color="auto" w:sz="2" w:space="0"/>
              <w:left w:val="single" w:color="auto" w:sz="6" w:space="0"/>
              <w:bottom w:val="single" w:color="auto" w:sz="6" w:space="0"/>
              <w:right w:val="single" w:color="auto" w:sz="2" w:space="0"/>
            </w:tcBorders>
            <w:vAlign w:val="center"/>
          </w:tcPr>
          <w:p w14:paraId="1C0D3F49">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r>
      <w:tr w14:paraId="1AF606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77684B32">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709" w:type="dxa"/>
            <w:tcBorders>
              <w:top w:val="single" w:color="auto" w:sz="6" w:space="0"/>
              <w:left w:val="single" w:color="auto" w:sz="2" w:space="0"/>
              <w:bottom w:val="single" w:color="auto" w:sz="6" w:space="0"/>
              <w:right w:val="single" w:color="auto" w:sz="4" w:space="0"/>
            </w:tcBorders>
            <w:vAlign w:val="center"/>
          </w:tcPr>
          <w:p w14:paraId="2DE07C29">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845" w:type="dxa"/>
            <w:tcBorders>
              <w:top w:val="single" w:color="auto" w:sz="6" w:space="0"/>
              <w:left w:val="single" w:color="auto" w:sz="4" w:space="0"/>
              <w:bottom w:val="single" w:color="auto" w:sz="6" w:space="0"/>
              <w:right w:val="single" w:color="auto" w:sz="6" w:space="0"/>
            </w:tcBorders>
            <w:vAlign w:val="center"/>
          </w:tcPr>
          <w:p w14:paraId="7A296DCC">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215"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689699AD">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2" w:space="0"/>
            </w:tcBorders>
            <w:vAlign w:val="center"/>
          </w:tcPr>
          <w:p w14:paraId="28346AAE">
            <w:pPr>
              <w:pStyle w:val="14"/>
              <w:keepNext w:val="0"/>
              <w:keepLines w:val="0"/>
              <w:pageBreakBefore w:val="0"/>
              <w:widowControl w:val="0"/>
              <w:kinsoku w:val="0"/>
              <w:wordWrap/>
              <w:overflowPunct w:val="0"/>
              <w:topLinePunct w:val="0"/>
              <w:autoSpaceDE w:val="0"/>
              <w:autoSpaceDN w:val="0"/>
              <w:bidi w:val="0"/>
              <w:snapToGrid w:val="0"/>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tc>
        <w:tc>
          <w:tcPr>
            <w:tcW w:w="2745" w:type="dxa"/>
            <w:tcBorders>
              <w:top w:val="single" w:color="auto" w:sz="6" w:space="0"/>
              <w:left w:val="single" w:color="auto" w:sz="6" w:space="0"/>
              <w:bottom w:val="single" w:color="auto" w:sz="6" w:space="0"/>
              <w:right w:val="single" w:color="auto" w:sz="2" w:space="0"/>
            </w:tcBorders>
            <w:vAlign w:val="center"/>
          </w:tcPr>
          <w:p w14:paraId="40504E85">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r>
      <w:tr w14:paraId="134B0C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296A54C7">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709" w:type="dxa"/>
            <w:tcBorders>
              <w:top w:val="single" w:color="auto" w:sz="6" w:space="0"/>
              <w:left w:val="single" w:color="auto" w:sz="2" w:space="0"/>
              <w:bottom w:val="single" w:color="auto" w:sz="6" w:space="0"/>
              <w:right w:val="single" w:color="auto" w:sz="4" w:space="0"/>
            </w:tcBorders>
            <w:vAlign w:val="center"/>
          </w:tcPr>
          <w:p w14:paraId="748CA05F">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845" w:type="dxa"/>
            <w:tcBorders>
              <w:top w:val="single" w:color="auto" w:sz="6" w:space="0"/>
              <w:left w:val="single" w:color="auto" w:sz="4" w:space="0"/>
              <w:bottom w:val="single" w:color="auto" w:sz="6" w:space="0"/>
              <w:right w:val="single" w:color="auto" w:sz="6" w:space="0"/>
            </w:tcBorders>
            <w:vAlign w:val="center"/>
          </w:tcPr>
          <w:p w14:paraId="082A9E38">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215"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08A7FECF">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2" w:space="0"/>
            </w:tcBorders>
            <w:vAlign w:val="center"/>
          </w:tcPr>
          <w:p w14:paraId="070A7A4A">
            <w:pPr>
              <w:pStyle w:val="14"/>
              <w:keepNext w:val="0"/>
              <w:keepLines w:val="0"/>
              <w:pageBreakBefore w:val="0"/>
              <w:widowControl w:val="0"/>
              <w:kinsoku w:val="0"/>
              <w:wordWrap/>
              <w:overflowPunct w:val="0"/>
              <w:topLinePunct w:val="0"/>
              <w:autoSpaceDE w:val="0"/>
              <w:autoSpaceDN w:val="0"/>
              <w:bidi w:val="0"/>
              <w:snapToGrid w:val="0"/>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tc>
        <w:tc>
          <w:tcPr>
            <w:tcW w:w="2745" w:type="dxa"/>
            <w:tcBorders>
              <w:top w:val="single" w:color="auto" w:sz="6" w:space="0"/>
              <w:left w:val="single" w:color="auto" w:sz="6" w:space="0"/>
              <w:bottom w:val="single" w:color="auto" w:sz="6" w:space="0"/>
              <w:right w:val="single" w:color="auto" w:sz="2" w:space="0"/>
            </w:tcBorders>
            <w:vAlign w:val="center"/>
          </w:tcPr>
          <w:p w14:paraId="44563C26">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r>
    </w:tbl>
    <w:p w14:paraId="204CDB8E">
      <w:pPr>
        <w:keepNext w:val="0"/>
        <w:keepLines w:val="0"/>
        <w:pageBreakBefore w:val="0"/>
        <w:widowControl w:val="0"/>
        <w:kinsoku w:val="0"/>
        <w:wordWrap/>
        <w:overflowPunct w:val="0"/>
        <w:topLinePunct w:val="0"/>
        <w:autoSpaceDE w:val="0"/>
        <w:autoSpaceDN w:val="0"/>
        <w:bidi w:val="0"/>
        <w:snapToGrid w:val="0"/>
        <w:spacing w:before="100" w:beforeAutospacing="1" w:after="100" w:afterAutospacing="1" w:line="360" w:lineRule="exact"/>
        <w:textAlignment w:val="auto"/>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z w:val="21"/>
          <w:szCs w:val="21"/>
          <w:highlight w:val="none"/>
        </w:rPr>
        <w:t>法定代表人或委托代理人签字或签章</w:t>
      </w:r>
      <w:r>
        <w:rPr>
          <w:rFonts w:hint="eastAsia" w:ascii="宋体" w:hAnsi="宋体" w:eastAsia="宋体" w:cs="宋体"/>
          <w:color w:val="auto"/>
          <w:spacing w:val="20"/>
          <w:sz w:val="21"/>
          <w:szCs w:val="21"/>
          <w:highlight w:val="none"/>
        </w:rPr>
        <w:t>：</w:t>
      </w:r>
      <w:r>
        <w:rPr>
          <w:rFonts w:hint="eastAsia" w:ascii="宋体" w:hAnsi="宋体" w:eastAsia="宋体" w:cs="宋体"/>
          <w:color w:val="auto"/>
          <w:spacing w:val="20"/>
          <w:sz w:val="21"/>
          <w:szCs w:val="21"/>
          <w:highlight w:val="none"/>
          <w:u w:val="single"/>
        </w:rPr>
        <w:t xml:space="preserve">        </w:t>
      </w:r>
    </w:p>
    <w:p w14:paraId="4F249725">
      <w:pPr>
        <w:keepNext w:val="0"/>
        <w:keepLines w:val="0"/>
        <w:pageBreakBefore w:val="0"/>
        <w:widowControl w:val="0"/>
        <w:kinsoku w:val="0"/>
        <w:wordWrap/>
        <w:overflowPunct w:val="0"/>
        <w:topLinePunct w:val="0"/>
        <w:autoSpaceDE w:val="0"/>
        <w:autoSpaceDN w:val="0"/>
        <w:bidi w:val="0"/>
        <w:snapToGrid w:val="0"/>
        <w:spacing w:before="100" w:beforeAutospacing="1" w:after="100" w:afterAutospacing="1"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0"/>
          <w:sz w:val="21"/>
          <w:szCs w:val="21"/>
          <w:highlight w:val="none"/>
        </w:rPr>
        <w:t>投标人盖章：</w:t>
      </w:r>
      <w:r>
        <w:rPr>
          <w:rFonts w:hint="eastAsia" w:ascii="宋体" w:hAnsi="宋体" w:eastAsia="宋体" w:cs="宋体"/>
          <w:color w:val="auto"/>
          <w:spacing w:val="20"/>
          <w:sz w:val="21"/>
          <w:szCs w:val="21"/>
          <w:highlight w:val="none"/>
          <w:u w:val="single"/>
        </w:rPr>
        <w:t xml:space="preserve">            </w:t>
      </w:r>
      <w:r>
        <w:rPr>
          <w:rFonts w:hint="eastAsia" w:ascii="宋体" w:hAnsi="宋体" w:eastAsia="宋体" w:cs="宋体"/>
          <w:color w:val="auto"/>
          <w:spacing w:val="20"/>
          <w:sz w:val="21"/>
          <w:szCs w:val="21"/>
          <w:highlight w:val="none"/>
        </w:rPr>
        <w:t xml:space="preserve">            日 期：</w:t>
      </w:r>
      <w:r>
        <w:rPr>
          <w:rFonts w:hint="eastAsia" w:ascii="宋体" w:hAnsi="宋体" w:eastAsia="宋体" w:cs="宋体"/>
          <w:color w:val="auto"/>
          <w:spacing w:val="20"/>
          <w:sz w:val="21"/>
          <w:szCs w:val="21"/>
          <w:highlight w:val="none"/>
          <w:u w:val="single"/>
        </w:rPr>
        <w:t xml:space="preserve">            </w:t>
      </w:r>
    </w:p>
    <w:p w14:paraId="1E76758F">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left"/>
        <w:textAlignment w:val="auto"/>
        <w:rPr>
          <w:rFonts w:hint="eastAsia" w:ascii="宋体" w:hAnsi="宋体" w:eastAsia="宋体" w:cs="宋体"/>
          <w:color w:val="auto"/>
          <w:sz w:val="21"/>
          <w:szCs w:val="21"/>
          <w:highlight w:val="none"/>
        </w:rPr>
      </w:pPr>
    </w:p>
    <w:p w14:paraId="5EDA7E7E">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（7）投标人对本项目的合理化建议和改进措施（格式自拟）</w:t>
      </w:r>
    </w:p>
    <w:p w14:paraId="44CE8913">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（8）投标人需要说明的其他文件和说明（格式自拟）</w:t>
      </w:r>
    </w:p>
    <w:p w14:paraId="4F1C3B0C">
      <w:pPr>
        <w:keepNext w:val="0"/>
        <w:keepLines w:val="0"/>
        <w:pageBreakBefore w:val="0"/>
        <w:widowControl w:val="0"/>
        <w:kinsoku w:val="0"/>
        <w:wordWrap/>
        <w:overflowPunct w:val="0"/>
        <w:topLinePunct w:val="0"/>
        <w:autoSpaceDE w:val="0"/>
        <w:autoSpaceDN w:val="0"/>
        <w:bidi w:val="0"/>
        <w:snapToGrid w:val="0"/>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▲（9）招标项目采购需求中要求必须提供的材料。（招标项目采购需求中要求必须提供的材料，据实提供）</w:t>
      </w:r>
    </w:p>
    <w:p w14:paraId="55AAB812">
      <w:pPr>
        <w:keepNext w:val="0"/>
        <w:keepLines w:val="0"/>
        <w:pageBreakBefore w:val="0"/>
        <w:widowControl w:val="0"/>
        <w:kinsoku w:val="0"/>
        <w:wordWrap/>
        <w:overflowPunct w:val="0"/>
        <w:topLinePunct w:val="0"/>
        <w:autoSpaceDE w:val="0"/>
        <w:autoSpaceDN w:val="0"/>
        <w:bidi w:val="0"/>
        <w:snapToGrid w:val="0"/>
        <w:spacing w:before="50" w:line="360" w:lineRule="exact"/>
        <w:jc w:val="left"/>
        <w:textAlignment w:val="auto"/>
        <w:rPr>
          <w:rFonts w:hint="eastAsia" w:ascii="宋体" w:hAnsi="宋体" w:eastAsia="宋体" w:cs="宋体"/>
          <w:b/>
          <w:color w:val="auto"/>
          <w:sz w:val="21"/>
          <w:szCs w:val="21"/>
          <w:highlight w:val="none"/>
        </w:rPr>
      </w:pPr>
    </w:p>
    <w:p w14:paraId="778A91EE">
      <w:pPr>
        <w:keepNext w:val="0"/>
        <w:keepLines w:val="0"/>
        <w:pageBreakBefore w:val="0"/>
        <w:widowControl w:val="0"/>
        <w:kinsoku w:val="0"/>
        <w:wordWrap/>
        <w:overflowPunct w:val="0"/>
        <w:topLinePunct w:val="0"/>
        <w:autoSpaceDE w:val="0"/>
        <w:autoSpaceDN w:val="0"/>
        <w:bidi w:val="0"/>
        <w:snapToGrid w:val="0"/>
        <w:spacing w:before="50" w:line="360" w:lineRule="exact"/>
        <w:jc w:val="left"/>
        <w:textAlignment w:val="auto"/>
        <w:rPr>
          <w:rFonts w:hint="eastAsia" w:ascii="宋体" w:hAnsi="宋体" w:eastAsia="宋体" w:cs="宋体"/>
          <w:b/>
          <w:color w:val="auto"/>
          <w:sz w:val="21"/>
          <w:szCs w:val="21"/>
          <w:highlight w:val="none"/>
        </w:rPr>
      </w:pPr>
    </w:p>
    <w:p w14:paraId="0D4535A5">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四）报价文件部分 （格式）</w:t>
      </w:r>
    </w:p>
    <w:p w14:paraId="6E9C9BF8">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211" w:firstLineChars="1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（1）投标函格式：</w:t>
      </w:r>
    </w:p>
    <w:p w14:paraId="55B4B5FB">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jc w:val="center"/>
        <w:textAlignment w:val="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投 标 函</w:t>
      </w:r>
    </w:p>
    <w:p w14:paraId="76B856DF">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广西壮族自治区政府采购中心</w:t>
      </w:r>
      <w:r>
        <w:rPr>
          <w:rFonts w:hint="eastAsia" w:ascii="宋体" w:hAnsi="宋体" w:eastAsia="宋体" w:cs="宋体"/>
          <w:color w:val="auto"/>
          <w:sz w:val="21"/>
          <w:szCs w:val="21"/>
          <w:highlight w:val="none"/>
        </w:rPr>
        <w:t>：</w:t>
      </w:r>
    </w:p>
    <w:p w14:paraId="7D7A3C12">
      <w:pPr>
        <w:keepNext w:val="0"/>
        <w:keepLines w:val="0"/>
        <w:pageBreakBefore w:val="0"/>
        <w:widowControl w:val="0"/>
        <w:kinsoku w:val="0"/>
        <w:wordWrap/>
        <w:overflowPunct w:val="0"/>
        <w:topLinePunct w:val="0"/>
        <w:autoSpaceDE w:val="0"/>
        <w:autoSpaceDN w:val="0"/>
        <w:bidi w:val="0"/>
        <w:snapToGrid w:val="0"/>
        <w:spacing w:line="360" w:lineRule="exact"/>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根据贵方为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项目的招标公告（项目编号：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），签字代表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（全名）经正式授权并代表投标人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（投标人名称）上传并提交加密的电子投标文件一份。</w:t>
      </w:r>
    </w:p>
    <w:p w14:paraId="5B842AD4">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据此函，签字代表宣布同意如下：</w:t>
      </w:r>
    </w:p>
    <w:p w14:paraId="6D5FE3D9">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1.投标人已详细审查全部“招标文件”，包括修改文件（如有的话）以及全部参考资料和有关附件，已经了解我方对于招标文件、采购过程、采购结果有依法进行询问、质疑、投诉的权利及相关渠道和要求。</w:t>
      </w:r>
    </w:p>
    <w:p w14:paraId="4E744F01">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2.投标人在投标之前已经与贵方进行了充分的沟通，完全理解并接受招标文件的各项规定和要求，对招标文件的合理性、合法性不再有异议。</w:t>
      </w:r>
    </w:p>
    <w:p w14:paraId="27FD027E">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3.本投标有效期自开标日起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个</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日（自然日）。</w:t>
      </w:r>
    </w:p>
    <w:p w14:paraId="6F1E687D">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4.如中标，本投标文件至本项目合同履行完毕止均保持有效，本投标人将按“招标文件”及政府采购法律、法规的规定履行合同责任和义务。</w:t>
      </w:r>
    </w:p>
    <w:p w14:paraId="45465620">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5.投标人同意按照贵方要求提供与投标有关的一切数据或资料。</w:t>
      </w:r>
    </w:p>
    <w:p w14:paraId="236C0B80">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6.与本投标有关的一切正式往来信函请寄：</w:t>
      </w:r>
    </w:p>
    <w:p w14:paraId="18D9F7D1">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邮编：</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 xml:space="preserve"> 电话：</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传真：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w:t>
      </w:r>
    </w:p>
    <w:p w14:paraId="488E91FC">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投标人代表姓名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职务：</w:t>
      </w:r>
      <w:r>
        <w:rPr>
          <w:rFonts w:hint="eastAsia" w:ascii="宋体" w:hAnsi="宋体" w:eastAsia="宋体" w:cs="宋体"/>
          <w:color w:val="auto"/>
          <w:sz w:val="21"/>
          <w:szCs w:val="21"/>
          <w:highlight w:val="none"/>
          <w:u w:val="single"/>
          <w:lang w:val="en-US" w:eastAsia="zh-CN"/>
        </w:rPr>
        <w:t xml:space="preserve">                       </w:t>
      </w:r>
    </w:p>
    <w:p w14:paraId="66977315">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投标人名称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w:t>
      </w:r>
    </w:p>
    <w:p w14:paraId="046B0F41">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银行账号：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69AEE352">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法定代表人或委托代理人签字或签章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日期: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14:paraId="508E6297">
      <w:pPr>
        <w:pStyle w:val="14"/>
        <w:keepNext w:val="0"/>
        <w:keepLines w:val="0"/>
        <w:pageBreakBefore w:val="0"/>
        <w:widowControl w:val="0"/>
        <w:kinsoku w:val="0"/>
        <w:wordWrap/>
        <w:overflowPunct w:val="0"/>
        <w:topLinePunct w:val="0"/>
        <w:autoSpaceDE w:val="0"/>
        <w:autoSpaceDN w:val="0"/>
        <w:bidi w:val="0"/>
        <w:snapToGrid w:val="0"/>
        <w:spacing w:line="360" w:lineRule="exact"/>
        <w:ind w:firstLine="5670" w:firstLineChars="2700"/>
        <w:textAlignment w:val="auto"/>
        <w:rPr>
          <w:rFonts w:hint="eastAsia" w:ascii="宋体" w:hAnsi="宋体" w:eastAsia="宋体" w:cs="宋体"/>
          <w:color w:val="auto"/>
          <w:sz w:val="21"/>
          <w:szCs w:val="21"/>
          <w:highlight w:val="none"/>
        </w:rPr>
      </w:pPr>
    </w:p>
    <w:p w14:paraId="12ABC02E">
      <w:pPr>
        <w:pStyle w:val="14"/>
        <w:keepNext w:val="0"/>
        <w:keepLines w:val="0"/>
        <w:pageBreakBefore w:val="0"/>
        <w:widowControl w:val="0"/>
        <w:kinsoku w:val="0"/>
        <w:wordWrap/>
        <w:overflowPunct w:val="0"/>
        <w:topLinePunct w:val="0"/>
        <w:autoSpaceDE w:val="0"/>
        <w:autoSpaceDN w:val="0"/>
        <w:bidi w:val="0"/>
        <w:snapToGrid w:val="0"/>
        <w:spacing w:line="360" w:lineRule="exact"/>
        <w:ind w:firstLine="5670" w:firstLineChars="2700"/>
        <w:textAlignment w:val="auto"/>
        <w:rPr>
          <w:rFonts w:hint="eastAsia" w:ascii="宋体" w:hAnsi="宋体" w:eastAsia="宋体" w:cs="宋体"/>
          <w:color w:val="auto"/>
          <w:sz w:val="21"/>
          <w:szCs w:val="21"/>
          <w:highlight w:val="none"/>
        </w:rPr>
      </w:pPr>
    </w:p>
    <w:p w14:paraId="4B151190">
      <w:pPr>
        <w:pStyle w:val="14"/>
        <w:keepNext w:val="0"/>
        <w:keepLines w:val="0"/>
        <w:pageBreakBefore w:val="0"/>
        <w:widowControl w:val="0"/>
        <w:kinsoku w:val="0"/>
        <w:wordWrap/>
        <w:overflowPunct w:val="0"/>
        <w:topLinePunct w:val="0"/>
        <w:autoSpaceDE w:val="0"/>
        <w:autoSpaceDN w:val="0"/>
        <w:bidi w:val="0"/>
        <w:snapToGrid w:val="0"/>
        <w:spacing w:line="360" w:lineRule="exact"/>
        <w:ind w:firstLine="5880" w:firstLineChars="28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(公章)</w:t>
      </w:r>
    </w:p>
    <w:p w14:paraId="2387C44C">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5880" w:firstLineChars="28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14:paraId="6E586DA6">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textAlignment w:val="auto"/>
        <w:rPr>
          <w:rFonts w:hint="eastAsia" w:ascii="宋体" w:hAnsi="宋体" w:eastAsia="宋体" w:cs="宋体"/>
          <w:b/>
          <w:color w:val="auto"/>
          <w:sz w:val="21"/>
          <w:szCs w:val="21"/>
          <w:highlight w:val="none"/>
        </w:rPr>
      </w:pPr>
    </w:p>
    <w:p w14:paraId="084FF2B6">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textAlignment w:val="auto"/>
        <w:rPr>
          <w:rFonts w:hint="eastAsia" w:ascii="宋体" w:hAnsi="宋体" w:eastAsia="宋体" w:cs="宋体"/>
          <w:b/>
          <w:color w:val="auto"/>
          <w:sz w:val="21"/>
          <w:szCs w:val="21"/>
          <w:highlight w:val="none"/>
        </w:rPr>
      </w:pPr>
    </w:p>
    <w:p w14:paraId="32DD13F1">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（2）投标报价明细表格式</w:t>
      </w:r>
    </w:p>
    <w:p w14:paraId="03770229">
      <w:pPr>
        <w:pStyle w:val="14"/>
        <w:keepNext w:val="0"/>
        <w:keepLines w:val="0"/>
        <w:pageBreakBefore w:val="0"/>
        <w:widowControl w:val="0"/>
        <w:kinsoku w:val="0"/>
        <w:wordWrap/>
        <w:overflowPunct w:val="0"/>
        <w:topLinePunct w:val="0"/>
        <w:autoSpaceDE w:val="0"/>
        <w:autoSpaceDN w:val="0"/>
        <w:bidi w:val="0"/>
        <w:snapToGrid w:val="0"/>
        <w:spacing w:line="3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30"/>
          <w:szCs w:val="30"/>
          <w:highlight w:val="none"/>
        </w:rPr>
        <w:t>投标报价明细表</w:t>
      </w:r>
    </w:p>
    <w:p w14:paraId="1F6E4954">
      <w:pPr>
        <w:pStyle w:val="14"/>
        <w:keepNext w:val="0"/>
        <w:keepLines w:val="0"/>
        <w:pageBreakBefore w:val="0"/>
        <w:widowControl w:val="0"/>
        <w:kinsoku w:val="0"/>
        <w:wordWrap/>
        <w:overflowPunct w:val="0"/>
        <w:topLinePunct w:val="0"/>
        <w:autoSpaceDE w:val="0"/>
        <w:autoSpaceDN w:val="0"/>
        <w:bidi w:val="0"/>
        <w:snapToGrid w:val="0"/>
        <w:spacing w:line="360" w:lineRule="exact"/>
        <w:ind w:firstLine="105" w:firstLineChars="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金额单位：人民币（元）</w:t>
      </w:r>
    </w:p>
    <w:tbl>
      <w:tblPr>
        <w:tblStyle w:val="20"/>
        <w:tblW w:w="9934" w:type="dxa"/>
        <w:tblInd w:w="-7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89"/>
        <w:gridCol w:w="1515"/>
        <w:gridCol w:w="765"/>
        <w:gridCol w:w="1125"/>
        <w:gridCol w:w="1275"/>
        <w:gridCol w:w="1800"/>
        <w:gridCol w:w="900"/>
        <w:gridCol w:w="1965"/>
      </w:tblGrid>
      <w:tr w14:paraId="3BC63D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89" w:type="dxa"/>
            <w:tcBorders>
              <w:top w:val="single" w:color="auto" w:sz="4" w:space="0"/>
              <w:left w:val="single" w:color="auto" w:sz="4" w:space="0"/>
              <w:bottom w:val="single" w:color="auto" w:sz="4" w:space="0"/>
              <w:right w:val="single" w:color="auto" w:sz="4" w:space="0"/>
            </w:tcBorders>
            <w:vAlign w:val="center"/>
          </w:tcPr>
          <w:p w14:paraId="1556E5B2">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r>
              <w:rPr>
                <w:rFonts w:hint="eastAsia" w:ascii="宋体" w:hAnsi="宋体" w:eastAsia="宋体" w:cs="宋体"/>
                <w:color w:val="auto"/>
                <w:sz w:val="21"/>
                <w:szCs w:val="21"/>
                <w:highlight w:val="none"/>
              </w:rPr>
              <w:t>序号</w:t>
            </w:r>
          </w:p>
        </w:tc>
        <w:tc>
          <w:tcPr>
            <w:tcW w:w="1515" w:type="dxa"/>
            <w:tcBorders>
              <w:top w:val="single" w:color="auto" w:sz="4" w:space="0"/>
              <w:left w:val="single" w:color="auto" w:sz="4" w:space="0"/>
              <w:bottom w:val="single" w:color="auto" w:sz="4" w:space="0"/>
              <w:right w:val="single" w:color="auto" w:sz="4" w:space="0"/>
            </w:tcBorders>
            <w:vAlign w:val="center"/>
          </w:tcPr>
          <w:p w14:paraId="151343E3">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设备名称</w:t>
            </w:r>
          </w:p>
        </w:tc>
        <w:tc>
          <w:tcPr>
            <w:tcW w:w="765" w:type="dxa"/>
            <w:tcBorders>
              <w:top w:val="single" w:color="auto" w:sz="4" w:space="0"/>
              <w:left w:val="single" w:color="auto" w:sz="4" w:space="0"/>
              <w:bottom w:val="single" w:color="auto" w:sz="4" w:space="0"/>
              <w:right w:val="single" w:color="auto" w:sz="4" w:space="0"/>
            </w:tcBorders>
            <w:vAlign w:val="center"/>
          </w:tcPr>
          <w:p w14:paraId="2F1C6431">
            <w:pPr>
              <w:pStyle w:val="35"/>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rPr>
              <w:t>品牌</w:t>
            </w:r>
          </w:p>
        </w:tc>
        <w:tc>
          <w:tcPr>
            <w:tcW w:w="1125" w:type="dxa"/>
            <w:tcBorders>
              <w:top w:val="single" w:color="auto" w:sz="4" w:space="0"/>
              <w:left w:val="single" w:color="auto" w:sz="4" w:space="0"/>
              <w:bottom w:val="single" w:color="auto" w:sz="4" w:space="0"/>
              <w:right w:val="single" w:color="auto" w:sz="4" w:space="0"/>
            </w:tcBorders>
            <w:vAlign w:val="center"/>
          </w:tcPr>
          <w:p w14:paraId="26D41CDD">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规格型号</w:t>
            </w:r>
          </w:p>
        </w:tc>
        <w:tc>
          <w:tcPr>
            <w:tcW w:w="1275" w:type="dxa"/>
            <w:tcBorders>
              <w:top w:val="single" w:color="auto" w:sz="4" w:space="0"/>
              <w:left w:val="single" w:color="auto" w:sz="4" w:space="0"/>
              <w:bottom w:val="single" w:color="auto" w:sz="4" w:space="0"/>
              <w:right w:val="single" w:color="auto" w:sz="4" w:space="0"/>
            </w:tcBorders>
            <w:vAlign w:val="center"/>
          </w:tcPr>
          <w:p w14:paraId="3100021F">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生产厂家</w:t>
            </w:r>
          </w:p>
        </w:tc>
        <w:tc>
          <w:tcPr>
            <w:tcW w:w="1800" w:type="dxa"/>
            <w:tcBorders>
              <w:top w:val="single" w:color="auto" w:sz="4" w:space="0"/>
              <w:left w:val="single" w:color="auto" w:sz="4" w:space="0"/>
              <w:bottom w:val="single" w:color="auto" w:sz="4" w:space="0"/>
              <w:right w:val="single" w:color="auto" w:sz="4" w:space="0"/>
            </w:tcBorders>
            <w:vAlign w:val="center"/>
          </w:tcPr>
          <w:p w14:paraId="2BAD6BA2">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单位及数量</w:t>
            </w:r>
          </w:p>
        </w:tc>
        <w:tc>
          <w:tcPr>
            <w:tcW w:w="900" w:type="dxa"/>
            <w:tcBorders>
              <w:top w:val="single" w:color="auto" w:sz="4" w:space="0"/>
              <w:left w:val="single" w:color="auto" w:sz="4" w:space="0"/>
              <w:bottom w:val="single" w:color="auto" w:sz="4" w:space="0"/>
              <w:right w:val="single" w:color="auto" w:sz="4" w:space="0"/>
            </w:tcBorders>
            <w:vAlign w:val="center"/>
          </w:tcPr>
          <w:p w14:paraId="1A24A78C">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p>
        </w:tc>
        <w:tc>
          <w:tcPr>
            <w:tcW w:w="1965" w:type="dxa"/>
            <w:tcBorders>
              <w:top w:val="single" w:color="auto" w:sz="4" w:space="0"/>
              <w:left w:val="single" w:color="auto" w:sz="4" w:space="0"/>
              <w:bottom w:val="single" w:color="auto" w:sz="4" w:space="0"/>
              <w:right w:val="single" w:color="auto" w:sz="4" w:space="0"/>
            </w:tcBorders>
            <w:vAlign w:val="center"/>
          </w:tcPr>
          <w:p w14:paraId="26C34972">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金额</w:t>
            </w:r>
          </w:p>
        </w:tc>
      </w:tr>
      <w:tr w14:paraId="579B5A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89" w:type="dxa"/>
            <w:tcBorders>
              <w:top w:val="single" w:color="auto" w:sz="4" w:space="0"/>
              <w:left w:val="single" w:color="auto" w:sz="4" w:space="0"/>
              <w:bottom w:val="single" w:color="auto" w:sz="4" w:space="0"/>
              <w:right w:val="single" w:color="auto" w:sz="4" w:space="0"/>
            </w:tcBorders>
          </w:tcPr>
          <w:p w14:paraId="16A5ABEA">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515" w:type="dxa"/>
            <w:tcBorders>
              <w:top w:val="single" w:color="auto" w:sz="4" w:space="0"/>
              <w:left w:val="single" w:color="auto" w:sz="4" w:space="0"/>
              <w:bottom w:val="single" w:color="auto" w:sz="4" w:space="0"/>
              <w:right w:val="single" w:color="auto" w:sz="4" w:space="0"/>
            </w:tcBorders>
          </w:tcPr>
          <w:p w14:paraId="492BEC29">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765" w:type="dxa"/>
            <w:tcBorders>
              <w:top w:val="single" w:color="auto" w:sz="4" w:space="0"/>
              <w:left w:val="single" w:color="auto" w:sz="4" w:space="0"/>
              <w:bottom w:val="single" w:color="auto" w:sz="4" w:space="0"/>
              <w:right w:val="single" w:color="auto" w:sz="4" w:space="0"/>
            </w:tcBorders>
          </w:tcPr>
          <w:p w14:paraId="1EE0D1F3">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125" w:type="dxa"/>
            <w:tcBorders>
              <w:top w:val="single" w:color="auto" w:sz="4" w:space="0"/>
              <w:left w:val="single" w:color="auto" w:sz="4" w:space="0"/>
              <w:bottom w:val="single" w:color="auto" w:sz="4" w:space="0"/>
              <w:right w:val="single" w:color="auto" w:sz="4" w:space="0"/>
            </w:tcBorders>
          </w:tcPr>
          <w:p w14:paraId="7F455DE3">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7E522917">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800" w:type="dxa"/>
            <w:tcBorders>
              <w:top w:val="single" w:color="auto" w:sz="4" w:space="0"/>
              <w:left w:val="single" w:color="auto" w:sz="4" w:space="0"/>
              <w:bottom w:val="single" w:color="auto" w:sz="4" w:space="0"/>
              <w:right w:val="single" w:color="auto" w:sz="4" w:space="0"/>
            </w:tcBorders>
          </w:tcPr>
          <w:p w14:paraId="0F694C76">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2D690AFE">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965" w:type="dxa"/>
            <w:tcBorders>
              <w:top w:val="single" w:color="auto" w:sz="4" w:space="0"/>
              <w:left w:val="single" w:color="auto" w:sz="4" w:space="0"/>
              <w:bottom w:val="single" w:color="auto" w:sz="4" w:space="0"/>
              <w:right w:val="single" w:color="auto" w:sz="4" w:space="0"/>
            </w:tcBorders>
          </w:tcPr>
          <w:p w14:paraId="339DDB1D">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r>
      <w:tr w14:paraId="7626A4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89" w:type="dxa"/>
            <w:tcBorders>
              <w:top w:val="single" w:color="auto" w:sz="4" w:space="0"/>
              <w:left w:val="single" w:color="auto" w:sz="4" w:space="0"/>
              <w:bottom w:val="single" w:color="auto" w:sz="4" w:space="0"/>
              <w:right w:val="single" w:color="auto" w:sz="4" w:space="0"/>
            </w:tcBorders>
          </w:tcPr>
          <w:p w14:paraId="6FDBE3FC">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515" w:type="dxa"/>
            <w:tcBorders>
              <w:top w:val="single" w:color="auto" w:sz="4" w:space="0"/>
              <w:left w:val="single" w:color="auto" w:sz="4" w:space="0"/>
              <w:bottom w:val="single" w:color="auto" w:sz="4" w:space="0"/>
              <w:right w:val="single" w:color="auto" w:sz="4" w:space="0"/>
            </w:tcBorders>
          </w:tcPr>
          <w:p w14:paraId="5DA1753F">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765" w:type="dxa"/>
            <w:tcBorders>
              <w:top w:val="single" w:color="auto" w:sz="4" w:space="0"/>
              <w:left w:val="single" w:color="auto" w:sz="4" w:space="0"/>
              <w:bottom w:val="single" w:color="auto" w:sz="4" w:space="0"/>
              <w:right w:val="single" w:color="auto" w:sz="4" w:space="0"/>
            </w:tcBorders>
          </w:tcPr>
          <w:p w14:paraId="788F68DD">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125" w:type="dxa"/>
            <w:tcBorders>
              <w:top w:val="single" w:color="auto" w:sz="4" w:space="0"/>
              <w:left w:val="single" w:color="auto" w:sz="4" w:space="0"/>
              <w:bottom w:val="single" w:color="auto" w:sz="4" w:space="0"/>
              <w:right w:val="single" w:color="auto" w:sz="4" w:space="0"/>
            </w:tcBorders>
          </w:tcPr>
          <w:p w14:paraId="6BB34BAE">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38146885">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800" w:type="dxa"/>
            <w:tcBorders>
              <w:top w:val="single" w:color="auto" w:sz="4" w:space="0"/>
              <w:left w:val="single" w:color="auto" w:sz="4" w:space="0"/>
              <w:bottom w:val="single" w:color="auto" w:sz="4" w:space="0"/>
              <w:right w:val="single" w:color="auto" w:sz="4" w:space="0"/>
            </w:tcBorders>
          </w:tcPr>
          <w:p w14:paraId="6C1793A4">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10193594">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965" w:type="dxa"/>
            <w:tcBorders>
              <w:top w:val="single" w:color="auto" w:sz="4" w:space="0"/>
              <w:left w:val="single" w:color="auto" w:sz="4" w:space="0"/>
              <w:bottom w:val="single" w:color="auto" w:sz="4" w:space="0"/>
              <w:right w:val="single" w:color="auto" w:sz="4" w:space="0"/>
            </w:tcBorders>
          </w:tcPr>
          <w:p w14:paraId="30B5FD48">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r>
      <w:tr w14:paraId="4FDD09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89" w:type="dxa"/>
            <w:tcBorders>
              <w:top w:val="single" w:color="auto" w:sz="4" w:space="0"/>
              <w:left w:val="single" w:color="auto" w:sz="4" w:space="0"/>
              <w:bottom w:val="single" w:color="auto" w:sz="4" w:space="0"/>
              <w:right w:val="single" w:color="auto" w:sz="4" w:space="0"/>
            </w:tcBorders>
          </w:tcPr>
          <w:p w14:paraId="505ADE71">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r>
              <w:rPr>
                <w:rFonts w:hint="eastAsia" w:ascii="宋体" w:hAnsi="宋体" w:eastAsia="宋体" w:cs="宋体"/>
                <w:color w:val="auto"/>
                <w:spacing w:val="20"/>
                <w:sz w:val="21"/>
                <w:szCs w:val="21"/>
                <w:highlight w:val="none"/>
              </w:rPr>
              <w:t>…</w:t>
            </w:r>
          </w:p>
        </w:tc>
        <w:tc>
          <w:tcPr>
            <w:tcW w:w="1515" w:type="dxa"/>
            <w:tcBorders>
              <w:top w:val="single" w:color="auto" w:sz="4" w:space="0"/>
              <w:left w:val="single" w:color="auto" w:sz="4" w:space="0"/>
              <w:bottom w:val="single" w:color="auto" w:sz="4" w:space="0"/>
              <w:right w:val="single" w:color="auto" w:sz="4" w:space="0"/>
            </w:tcBorders>
          </w:tcPr>
          <w:p w14:paraId="7627B6CA">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r>
              <w:rPr>
                <w:rFonts w:hint="eastAsia" w:ascii="宋体" w:hAnsi="宋体" w:eastAsia="宋体" w:cs="宋体"/>
                <w:color w:val="auto"/>
                <w:spacing w:val="20"/>
                <w:sz w:val="21"/>
                <w:szCs w:val="21"/>
                <w:highlight w:val="none"/>
              </w:rPr>
              <w:t>……</w:t>
            </w:r>
          </w:p>
        </w:tc>
        <w:tc>
          <w:tcPr>
            <w:tcW w:w="765" w:type="dxa"/>
            <w:tcBorders>
              <w:top w:val="single" w:color="auto" w:sz="4" w:space="0"/>
              <w:left w:val="single" w:color="auto" w:sz="4" w:space="0"/>
              <w:bottom w:val="single" w:color="auto" w:sz="4" w:space="0"/>
              <w:right w:val="single" w:color="auto" w:sz="4" w:space="0"/>
            </w:tcBorders>
          </w:tcPr>
          <w:p w14:paraId="7DAE413F">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125" w:type="dxa"/>
            <w:tcBorders>
              <w:top w:val="single" w:color="auto" w:sz="4" w:space="0"/>
              <w:left w:val="single" w:color="auto" w:sz="4" w:space="0"/>
              <w:bottom w:val="single" w:color="auto" w:sz="4" w:space="0"/>
              <w:right w:val="single" w:color="auto" w:sz="4" w:space="0"/>
            </w:tcBorders>
          </w:tcPr>
          <w:p w14:paraId="1A8C8CE6">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14:paraId="27FC24C0">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800" w:type="dxa"/>
            <w:tcBorders>
              <w:top w:val="single" w:color="auto" w:sz="4" w:space="0"/>
              <w:left w:val="single" w:color="auto" w:sz="4" w:space="0"/>
              <w:bottom w:val="single" w:color="auto" w:sz="4" w:space="0"/>
              <w:right w:val="single" w:color="auto" w:sz="4" w:space="0"/>
            </w:tcBorders>
          </w:tcPr>
          <w:p w14:paraId="3286C1FD">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1C11BB4D">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965" w:type="dxa"/>
            <w:tcBorders>
              <w:top w:val="single" w:color="auto" w:sz="4" w:space="0"/>
              <w:left w:val="single" w:color="auto" w:sz="4" w:space="0"/>
              <w:bottom w:val="single" w:color="auto" w:sz="4" w:space="0"/>
              <w:right w:val="single" w:color="auto" w:sz="4" w:space="0"/>
            </w:tcBorders>
          </w:tcPr>
          <w:p w14:paraId="2B72613A">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r>
      <w:tr w14:paraId="6C21F9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69" w:type="dxa"/>
            <w:gridSpan w:val="7"/>
            <w:tcBorders>
              <w:top w:val="single" w:color="auto" w:sz="4" w:space="0"/>
              <w:left w:val="single" w:color="auto" w:sz="4" w:space="0"/>
              <w:bottom w:val="single" w:color="auto" w:sz="4" w:space="0"/>
              <w:right w:val="single" w:color="auto" w:sz="4" w:space="0"/>
            </w:tcBorders>
            <w:vAlign w:val="center"/>
          </w:tcPr>
          <w:p w14:paraId="7A86C955">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textAlignment w:val="auto"/>
              <w:rPr>
                <w:rFonts w:hint="eastAsia" w:ascii="宋体" w:hAnsi="宋体" w:eastAsia="宋体" w:cs="宋体"/>
                <w:color w:val="auto"/>
                <w:spacing w:val="20"/>
                <w:sz w:val="21"/>
                <w:szCs w:val="21"/>
                <w:highlight w:val="none"/>
                <w:u w:val="single"/>
                <w:lang w:val="en-US" w:eastAsia="zh-CN"/>
              </w:rPr>
            </w:pPr>
            <w:r>
              <w:rPr>
                <w:rFonts w:hint="eastAsia" w:ascii="宋体" w:hAnsi="宋体" w:eastAsia="宋体" w:cs="宋体"/>
                <w:color w:val="auto"/>
                <w:sz w:val="21"/>
                <w:szCs w:val="21"/>
                <w:highlight w:val="none"/>
              </w:rPr>
              <w:t>合计金额大写：</w:t>
            </w:r>
            <w:r>
              <w:rPr>
                <w:rFonts w:hint="eastAsia" w:ascii="宋体" w:hAnsi="宋体" w:eastAsia="宋体" w:cs="宋体"/>
                <w:color w:val="auto"/>
                <w:sz w:val="21"/>
                <w:szCs w:val="21"/>
                <w:highlight w:val="none"/>
                <w:u w:val="single"/>
                <w:lang w:val="en-US" w:eastAsia="zh-CN"/>
              </w:rPr>
              <w:t xml:space="preserve">               </w:t>
            </w:r>
          </w:p>
        </w:tc>
        <w:tc>
          <w:tcPr>
            <w:tcW w:w="1965" w:type="dxa"/>
            <w:tcBorders>
              <w:top w:val="single" w:color="auto" w:sz="4" w:space="0"/>
              <w:left w:val="single" w:color="auto" w:sz="4" w:space="0"/>
              <w:bottom w:val="single" w:color="auto" w:sz="4" w:space="0"/>
              <w:right w:val="single" w:color="auto" w:sz="4" w:space="0"/>
            </w:tcBorders>
            <w:vAlign w:val="center"/>
          </w:tcPr>
          <w:p w14:paraId="2DC33BBB">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textAlignment w:val="auto"/>
              <w:rPr>
                <w:rFonts w:hint="eastAsia" w:ascii="宋体" w:hAnsi="宋体" w:eastAsia="宋体" w:cs="宋体"/>
                <w:color w:val="auto"/>
                <w:spacing w:val="20"/>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tc>
      </w:tr>
    </w:tbl>
    <w:p w14:paraId="1BCD5AD4">
      <w:pPr>
        <w:keepNext w:val="0"/>
        <w:keepLines w:val="0"/>
        <w:pageBreakBefore w:val="0"/>
        <w:widowControl w:val="0"/>
        <w:tabs>
          <w:tab w:val="left" w:pos="1418"/>
        </w:tabs>
        <w:kinsoku w:val="0"/>
        <w:wordWrap/>
        <w:overflowPunct w:val="0"/>
        <w:topLinePunct w:val="0"/>
        <w:autoSpaceDE w:val="0"/>
        <w:autoSpaceDN w:val="0"/>
        <w:bidi w:val="0"/>
        <w:snapToGrid w:val="0"/>
        <w:spacing w:line="360" w:lineRule="exact"/>
        <w:ind w:left="1418" w:hanging="567"/>
        <w:jc w:val="center"/>
        <w:textAlignment w:val="auto"/>
        <w:rPr>
          <w:rFonts w:hint="eastAsia" w:ascii="宋体" w:hAnsi="宋体" w:eastAsia="宋体" w:cs="宋体"/>
          <w:color w:val="auto"/>
          <w:spacing w:val="20"/>
          <w:sz w:val="21"/>
          <w:szCs w:val="21"/>
          <w:highlight w:val="none"/>
          <w:u w:val="single"/>
        </w:rPr>
      </w:pPr>
    </w:p>
    <w:p w14:paraId="0D9A86DC">
      <w:pPr>
        <w:keepNext w:val="0"/>
        <w:keepLines w:val="0"/>
        <w:pageBreakBefore w:val="0"/>
        <w:widowControl w:val="0"/>
        <w:kinsoku w:val="0"/>
        <w:wordWrap/>
        <w:overflowPunct w:val="0"/>
        <w:topLinePunct w:val="0"/>
        <w:autoSpaceDE w:val="0"/>
        <w:autoSpaceDN w:val="0"/>
        <w:bidi w:val="0"/>
        <w:snapToGrid w:val="0"/>
        <w:spacing w:line="360" w:lineRule="exact"/>
        <w:jc w:val="left"/>
        <w:textAlignment w:val="auto"/>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z w:val="21"/>
          <w:szCs w:val="21"/>
          <w:highlight w:val="none"/>
        </w:rPr>
        <w:t>法定代表人或委托代理人签字或签章</w:t>
      </w:r>
      <w:r>
        <w:rPr>
          <w:rFonts w:hint="eastAsia" w:ascii="宋体" w:hAnsi="宋体" w:eastAsia="宋体" w:cs="宋体"/>
          <w:color w:val="auto"/>
          <w:spacing w:val="20"/>
          <w:sz w:val="21"/>
          <w:szCs w:val="21"/>
          <w:highlight w:val="none"/>
        </w:rPr>
        <w:t>：</w:t>
      </w:r>
      <w:r>
        <w:rPr>
          <w:rFonts w:hint="eastAsia" w:ascii="宋体" w:hAnsi="宋体" w:eastAsia="宋体" w:cs="宋体"/>
          <w:color w:val="auto"/>
          <w:spacing w:val="20"/>
          <w:sz w:val="21"/>
          <w:szCs w:val="21"/>
          <w:highlight w:val="none"/>
          <w:u w:val="single"/>
        </w:rPr>
        <w:t xml:space="preserve">          </w:t>
      </w:r>
    </w:p>
    <w:p w14:paraId="1780C4B9">
      <w:pPr>
        <w:keepNext w:val="0"/>
        <w:keepLines w:val="0"/>
        <w:pageBreakBefore w:val="0"/>
        <w:widowControl w:val="0"/>
        <w:kinsoku w:val="0"/>
        <w:wordWrap/>
        <w:overflowPunct w:val="0"/>
        <w:topLinePunct w:val="0"/>
        <w:autoSpaceDE w:val="0"/>
        <w:autoSpaceDN w:val="0"/>
        <w:bidi w:val="0"/>
        <w:snapToGrid w:val="0"/>
        <w:spacing w:line="360" w:lineRule="exact"/>
        <w:jc w:val="left"/>
        <w:textAlignment w:val="auto"/>
        <w:rPr>
          <w:rFonts w:hint="eastAsia" w:ascii="宋体" w:hAnsi="宋体" w:eastAsia="宋体" w:cs="宋体"/>
          <w:color w:val="auto"/>
          <w:spacing w:val="20"/>
          <w:sz w:val="21"/>
          <w:szCs w:val="21"/>
          <w:highlight w:val="none"/>
          <w:u w:val="single"/>
        </w:rPr>
      </w:pPr>
    </w:p>
    <w:p w14:paraId="3DE2BC99">
      <w:pPr>
        <w:keepNext w:val="0"/>
        <w:keepLines w:val="0"/>
        <w:pageBreakBefore w:val="0"/>
        <w:widowControl w:val="0"/>
        <w:kinsoku w:val="0"/>
        <w:wordWrap/>
        <w:overflowPunct w:val="0"/>
        <w:topLinePunct w:val="0"/>
        <w:autoSpaceDE w:val="0"/>
        <w:autoSpaceDN w:val="0"/>
        <w:bidi w:val="0"/>
        <w:snapToGrid w:val="0"/>
        <w:spacing w:line="360" w:lineRule="exact"/>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投标人盖章：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日  期：</w:t>
      </w:r>
      <w:r>
        <w:rPr>
          <w:rFonts w:hint="eastAsia" w:ascii="宋体" w:hAnsi="宋体" w:eastAsia="宋体" w:cs="宋体"/>
          <w:color w:val="auto"/>
          <w:sz w:val="21"/>
          <w:szCs w:val="21"/>
          <w:highlight w:val="none"/>
          <w:u w:val="single"/>
        </w:rPr>
        <w:t xml:space="preserve">         </w:t>
      </w:r>
    </w:p>
    <w:p w14:paraId="4013954B">
      <w:pPr>
        <w:keepNext w:val="0"/>
        <w:keepLines w:val="0"/>
        <w:pageBreakBefore w:val="0"/>
        <w:widowControl w:val="0"/>
        <w:kinsoku w:val="0"/>
        <w:wordWrap/>
        <w:overflowPunct w:val="0"/>
        <w:topLinePunct w:val="0"/>
        <w:autoSpaceDE w:val="0"/>
        <w:autoSpaceDN w:val="0"/>
        <w:bidi w:val="0"/>
        <w:snapToGrid w:val="0"/>
        <w:spacing w:line="360" w:lineRule="exact"/>
        <w:jc w:val="left"/>
        <w:textAlignment w:val="auto"/>
        <w:rPr>
          <w:rFonts w:hint="eastAsia" w:ascii="宋体" w:hAnsi="宋体" w:eastAsia="宋体" w:cs="宋体"/>
          <w:b/>
          <w:color w:val="auto"/>
          <w:sz w:val="21"/>
          <w:szCs w:val="21"/>
          <w:highlight w:val="none"/>
        </w:rPr>
      </w:pPr>
    </w:p>
    <w:p w14:paraId="40581623">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color w:val="auto"/>
          <w:sz w:val="21"/>
          <w:szCs w:val="21"/>
          <w:highlight w:val="none"/>
        </w:rPr>
        <w:t>投标人针对报价需要说明的其他文件和说明（格式自拟）</w:t>
      </w:r>
    </w:p>
    <w:p w14:paraId="3FDD7119">
      <w:pPr>
        <w:keepNext w:val="0"/>
        <w:keepLines w:val="0"/>
        <w:pageBreakBefore w:val="0"/>
        <w:widowControl w:val="0"/>
        <w:kinsoku w:val="0"/>
        <w:wordWrap/>
        <w:overflowPunct w:val="0"/>
        <w:topLinePunct w:val="0"/>
        <w:autoSpaceDE w:val="0"/>
        <w:autoSpaceDN w:val="0"/>
        <w:bidi w:val="0"/>
        <w:snapToGrid w:val="0"/>
        <w:spacing w:line="360" w:lineRule="exact"/>
        <w:ind w:firstLine="422" w:firstLineChars="200"/>
        <w:textAlignment w:val="auto"/>
        <w:rPr>
          <w:rFonts w:hint="eastAsia" w:ascii="宋体" w:hAnsi="宋体" w:eastAsia="宋体" w:cs="宋体"/>
          <w:b/>
          <w:color w:val="auto"/>
          <w:sz w:val="21"/>
          <w:szCs w:val="21"/>
          <w:highlight w:val="none"/>
        </w:rPr>
      </w:pPr>
    </w:p>
    <w:p w14:paraId="6B981098">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（4）开标一览表</w:t>
      </w:r>
    </w:p>
    <w:p w14:paraId="44445B62">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30"/>
          <w:szCs w:val="30"/>
          <w:highlight w:val="none"/>
        </w:rPr>
        <w:t>开标一览表</w:t>
      </w:r>
    </w:p>
    <w:p w14:paraId="4EF2D4C1">
      <w:pPr>
        <w:keepNext w:val="0"/>
        <w:keepLines w:val="0"/>
        <w:pageBreakBefore w:val="0"/>
        <w:widowControl w:val="0"/>
        <w:kinsoku w:val="0"/>
        <w:wordWrap/>
        <w:overflowPunct w:val="0"/>
        <w:topLinePunct w:val="0"/>
        <w:autoSpaceDE w:val="0"/>
        <w:autoSpaceDN w:val="0"/>
        <w:bidi w:val="0"/>
        <w:snapToGrid w:val="0"/>
        <w:spacing w:line="360" w:lineRule="exact"/>
        <w:jc w:val="left"/>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u w:val="single"/>
          <w:lang w:val="en-US" w:eastAsia="zh-CN"/>
        </w:rPr>
        <w:t xml:space="preserve">        </w:t>
      </w:r>
    </w:p>
    <w:p w14:paraId="68931322">
      <w:pPr>
        <w:keepNext w:val="0"/>
        <w:keepLines w:val="0"/>
        <w:pageBreakBefore w:val="0"/>
        <w:widowControl w:val="0"/>
        <w:kinsoku w:val="0"/>
        <w:wordWrap/>
        <w:overflowPunct w:val="0"/>
        <w:topLinePunct w:val="0"/>
        <w:autoSpaceDE w:val="0"/>
        <w:autoSpaceDN w:val="0"/>
        <w:bidi w:val="0"/>
        <w:snapToGrid w:val="0"/>
        <w:spacing w:line="36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4147BB0C">
      <w:pPr>
        <w:keepNext w:val="0"/>
        <w:keepLines w:val="0"/>
        <w:pageBreakBefore w:val="0"/>
        <w:widowControl w:val="0"/>
        <w:kinsoku w:val="0"/>
        <w:wordWrap/>
        <w:overflowPunct w:val="0"/>
        <w:topLinePunct w:val="0"/>
        <w:autoSpaceDE w:val="0"/>
        <w:autoSpaceDN w:val="0"/>
        <w:bidi w:val="0"/>
        <w:snapToGrid w:val="0"/>
        <w:spacing w:line="360" w:lineRule="exact"/>
        <w:ind w:firstLine="102" w:firstLineChars="49"/>
        <w:jc w:val="left"/>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 xml:space="preserve">                                                金额单位：人民币（元）</w:t>
      </w:r>
    </w:p>
    <w:tbl>
      <w:tblPr>
        <w:tblStyle w:val="20"/>
        <w:tblW w:w="97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7"/>
        <w:gridCol w:w="1542"/>
        <w:gridCol w:w="850"/>
        <w:gridCol w:w="749"/>
        <w:gridCol w:w="1855"/>
        <w:gridCol w:w="1381"/>
        <w:gridCol w:w="751"/>
        <w:gridCol w:w="1725"/>
      </w:tblGrid>
      <w:tr w14:paraId="2C3133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4B39ACC7">
            <w:pPr>
              <w:keepNext w:val="0"/>
              <w:keepLines w:val="0"/>
              <w:pageBreakBefore w:val="0"/>
              <w:widowControl w:val="0"/>
              <w:kinsoku w:val="0"/>
              <w:wordWrap/>
              <w:overflowPunct w:val="0"/>
              <w:topLinePunct w:val="0"/>
              <w:autoSpaceDE w:val="0"/>
              <w:autoSpaceDN w:val="0"/>
              <w:bidi w:val="0"/>
              <w:snapToGrid w:val="0"/>
              <w:spacing w:before="50" w:after="50"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542" w:type="dxa"/>
            <w:tcBorders>
              <w:top w:val="single" w:color="auto" w:sz="4" w:space="0"/>
              <w:left w:val="single" w:color="auto" w:sz="4" w:space="0"/>
              <w:bottom w:val="single" w:color="auto" w:sz="4" w:space="0"/>
              <w:right w:val="single" w:color="auto" w:sz="4" w:space="0"/>
            </w:tcBorders>
            <w:vAlign w:val="center"/>
          </w:tcPr>
          <w:p w14:paraId="5976C188">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设备名称</w:t>
            </w:r>
          </w:p>
        </w:tc>
        <w:tc>
          <w:tcPr>
            <w:tcW w:w="850" w:type="dxa"/>
            <w:tcBorders>
              <w:top w:val="single" w:color="auto" w:sz="4" w:space="0"/>
              <w:left w:val="single" w:color="auto" w:sz="4" w:space="0"/>
              <w:bottom w:val="single" w:color="auto" w:sz="4" w:space="0"/>
              <w:right w:val="single" w:color="auto" w:sz="4" w:space="0"/>
            </w:tcBorders>
            <w:vAlign w:val="center"/>
          </w:tcPr>
          <w:p w14:paraId="11BA7CCE">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749" w:type="dxa"/>
            <w:tcBorders>
              <w:top w:val="single" w:color="auto" w:sz="4" w:space="0"/>
              <w:left w:val="single" w:color="auto" w:sz="4" w:space="0"/>
              <w:bottom w:val="single" w:color="auto" w:sz="4" w:space="0"/>
              <w:right w:val="single" w:color="auto" w:sz="4" w:space="0"/>
            </w:tcBorders>
            <w:vAlign w:val="center"/>
          </w:tcPr>
          <w:p w14:paraId="461C5F49">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产地</w:t>
            </w:r>
          </w:p>
        </w:tc>
        <w:tc>
          <w:tcPr>
            <w:tcW w:w="1855" w:type="dxa"/>
            <w:tcBorders>
              <w:top w:val="single" w:color="auto" w:sz="4" w:space="0"/>
              <w:left w:val="single" w:color="auto" w:sz="4" w:space="0"/>
              <w:bottom w:val="single" w:color="auto" w:sz="4" w:space="0"/>
              <w:right w:val="single" w:color="auto" w:sz="4" w:space="0"/>
            </w:tcBorders>
            <w:vAlign w:val="center"/>
          </w:tcPr>
          <w:p w14:paraId="401ECECE">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品牌及厂家</w:t>
            </w:r>
          </w:p>
        </w:tc>
        <w:tc>
          <w:tcPr>
            <w:tcW w:w="1381" w:type="dxa"/>
            <w:tcBorders>
              <w:top w:val="single" w:color="auto" w:sz="4" w:space="0"/>
              <w:left w:val="single" w:color="auto" w:sz="4" w:space="0"/>
              <w:bottom w:val="single" w:color="auto" w:sz="4" w:space="0"/>
              <w:right w:val="single" w:color="auto" w:sz="4" w:space="0"/>
            </w:tcBorders>
            <w:vAlign w:val="center"/>
          </w:tcPr>
          <w:p w14:paraId="6A7E5068">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规格型号</w:t>
            </w:r>
          </w:p>
        </w:tc>
        <w:tc>
          <w:tcPr>
            <w:tcW w:w="751" w:type="dxa"/>
            <w:tcBorders>
              <w:top w:val="single" w:color="auto" w:sz="4" w:space="0"/>
              <w:left w:val="single" w:color="auto" w:sz="4" w:space="0"/>
              <w:bottom w:val="single" w:color="auto" w:sz="4" w:space="0"/>
              <w:right w:val="single" w:color="auto" w:sz="4" w:space="0"/>
            </w:tcBorders>
            <w:vAlign w:val="center"/>
          </w:tcPr>
          <w:p w14:paraId="0F3312A9">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p>
        </w:tc>
        <w:tc>
          <w:tcPr>
            <w:tcW w:w="1725" w:type="dxa"/>
            <w:tcBorders>
              <w:top w:val="single" w:color="auto" w:sz="4" w:space="0"/>
              <w:left w:val="single" w:color="auto" w:sz="4" w:space="0"/>
              <w:bottom w:val="single" w:color="auto" w:sz="4" w:space="0"/>
              <w:right w:val="single" w:color="auto" w:sz="4" w:space="0"/>
            </w:tcBorders>
            <w:vAlign w:val="center"/>
          </w:tcPr>
          <w:p w14:paraId="21BE72A7">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tc>
      </w:tr>
      <w:tr w14:paraId="493841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0B17A975">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542" w:type="dxa"/>
            <w:tcBorders>
              <w:top w:val="single" w:color="auto" w:sz="4" w:space="0"/>
              <w:left w:val="single" w:color="auto" w:sz="4" w:space="0"/>
              <w:bottom w:val="single" w:color="auto" w:sz="4" w:space="0"/>
              <w:right w:val="single" w:color="auto" w:sz="4" w:space="0"/>
            </w:tcBorders>
            <w:vAlign w:val="center"/>
          </w:tcPr>
          <w:p w14:paraId="34D589E4">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bCs/>
                <w:color w:val="auto"/>
                <w:sz w:val="21"/>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362DCF7C">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bCs/>
                <w:color w:val="auto"/>
                <w:sz w:val="21"/>
                <w:szCs w:val="21"/>
                <w:highlight w:val="none"/>
              </w:rPr>
            </w:pPr>
          </w:p>
        </w:tc>
        <w:tc>
          <w:tcPr>
            <w:tcW w:w="749" w:type="dxa"/>
            <w:tcBorders>
              <w:top w:val="single" w:color="auto" w:sz="4" w:space="0"/>
              <w:left w:val="single" w:color="auto" w:sz="4" w:space="0"/>
              <w:bottom w:val="single" w:color="auto" w:sz="4" w:space="0"/>
              <w:right w:val="single" w:color="auto" w:sz="4" w:space="0"/>
            </w:tcBorders>
            <w:vAlign w:val="center"/>
          </w:tcPr>
          <w:p w14:paraId="2BADACAA">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855" w:type="dxa"/>
            <w:tcBorders>
              <w:top w:val="single" w:color="auto" w:sz="4" w:space="0"/>
              <w:left w:val="single" w:color="auto" w:sz="4" w:space="0"/>
              <w:bottom w:val="single" w:color="auto" w:sz="4" w:space="0"/>
              <w:right w:val="single" w:color="auto" w:sz="4" w:space="0"/>
            </w:tcBorders>
            <w:vAlign w:val="center"/>
          </w:tcPr>
          <w:p w14:paraId="1549708D">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61C1A31A">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751" w:type="dxa"/>
            <w:tcBorders>
              <w:top w:val="single" w:color="auto" w:sz="4" w:space="0"/>
              <w:left w:val="single" w:color="auto" w:sz="4" w:space="0"/>
              <w:bottom w:val="single" w:color="auto" w:sz="4" w:space="0"/>
              <w:right w:val="single" w:color="auto" w:sz="4" w:space="0"/>
            </w:tcBorders>
            <w:vAlign w:val="center"/>
          </w:tcPr>
          <w:p w14:paraId="3F31955F">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725" w:type="dxa"/>
            <w:tcBorders>
              <w:top w:val="single" w:color="auto" w:sz="4" w:space="0"/>
              <w:left w:val="single" w:color="auto" w:sz="4" w:space="0"/>
              <w:bottom w:val="single" w:color="auto" w:sz="4" w:space="0"/>
              <w:right w:val="single" w:color="auto" w:sz="4" w:space="0"/>
            </w:tcBorders>
            <w:vAlign w:val="center"/>
          </w:tcPr>
          <w:p w14:paraId="0AA1DCA3">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r>
      <w:tr w14:paraId="6E56B4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69F2A092">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542" w:type="dxa"/>
            <w:tcBorders>
              <w:top w:val="single" w:color="auto" w:sz="4" w:space="0"/>
              <w:left w:val="single" w:color="auto" w:sz="4" w:space="0"/>
              <w:bottom w:val="single" w:color="auto" w:sz="4" w:space="0"/>
              <w:right w:val="single" w:color="auto" w:sz="4" w:space="0"/>
            </w:tcBorders>
            <w:vAlign w:val="center"/>
          </w:tcPr>
          <w:p w14:paraId="6E329A85">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bCs/>
                <w:color w:val="auto"/>
                <w:sz w:val="21"/>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13A6491D">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bCs/>
                <w:color w:val="auto"/>
                <w:sz w:val="21"/>
                <w:szCs w:val="21"/>
                <w:highlight w:val="none"/>
              </w:rPr>
            </w:pPr>
          </w:p>
        </w:tc>
        <w:tc>
          <w:tcPr>
            <w:tcW w:w="749" w:type="dxa"/>
            <w:tcBorders>
              <w:top w:val="single" w:color="auto" w:sz="4" w:space="0"/>
              <w:left w:val="single" w:color="auto" w:sz="4" w:space="0"/>
              <w:bottom w:val="single" w:color="auto" w:sz="4" w:space="0"/>
              <w:right w:val="single" w:color="auto" w:sz="4" w:space="0"/>
            </w:tcBorders>
            <w:vAlign w:val="center"/>
          </w:tcPr>
          <w:p w14:paraId="0271F395">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855" w:type="dxa"/>
            <w:tcBorders>
              <w:top w:val="single" w:color="auto" w:sz="4" w:space="0"/>
              <w:left w:val="single" w:color="auto" w:sz="4" w:space="0"/>
              <w:bottom w:val="single" w:color="auto" w:sz="4" w:space="0"/>
              <w:right w:val="single" w:color="auto" w:sz="4" w:space="0"/>
            </w:tcBorders>
            <w:vAlign w:val="center"/>
          </w:tcPr>
          <w:p w14:paraId="32FF9304">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7E47DEB1">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751" w:type="dxa"/>
            <w:tcBorders>
              <w:top w:val="single" w:color="auto" w:sz="4" w:space="0"/>
              <w:left w:val="single" w:color="auto" w:sz="4" w:space="0"/>
              <w:bottom w:val="single" w:color="auto" w:sz="4" w:space="0"/>
              <w:right w:val="single" w:color="auto" w:sz="4" w:space="0"/>
            </w:tcBorders>
            <w:vAlign w:val="center"/>
          </w:tcPr>
          <w:p w14:paraId="015685A9">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725" w:type="dxa"/>
            <w:tcBorders>
              <w:top w:val="single" w:color="auto" w:sz="4" w:space="0"/>
              <w:left w:val="single" w:color="auto" w:sz="4" w:space="0"/>
              <w:bottom w:val="single" w:color="auto" w:sz="4" w:space="0"/>
              <w:right w:val="single" w:color="auto" w:sz="4" w:space="0"/>
            </w:tcBorders>
            <w:vAlign w:val="center"/>
          </w:tcPr>
          <w:p w14:paraId="3B70E70A">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r>
      <w:tr w14:paraId="7F0650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5DC70F33">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542" w:type="dxa"/>
            <w:tcBorders>
              <w:top w:val="single" w:color="auto" w:sz="4" w:space="0"/>
              <w:left w:val="single" w:color="auto" w:sz="4" w:space="0"/>
              <w:bottom w:val="single" w:color="auto" w:sz="4" w:space="0"/>
              <w:right w:val="single" w:color="auto" w:sz="4" w:space="0"/>
            </w:tcBorders>
            <w:vAlign w:val="center"/>
          </w:tcPr>
          <w:p w14:paraId="165F3306">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p>
        </w:tc>
        <w:tc>
          <w:tcPr>
            <w:tcW w:w="850" w:type="dxa"/>
            <w:tcBorders>
              <w:top w:val="single" w:color="auto" w:sz="4" w:space="0"/>
              <w:left w:val="single" w:color="auto" w:sz="4" w:space="0"/>
              <w:bottom w:val="single" w:color="auto" w:sz="4" w:space="0"/>
              <w:right w:val="single" w:color="auto" w:sz="4" w:space="0"/>
            </w:tcBorders>
            <w:vAlign w:val="center"/>
          </w:tcPr>
          <w:p w14:paraId="328704DF">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bCs/>
                <w:color w:val="auto"/>
                <w:sz w:val="21"/>
                <w:szCs w:val="21"/>
                <w:highlight w:val="none"/>
              </w:rPr>
            </w:pPr>
          </w:p>
        </w:tc>
        <w:tc>
          <w:tcPr>
            <w:tcW w:w="749" w:type="dxa"/>
            <w:tcBorders>
              <w:top w:val="single" w:color="auto" w:sz="4" w:space="0"/>
              <w:left w:val="single" w:color="auto" w:sz="4" w:space="0"/>
              <w:bottom w:val="single" w:color="auto" w:sz="4" w:space="0"/>
              <w:right w:val="single" w:color="auto" w:sz="4" w:space="0"/>
            </w:tcBorders>
            <w:vAlign w:val="center"/>
          </w:tcPr>
          <w:p w14:paraId="6A9B102D">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855" w:type="dxa"/>
            <w:tcBorders>
              <w:top w:val="single" w:color="auto" w:sz="4" w:space="0"/>
              <w:left w:val="single" w:color="auto" w:sz="4" w:space="0"/>
              <w:bottom w:val="single" w:color="auto" w:sz="4" w:space="0"/>
              <w:right w:val="single" w:color="auto" w:sz="4" w:space="0"/>
            </w:tcBorders>
            <w:vAlign w:val="center"/>
          </w:tcPr>
          <w:p w14:paraId="6EF8F5A0">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2BE9DC6B">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751" w:type="dxa"/>
            <w:tcBorders>
              <w:top w:val="single" w:color="auto" w:sz="4" w:space="0"/>
              <w:left w:val="single" w:color="auto" w:sz="4" w:space="0"/>
              <w:bottom w:val="single" w:color="auto" w:sz="4" w:space="0"/>
              <w:right w:val="single" w:color="auto" w:sz="4" w:space="0"/>
            </w:tcBorders>
            <w:vAlign w:val="center"/>
          </w:tcPr>
          <w:p w14:paraId="430FB37D">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725" w:type="dxa"/>
            <w:tcBorders>
              <w:top w:val="single" w:color="auto" w:sz="4" w:space="0"/>
              <w:left w:val="single" w:color="auto" w:sz="4" w:space="0"/>
              <w:bottom w:val="single" w:color="auto" w:sz="4" w:space="0"/>
              <w:right w:val="single" w:color="auto" w:sz="4" w:space="0"/>
            </w:tcBorders>
            <w:vAlign w:val="center"/>
          </w:tcPr>
          <w:p w14:paraId="6F3632DB">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r>
      <w:tr w14:paraId="5467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700" w:type="dxa"/>
            <w:gridSpan w:val="8"/>
            <w:tcBorders>
              <w:top w:val="single" w:color="auto" w:sz="4" w:space="0"/>
              <w:left w:val="single" w:color="auto" w:sz="4" w:space="0"/>
              <w:bottom w:val="single" w:color="auto" w:sz="4" w:space="0"/>
              <w:right w:val="single" w:color="auto" w:sz="4" w:space="0"/>
            </w:tcBorders>
            <w:vAlign w:val="center"/>
          </w:tcPr>
          <w:p w14:paraId="6AC069E3">
            <w:pPr>
              <w:keepNext w:val="0"/>
              <w:keepLines w:val="0"/>
              <w:pageBreakBefore w:val="0"/>
              <w:widowControl w:val="0"/>
              <w:kinsoku w:val="0"/>
              <w:wordWrap/>
              <w:overflowPunct w:val="0"/>
              <w:topLinePunct w:val="0"/>
              <w:autoSpaceDE w:val="0"/>
              <w:autoSpaceDN w:val="0"/>
              <w:bidi w:val="0"/>
              <w:snapToGrid w:val="0"/>
              <w:spacing w:before="50" w:after="50" w:line="360" w:lineRule="exact"/>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合计金额大写：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u w:val="single"/>
              </w:rPr>
              <w:t xml:space="preserve">            </w:t>
            </w:r>
          </w:p>
        </w:tc>
      </w:tr>
    </w:tbl>
    <w:p w14:paraId="1888566C">
      <w:pPr>
        <w:keepNext w:val="0"/>
        <w:keepLines w:val="0"/>
        <w:pageBreakBefore w:val="0"/>
        <w:widowControl w:val="0"/>
        <w:kinsoku w:val="0"/>
        <w:wordWrap/>
        <w:overflowPunct w:val="0"/>
        <w:topLinePunct w:val="0"/>
        <w:autoSpaceDE w:val="0"/>
        <w:autoSpaceDN w:val="0"/>
        <w:bidi w:val="0"/>
        <w:adjustRightInd/>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注: </w:t>
      </w:r>
    </w:p>
    <w:p w14:paraId="51434CF1">
      <w:pPr>
        <w:keepNext w:val="0"/>
        <w:keepLines w:val="0"/>
        <w:pageBreakBefore w:val="0"/>
        <w:widowControl w:val="0"/>
        <w:kinsoku w:val="0"/>
        <w:wordWrap/>
        <w:overflowPunct w:val="0"/>
        <w:topLinePunct w:val="0"/>
        <w:autoSpaceDE w:val="0"/>
        <w:autoSpaceDN w:val="0"/>
        <w:bidi w:val="0"/>
        <w:adjustRightInd/>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1.报价一经涂改，应在涂改处加盖单位公章或者由法定代表人或授权委托人签字或签章，否则其投标作无效标处理。</w:t>
      </w:r>
    </w:p>
    <w:p w14:paraId="0F0C3422">
      <w:pPr>
        <w:keepNext w:val="0"/>
        <w:keepLines w:val="0"/>
        <w:pageBreakBefore w:val="0"/>
        <w:widowControl w:val="0"/>
        <w:kinsoku w:val="0"/>
        <w:wordWrap/>
        <w:overflowPunct w:val="0"/>
        <w:topLinePunct w:val="0"/>
        <w:autoSpaceDE w:val="0"/>
        <w:autoSpaceDN w:val="0"/>
        <w:bidi w:val="0"/>
        <w:adjustRightInd/>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2.凡需用专用耗材的专用设备类采购项目，应按招标文件规定的耗材量或按耗材的常规试用量提供报价。</w:t>
      </w:r>
    </w:p>
    <w:p w14:paraId="6FA64320">
      <w:pPr>
        <w:keepNext w:val="0"/>
        <w:keepLines w:val="0"/>
        <w:pageBreakBefore w:val="0"/>
        <w:widowControl w:val="0"/>
        <w:kinsoku w:val="0"/>
        <w:wordWrap/>
        <w:overflowPunct w:val="0"/>
        <w:topLinePunct w:val="0"/>
        <w:autoSpaceDE w:val="0"/>
        <w:autoSpaceDN w:val="0"/>
        <w:bidi w:val="0"/>
        <w:adjustRightInd/>
        <w:snapToGrid w:val="0"/>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3.投标费用包括项目实施所需的人工费、运输费、安装调试费、制作投标文件费、税费及其他一切费用。</w:t>
      </w:r>
    </w:p>
    <w:p w14:paraId="6DE8024F">
      <w:pPr>
        <w:keepNext w:val="0"/>
        <w:keepLines w:val="0"/>
        <w:pageBreakBefore w:val="0"/>
        <w:widowControl w:val="0"/>
        <w:kinsoku w:val="0"/>
        <w:wordWrap/>
        <w:overflowPunct w:val="0"/>
        <w:topLinePunct w:val="0"/>
        <w:autoSpaceDE w:val="0"/>
        <w:autoSpaceDN w:val="0"/>
        <w:bidi w:val="0"/>
        <w:adjustRightInd/>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4.以上报价应与“投标设备报价明细表”中的“投标总价”相一致。</w:t>
      </w:r>
    </w:p>
    <w:p w14:paraId="24774366">
      <w:pPr>
        <w:keepNext w:val="0"/>
        <w:keepLines w:val="0"/>
        <w:pageBreakBefore w:val="0"/>
        <w:widowControl w:val="0"/>
        <w:kinsoku w:val="0"/>
        <w:wordWrap/>
        <w:overflowPunct w:val="0"/>
        <w:topLinePunct w:val="0"/>
        <w:autoSpaceDE w:val="0"/>
        <w:autoSpaceDN w:val="0"/>
        <w:bidi w:val="0"/>
        <w:adjustRightInd/>
        <w:snapToGrid w:val="0"/>
        <w:spacing w:line="360" w:lineRule="exact"/>
        <w:ind w:left="-2" w:leftChars="-1" w:right="-817" w:rightChars="-389"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rPr>
        <w:t>5.项</w:t>
      </w:r>
      <w:r>
        <w:rPr>
          <w:rFonts w:hint="eastAsia" w:ascii="宋体" w:hAnsi="宋体" w:eastAsia="宋体" w:cs="宋体"/>
          <w:bCs/>
          <w:color w:val="auto"/>
          <w:sz w:val="21"/>
          <w:szCs w:val="21"/>
          <w:highlight w:val="none"/>
        </w:rPr>
        <w:t>目中有多个分标的，每一分标的开标一览表必须分别按格式要求填写并签字、盖章。</w:t>
      </w:r>
    </w:p>
    <w:p w14:paraId="160B29A0">
      <w:pPr>
        <w:keepNext w:val="0"/>
        <w:keepLines w:val="0"/>
        <w:pageBreakBefore w:val="0"/>
        <w:widowControl w:val="0"/>
        <w:kinsoku w:val="0"/>
        <w:wordWrap/>
        <w:overflowPunct w:val="0"/>
        <w:topLinePunct w:val="0"/>
        <w:autoSpaceDE w:val="0"/>
        <w:autoSpaceDN w:val="0"/>
        <w:bidi w:val="0"/>
        <w:adjustRightInd/>
        <w:snapToGrid w:val="0"/>
        <w:spacing w:line="360" w:lineRule="exact"/>
        <w:ind w:left="-2" w:leftChars="-1" w:right="-817" w:rightChars="-389" w:firstLine="420" w:firstLineChars="200"/>
        <w:textAlignment w:val="auto"/>
        <w:rPr>
          <w:rFonts w:hint="eastAsia" w:ascii="宋体" w:hAnsi="宋体" w:eastAsia="宋体" w:cs="宋体"/>
          <w:color w:val="auto"/>
          <w:sz w:val="21"/>
          <w:szCs w:val="21"/>
          <w:highlight w:val="none"/>
        </w:rPr>
      </w:pPr>
    </w:p>
    <w:p w14:paraId="4B75C8F0">
      <w:pPr>
        <w:keepNext w:val="0"/>
        <w:keepLines w:val="0"/>
        <w:pageBreakBefore w:val="0"/>
        <w:widowControl w:val="0"/>
        <w:kinsoku w:val="0"/>
        <w:wordWrap/>
        <w:overflowPunct w:val="0"/>
        <w:topLinePunct w:val="0"/>
        <w:autoSpaceDE w:val="0"/>
        <w:autoSpaceDN w:val="0"/>
        <w:bidi w:val="0"/>
        <w:adjustRightInd/>
        <w:snapToGrid w:val="0"/>
        <w:spacing w:line="360" w:lineRule="exact"/>
        <w:ind w:left="-2" w:leftChars="-1" w:right="-817" w:rightChars="-389" w:firstLine="3570" w:firstLineChars="17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法定代表人或委托代理人签字或签章：                    </w:t>
      </w:r>
    </w:p>
    <w:p w14:paraId="20715B4E">
      <w:pPr>
        <w:keepNext w:val="0"/>
        <w:keepLines w:val="0"/>
        <w:pageBreakBefore w:val="0"/>
        <w:widowControl w:val="0"/>
        <w:kinsoku w:val="0"/>
        <w:wordWrap/>
        <w:overflowPunct w:val="0"/>
        <w:topLinePunct w:val="0"/>
        <w:autoSpaceDE w:val="0"/>
        <w:autoSpaceDN w:val="0"/>
        <w:bidi w:val="0"/>
        <w:adjustRightInd/>
        <w:snapToGrid w:val="0"/>
        <w:spacing w:line="360" w:lineRule="exact"/>
        <w:ind w:right="-817" w:rightChars="-389" w:firstLine="4410" w:firstLineChars="2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投标人名称（盖章）：</w:t>
      </w:r>
    </w:p>
    <w:p w14:paraId="3C32C3F5">
      <w:pPr>
        <w:keepNext w:val="0"/>
        <w:keepLines w:val="0"/>
        <w:pageBreakBefore w:val="0"/>
        <w:widowControl w:val="0"/>
        <w:kinsoku w:val="0"/>
        <w:wordWrap/>
        <w:overflowPunct w:val="0"/>
        <w:topLinePunct w:val="0"/>
        <w:autoSpaceDE w:val="0"/>
        <w:autoSpaceDN w:val="0"/>
        <w:bidi w:val="0"/>
        <w:adjustRightInd/>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  年   月   日 </w:t>
      </w:r>
    </w:p>
    <w:sectPr>
      <w:footerReference r:id="rId6" w:type="default"/>
      <w:pgSz w:w="11850" w:h="16783"/>
      <w:pgMar w:top="1440" w:right="1230" w:bottom="1440" w:left="11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3C1426A3-BB7D-43D1-A0A2-AF3F6DA98898}"/>
  </w:font>
  <w:font w:name="仿宋_GB2312">
    <w:panose1 w:val="02010609030101010101"/>
    <w:charset w:val="86"/>
    <w:family w:val="modern"/>
    <w:pitch w:val="default"/>
    <w:sig w:usb0="00000001" w:usb1="080E0000" w:usb2="00000000" w:usb3="00000000" w:csb0="00040000" w:csb1="00000000"/>
    <w:embedRegular r:id="rId2" w:fontKey="{CAE2DD90-6BA1-40CB-80D5-E93AE9AFE40B}"/>
  </w:font>
  <w:font w:name="仿宋">
    <w:panose1 w:val="02010609060101010101"/>
    <w:charset w:val="86"/>
    <w:family w:val="auto"/>
    <w:pitch w:val="default"/>
    <w:sig w:usb0="800002BF" w:usb1="38CF7CFA" w:usb2="00000016" w:usb3="00000000" w:csb0="00040001" w:csb1="00000000"/>
    <w:embedRegular r:id="rId3" w:fontKey="{8D726366-1DFB-4AD3-8C9B-21B48E9EC5CD}"/>
  </w:font>
  <w:font w:name="方正大标宋简体">
    <w:panose1 w:val="02000000000000000000"/>
    <w:charset w:val="86"/>
    <w:family w:val="auto"/>
    <w:pitch w:val="default"/>
    <w:sig w:usb0="A00002BF" w:usb1="184F6CFA" w:usb2="00000012" w:usb3="00000000" w:csb0="00040001" w:csb1="00000000"/>
    <w:embedRegular r:id="rId4" w:fontKey="{07ACDFEA-60B0-46A7-AFF7-48511765B0C6}"/>
  </w:font>
  <w:font w:name="Segoe UI Emoji">
    <w:panose1 w:val="020B0502040204020203"/>
    <w:charset w:val="00"/>
    <w:family w:val="auto"/>
    <w:pitch w:val="default"/>
    <w:sig w:usb0="00000001" w:usb1="02000000" w:usb2="00000000" w:usb3="00000000" w:csb0="00000001" w:csb1="00000000"/>
    <w:embedRegular r:id="rId5" w:fontKey="{6E0925E1-0F53-49F2-B003-5D897AFDC0F9}"/>
  </w:font>
  <w:font w:name="Segoe UI">
    <w:panose1 w:val="020B0502040204020203"/>
    <w:charset w:val="00"/>
    <w:family w:val="auto"/>
    <w:pitch w:val="default"/>
    <w:sig w:usb0="E4002EFF" w:usb1="C000E47F" w:usb2="00000009" w:usb3="00000000" w:csb0="200001FF" w:csb1="00000000"/>
    <w:embedRegular r:id="rId6" w:fontKey="{54E0EFB3-9AAB-4E5D-AC9A-389C606B382D}"/>
  </w:font>
  <w:font w:name="汉仪书宋二S">
    <w:altName w:val="宋体"/>
    <w:panose1 w:val="00000000000000000000"/>
    <w:charset w:val="00"/>
    <w:family w:val="auto"/>
    <w:pitch w:val="default"/>
    <w:sig w:usb0="00000000" w:usb1="00000000" w:usb2="00000000" w:usb3="00000000" w:csb0="00000000" w:csb1="00000000"/>
    <w:embedRegular r:id="rId7" w:fontKey="{43FAAA2D-3EB5-4B57-A288-98433D4D1AB6}"/>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4AB37">
    <w:pPr>
      <w:pStyle w:val="2"/>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C54225">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1C54225">
                    <w:pPr>
                      <w:pStyle w:val="2"/>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343A7C">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343A7C">
                    <w:pPr>
                      <w:pStyle w:val="2"/>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4B1E0">
    <w:pPr>
      <w:pStyle w:val="2"/>
      <w:jc w:val="both"/>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BD5A76">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68BD5A76">
                    <w:pPr>
                      <w:pStyle w:val="2"/>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7A38BC">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27A38BC">
                    <w:pPr>
                      <w:pStyle w:val="2"/>
                    </w:pP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3BD26E">
                          <w:pPr>
                            <w:pStyle w:val="2"/>
                            <w:rPr>
                              <w:rFonts w:hint="eastAsia" w:eastAsiaTheme="minorEastAsia"/>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73BD26E">
                    <w:pPr>
                      <w:pStyle w:val="2"/>
                      <w:rPr>
                        <w:rFonts w:hint="eastAsia" w:eastAsiaTheme="minorEastAsia"/>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8B6E2">
    <w:pPr>
      <w:pStyle w:val="2"/>
      <w:jc w:val="both"/>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2DFF99">
                          <w:pPr>
                            <w:pStyle w:val="2"/>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F2DFF99">
                    <w:pPr>
                      <w:pStyle w:val="2"/>
                    </w:pPr>
                    <w:r>
                      <w:fldChar w:fldCharType="begin"/>
                    </w:r>
                    <w:r>
                      <w:instrText xml:space="preserve"> PAGE  \* MERGEFORMAT </w:instrText>
                    </w:r>
                    <w:r>
                      <w:fldChar w:fldCharType="separate"/>
                    </w:r>
                    <w:r>
                      <w:t>0</w:t>
                    </w:r>
                    <w:r>
                      <w:fldChar w:fldCharType="end"/>
                    </w: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556567">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2556567">
                    <w:pPr>
                      <w:pStyle w:val="2"/>
                    </w:pP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367ED">
                          <w:pPr>
                            <w:pStyle w:val="2"/>
                            <w:rPr>
                              <w:rFonts w:hint="eastAsia" w:eastAsiaTheme="minorEastAsia"/>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B1367ED">
                    <w:pPr>
                      <w:pStyle w:val="2"/>
                      <w:rPr>
                        <w:rFonts w:hint="eastAsia" w:eastAsiaTheme="minorEastAsia"/>
                        <w:lang w:val="en-US"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26378">
    <w:pPr>
      <w:pStyle w:val="15"/>
      <w:pBdr>
        <w:bottom w:val="none" w:color="auto" w:sz="0" w:space="1"/>
      </w:pBdr>
      <w:jc w:val="both"/>
      <w:rPr>
        <w:rFonts w:hint="eastAsia" w:eastAsia="宋体"/>
        <w:b w:val="0"/>
        <w:bCs w:val="0"/>
        <w:sz w:val="21"/>
        <w:szCs w:val="21"/>
        <w:u w:val="single"/>
        <w:lang w:val="en-US" w:eastAsia="zh-CN"/>
      </w:rPr>
    </w:pPr>
    <w:r>
      <w:rPr>
        <w:rFonts w:hint="eastAsia" w:ascii="宋体" w:hAnsi="宋体" w:eastAsia="宋体" w:cs="宋体"/>
        <w:b w:val="0"/>
        <w:bCs w:val="0"/>
        <w:sz w:val="21"/>
        <w:szCs w:val="21"/>
        <w:u w:val="single"/>
        <w:lang w:val="en-US" w:eastAsia="zh-CN"/>
      </w:rPr>
      <w:t xml:space="preserve">               广西天然药物研究院及智慧康养护理中心实验家具采购（GXZC2026-G1-003166-CGZX</w:t>
    </w:r>
    <w:r>
      <w:rPr>
        <w:rFonts w:hint="eastAsia" w:ascii="宋体" w:hAnsi="宋体" w:eastAsia="宋体" w:cs="宋体"/>
        <w:b w:val="0"/>
        <w:bCs w:val="0"/>
        <w:sz w:val="21"/>
        <w:szCs w:val="21"/>
        <w:u w:val="single"/>
        <w:lang w:eastAsia="zh-CN"/>
      </w:rPr>
      <w:t>）</w:t>
    </w:r>
  </w:p>
  <w:p w14:paraId="463B0DFA">
    <w:pPr>
      <w:pStyle w:val="15"/>
      <w:pBdr>
        <w:bottom w:val="none" w:color="auto" w:sz="0" w:space="1"/>
      </w:pBdr>
      <w:tabs>
        <w:tab w:val="left" w:pos="5894"/>
        <w:tab w:val="clear" w:pos="4153"/>
      </w:tabs>
      <w:jc w:val="both"/>
      <w:rPr>
        <w:rFonts w:hint="default" w:eastAsiaTheme="minorEastAsia"/>
        <w:u w:val="single"/>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4F830"/>
    <w:multiLevelType w:val="singleLevel"/>
    <w:tmpl w:val="0654F830"/>
    <w:lvl w:ilvl="0" w:tentative="0">
      <w:start w:val="1"/>
      <w:numFmt w:val="decimal"/>
      <w:suff w:val="nothing"/>
      <w:lvlText w:val="%1、"/>
      <w:lvlJc w:val="left"/>
    </w:lvl>
  </w:abstractNum>
  <w:abstractNum w:abstractNumId="1">
    <w:nsid w:val="5FFDC433"/>
    <w:multiLevelType w:val="singleLevel"/>
    <w:tmpl w:val="5FFDC433"/>
    <w:lvl w:ilvl="0" w:tentative="0">
      <w:start w:val="1"/>
      <w:numFmt w:val="decimal"/>
      <w:pStyle w:val="7"/>
      <w:lvlText w:val="%1."/>
      <w:lvlJc w:val="left"/>
      <w:pPr>
        <w:tabs>
          <w:tab w:val="left" w:pos="360"/>
        </w:tabs>
        <w:ind w:left="360" w:hanging="360"/>
      </w:pPr>
    </w:lvl>
  </w:abstractNum>
  <w:abstractNum w:abstractNumId="2">
    <w:nsid w:val="721E725A"/>
    <w:multiLevelType w:val="singleLevel"/>
    <w:tmpl w:val="721E725A"/>
    <w:lvl w:ilvl="0" w:tentative="0">
      <w:start w:val="5"/>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112"/>
    <w:rsid w:val="00002299"/>
    <w:rsid w:val="001978C2"/>
    <w:rsid w:val="001B223C"/>
    <w:rsid w:val="00520112"/>
    <w:rsid w:val="00615EAD"/>
    <w:rsid w:val="006268E0"/>
    <w:rsid w:val="006A1B77"/>
    <w:rsid w:val="00826171"/>
    <w:rsid w:val="00861FAF"/>
    <w:rsid w:val="00943CD8"/>
    <w:rsid w:val="00976388"/>
    <w:rsid w:val="00C20C5D"/>
    <w:rsid w:val="00C32BF4"/>
    <w:rsid w:val="00DA0B79"/>
    <w:rsid w:val="01007149"/>
    <w:rsid w:val="01277C69"/>
    <w:rsid w:val="012E36B9"/>
    <w:rsid w:val="014557C2"/>
    <w:rsid w:val="01773477"/>
    <w:rsid w:val="01896B19"/>
    <w:rsid w:val="01B80C1B"/>
    <w:rsid w:val="01D427A1"/>
    <w:rsid w:val="01FC7E4D"/>
    <w:rsid w:val="02140D77"/>
    <w:rsid w:val="02163686"/>
    <w:rsid w:val="022E6257"/>
    <w:rsid w:val="02306473"/>
    <w:rsid w:val="02427F54"/>
    <w:rsid w:val="02474A49"/>
    <w:rsid w:val="02482FCE"/>
    <w:rsid w:val="0279651D"/>
    <w:rsid w:val="02801DAF"/>
    <w:rsid w:val="028916DF"/>
    <w:rsid w:val="02AD7AC3"/>
    <w:rsid w:val="02CA179F"/>
    <w:rsid w:val="02CB1CF7"/>
    <w:rsid w:val="03155CE0"/>
    <w:rsid w:val="031E5B13"/>
    <w:rsid w:val="033C6A80"/>
    <w:rsid w:val="033F6241"/>
    <w:rsid w:val="034A70C0"/>
    <w:rsid w:val="036A59B4"/>
    <w:rsid w:val="03863E70"/>
    <w:rsid w:val="038A201F"/>
    <w:rsid w:val="03A76903"/>
    <w:rsid w:val="03AB333B"/>
    <w:rsid w:val="03F166B4"/>
    <w:rsid w:val="03F31506"/>
    <w:rsid w:val="0406676F"/>
    <w:rsid w:val="048B5043"/>
    <w:rsid w:val="0491110B"/>
    <w:rsid w:val="04BC79D1"/>
    <w:rsid w:val="04C70D83"/>
    <w:rsid w:val="04DC0C65"/>
    <w:rsid w:val="05120CA5"/>
    <w:rsid w:val="05373674"/>
    <w:rsid w:val="053A4159"/>
    <w:rsid w:val="05432019"/>
    <w:rsid w:val="05CD222A"/>
    <w:rsid w:val="05D37841"/>
    <w:rsid w:val="06135E8F"/>
    <w:rsid w:val="063876A4"/>
    <w:rsid w:val="06540256"/>
    <w:rsid w:val="067811B7"/>
    <w:rsid w:val="069331B4"/>
    <w:rsid w:val="069B5E85"/>
    <w:rsid w:val="06B01930"/>
    <w:rsid w:val="06E67100"/>
    <w:rsid w:val="06F37A6F"/>
    <w:rsid w:val="06FF6413"/>
    <w:rsid w:val="07402BE8"/>
    <w:rsid w:val="07757612"/>
    <w:rsid w:val="078C5300"/>
    <w:rsid w:val="07C05BA3"/>
    <w:rsid w:val="07C471B2"/>
    <w:rsid w:val="07F76CA7"/>
    <w:rsid w:val="07F81CA6"/>
    <w:rsid w:val="082D0D5E"/>
    <w:rsid w:val="087E3119"/>
    <w:rsid w:val="088E04ED"/>
    <w:rsid w:val="08A52939"/>
    <w:rsid w:val="08BE627A"/>
    <w:rsid w:val="08C07E24"/>
    <w:rsid w:val="08C607F0"/>
    <w:rsid w:val="08CC0577"/>
    <w:rsid w:val="08FB4BA5"/>
    <w:rsid w:val="0911242E"/>
    <w:rsid w:val="09280895"/>
    <w:rsid w:val="092D4D1C"/>
    <w:rsid w:val="09750C0F"/>
    <w:rsid w:val="098175B4"/>
    <w:rsid w:val="09DE547F"/>
    <w:rsid w:val="09E638BB"/>
    <w:rsid w:val="09E92ED1"/>
    <w:rsid w:val="0A067AB9"/>
    <w:rsid w:val="0A251C00"/>
    <w:rsid w:val="0A8F3F52"/>
    <w:rsid w:val="0AA1189D"/>
    <w:rsid w:val="0AF017BA"/>
    <w:rsid w:val="0B0D77B0"/>
    <w:rsid w:val="0B30303F"/>
    <w:rsid w:val="0B673342"/>
    <w:rsid w:val="0BDD0D82"/>
    <w:rsid w:val="0BFF1A71"/>
    <w:rsid w:val="0C0F0EA7"/>
    <w:rsid w:val="0C674136"/>
    <w:rsid w:val="0C801DA5"/>
    <w:rsid w:val="0C8E44C1"/>
    <w:rsid w:val="0CC3104A"/>
    <w:rsid w:val="0CC955BE"/>
    <w:rsid w:val="0CD079C5"/>
    <w:rsid w:val="0CF72E53"/>
    <w:rsid w:val="0D8301BA"/>
    <w:rsid w:val="0DBB7AFD"/>
    <w:rsid w:val="0DC470DA"/>
    <w:rsid w:val="0DFF7FC8"/>
    <w:rsid w:val="0E1B7FD7"/>
    <w:rsid w:val="0E39220B"/>
    <w:rsid w:val="0E664FCA"/>
    <w:rsid w:val="0E7A4E25"/>
    <w:rsid w:val="0E8652B6"/>
    <w:rsid w:val="0EB51830"/>
    <w:rsid w:val="0EC53B0D"/>
    <w:rsid w:val="0EE63E27"/>
    <w:rsid w:val="0F01319E"/>
    <w:rsid w:val="0F9B7155"/>
    <w:rsid w:val="0FDD19F6"/>
    <w:rsid w:val="102B1CFD"/>
    <w:rsid w:val="104F5B80"/>
    <w:rsid w:val="1059010A"/>
    <w:rsid w:val="105B5E6F"/>
    <w:rsid w:val="10962649"/>
    <w:rsid w:val="10AE3B69"/>
    <w:rsid w:val="10B9616D"/>
    <w:rsid w:val="10C33B0F"/>
    <w:rsid w:val="10D16104"/>
    <w:rsid w:val="10DC1574"/>
    <w:rsid w:val="111B6DA3"/>
    <w:rsid w:val="11277FB0"/>
    <w:rsid w:val="112847B9"/>
    <w:rsid w:val="11617912"/>
    <w:rsid w:val="1184061B"/>
    <w:rsid w:val="1196605D"/>
    <w:rsid w:val="11A958FA"/>
    <w:rsid w:val="11B22D73"/>
    <w:rsid w:val="121431B8"/>
    <w:rsid w:val="12240253"/>
    <w:rsid w:val="12491D69"/>
    <w:rsid w:val="12631F4C"/>
    <w:rsid w:val="12643F6B"/>
    <w:rsid w:val="126F08F1"/>
    <w:rsid w:val="127933AC"/>
    <w:rsid w:val="1285376F"/>
    <w:rsid w:val="12957088"/>
    <w:rsid w:val="12D82C44"/>
    <w:rsid w:val="12DF03EC"/>
    <w:rsid w:val="12FD2134"/>
    <w:rsid w:val="13031039"/>
    <w:rsid w:val="13043059"/>
    <w:rsid w:val="13143B13"/>
    <w:rsid w:val="131F1EDC"/>
    <w:rsid w:val="1360648C"/>
    <w:rsid w:val="137A2D83"/>
    <w:rsid w:val="13914897"/>
    <w:rsid w:val="139B0D39"/>
    <w:rsid w:val="13AC7923"/>
    <w:rsid w:val="13B1357B"/>
    <w:rsid w:val="13C133CE"/>
    <w:rsid w:val="13D62C3A"/>
    <w:rsid w:val="13E452E8"/>
    <w:rsid w:val="143706EB"/>
    <w:rsid w:val="14636979"/>
    <w:rsid w:val="146C3A9E"/>
    <w:rsid w:val="14AD0A80"/>
    <w:rsid w:val="14C6467D"/>
    <w:rsid w:val="14E1232E"/>
    <w:rsid w:val="14E855AE"/>
    <w:rsid w:val="14F37C3B"/>
    <w:rsid w:val="14FE5F5C"/>
    <w:rsid w:val="15003A82"/>
    <w:rsid w:val="151C4AB2"/>
    <w:rsid w:val="154A2F50"/>
    <w:rsid w:val="156328A3"/>
    <w:rsid w:val="157B7F4A"/>
    <w:rsid w:val="158753B5"/>
    <w:rsid w:val="15E2587E"/>
    <w:rsid w:val="15EB25DA"/>
    <w:rsid w:val="16007BEB"/>
    <w:rsid w:val="160B2261"/>
    <w:rsid w:val="160C6659"/>
    <w:rsid w:val="163A6142"/>
    <w:rsid w:val="163B5B8B"/>
    <w:rsid w:val="163F682C"/>
    <w:rsid w:val="16465E0D"/>
    <w:rsid w:val="164A4AB2"/>
    <w:rsid w:val="16582CFB"/>
    <w:rsid w:val="1676615B"/>
    <w:rsid w:val="16A71FAA"/>
    <w:rsid w:val="16A95DCF"/>
    <w:rsid w:val="16D23D7F"/>
    <w:rsid w:val="16D76A65"/>
    <w:rsid w:val="16F06BB2"/>
    <w:rsid w:val="17023688"/>
    <w:rsid w:val="170E4685"/>
    <w:rsid w:val="17396CFA"/>
    <w:rsid w:val="173C2D6C"/>
    <w:rsid w:val="174724F7"/>
    <w:rsid w:val="17604CAC"/>
    <w:rsid w:val="17726786"/>
    <w:rsid w:val="17775314"/>
    <w:rsid w:val="178A3AD7"/>
    <w:rsid w:val="179130B8"/>
    <w:rsid w:val="17F2171A"/>
    <w:rsid w:val="17F35B20"/>
    <w:rsid w:val="17FF691C"/>
    <w:rsid w:val="180A4C18"/>
    <w:rsid w:val="18365A0D"/>
    <w:rsid w:val="186000AA"/>
    <w:rsid w:val="18D41B24"/>
    <w:rsid w:val="18E267B3"/>
    <w:rsid w:val="191E4471"/>
    <w:rsid w:val="19280074"/>
    <w:rsid w:val="198426F9"/>
    <w:rsid w:val="199D3F96"/>
    <w:rsid w:val="19D90D46"/>
    <w:rsid w:val="19DB4820"/>
    <w:rsid w:val="1A4B4271"/>
    <w:rsid w:val="1A964EAC"/>
    <w:rsid w:val="1A980C31"/>
    <w:rsid w:val="1AC03B72"/>
    <w:rsid w:val="1AC60538"/>
    <w:rsid w:val="1ADC02BA"/>
    <w:rsid w:val="1B1C0EEA"/>
    <w:rsid w:val="1B416BA3"/>
    <w:rsid w:val="1B473137"/>
    <w:rsid w:val="1B4C3F58"/>
    <w:rsid w:val="1B753723"/>
    <w:rsid w:val="1B950C9D"/>
    <w:rsid w:val="1B970EB9"/>
    <w:rsid w:val="1BA530D8"/>
    <w:rsid w:val="1BAA299A"/>
    <w:rsid w:val="1BB2516C"/>
    <w:rsid w:val="1BF5AAB0"/>
    <w:rsid w:val="1C0A6F71"/>
    <w:rsid w:val="1C197E29"/>
    <w:rsid w:val="1C2269D4"/>
    <w:rsid w:val="1C334F74"/>
    <w:rsid w:val="1C4050AC"/>
    <w:rsid w:val="1C56042C"/>
    <w:rsid w:val="1C5D0BEE"/>
    <w:rsid w:val="1C602C04"/>
    <w:rsid w:val="1C874A89"/>
    <w:rsid w:val="1C8D2F1D"/>
    <w:rsid w:val="1CA45DEC"/>
    <w:rsid w:val="1CA63F19"/>
    <w:rsid w:val="1CA94A00"/>
    <w:rsid w:val="1CAB4C1C"/>
    <w:rsid w:val="1CD501DC"/>
    <w:rsid w:val="1D251260"/>
    <w:rsid w:val="1D252579"/>
    <w:rsid w:val="1D320CC5"/>
    <w:rsid w:val="1D3834CF"/>
    <w:rsid w:val="1D3D1873"/>
    <w:rsid w:val="1D572919"/>
    <w:rsid w:val="1D584EAC"/>
    <w:rsid w:val="1D691375"/>
    <w:rsid w:val="1D8D4E5D"/>
    <w:rsid w:val="1DC064A5"/>
    <w:rsid w:val="1DD05275"/>
    <w:rsid w:val="1DD41F50"/>
    <w:rsid w:val="1DE01993"/>
    <w:rsid w:val="1DE1641B"/>
    <w:rsid w:val="1DFF753E"/>
    <w:rsid w:val="1DFFF0A5"/>
    <w:rsid w:val="1E19489C"/>
    <w:rsid w:val="1E25455A"/>
    <w:rsid w:val="1E3801D7"/>
    <w:rsid w:val="1E3D759E"/>
    <w:rsid w:val="1E4A671A"/>
    <w:rsid w:val="1E5369D0"/>
    <w:rsid w:val="1E6A01BF"/>
    <w:rsid w:val="1EEEC191"/>
    <w:rsid w:val="1EF22751"/>
    <w:rsid w:val="1F240D25"/>
    <w:rsid w:val="1F2F60C8"/>
    <w:rsid w:val="1F630FD9"/>
    <w:rsid w:val="1FBB1775"/>
    <w:rsid w:val="1FBE4C66"/>
    <w:rsid w:val="1FCF0C21"/>
    <w:rsid w:val="1FD941DA"/>
    <w:rsid w:val="1FE25C23"/>
    <w:rsid w:val="2009641F"/>
    <w:rsid w:val="2020053C"/>
    <w:rsid w:val="203334D1"/>
    <w:rsid w:val="207A70D9"/>
    <w:rsid w:val="207C43F8"/>
    <w:rsid w:val="20820C62"/>
    <w:rsid w:val="20C04A0E"/>
    <w:rsid w:val="21404409"/>
    <w:rsid w:val="214709EA"/>
    <w:rsid w:val="21657A51"/>
    <w:rsid w:val="21894E00"/>
    <w:rsid w:val="21AC3DB3"/>
    <w:rsid w:val="21C00F0E"/>
    <w:rsid w:val="21CC6D4C"/>
    <w:rsid w:val="21CF4F08"/>
    <w:rsid w:val="22013D1D"/>
    <w:rsid w:val="220A23E4"/>
    <w:rsid w:val="22250FCC"/>
    <w:rsid w:val="22353B2B"/>
    <w:rsid w:val="223C00C4"/>
    <w:rsid w:val="22401962"/>
    <w:rsid w:val="2251554A"/>
    <w:rsid w:val="227B0BEC"/>
    <w:rsid w:val="228316AC"/>
    <w:rsid w:val="22A569C0"/>
    <w:rsid w:val="22A82894"/>
    <w:rsid w:val="22B4192D"/>
    <w:rsid w:val="22B943E7"/>
    <w:rsid w:val="22C02AA3"/>
    <w:rsid w:val="22DD47CD"/>
    <w:rsid w:val="22F028ED"/>
    <w:rsid w:val="22FA4207"/>
    <w:rsid w:val="23042EFF"/>
    <w:rsid w:val="2316700E"/>
    <w:rsid w:val="231B417D"/>
    <w:rsid w:val="233D2346"/>
    <w:rsid w:val="23711416"/>
    <w:rsid w:val="237325A6"/>
    <w:rsid w:val="23892362"/>
    <w:rsid w:val="238A7DBA"/>
    <w:rsid w:val="23A21D52"/>
    <w:rsid w:val="23E56F43"/>
    <w:rsid w:val="23EF2834"/>
    <w:rsid w:val="23F90CF2"/>
    <w:rsid w:val="243A0633"/>
    <w:rsid w:val="2440568A"/>
    <w:rsid w:val="245636BF"/>
    <w:rsid w:val="245F5BD8"/>
    <w:rsid w:val="246C2851"/>
    <w:rsid w:val="247955FF"/>
    <w:rsid w:val="2487775E"/>
    <w:rsid w:val="249266C1"/>
    <w:rsid w:val="24942439"/>
    <w:rsid w:val="24D46CDA"/>
    <w:rsid w:val="24F353B2"/>
    <w:rsid w:val="250B33FF"/>
    <w:rsid w:val="250D5B0A"/>
    <w:rsid w:val="2511775C"/>
    <w:rsid w:val="25203261"/>
    <w:rsid w:val="253D4222"/>
    <w:rsid w:val="256C6F12"/>
    <w:rsid w:val="259F4C1E"/>
    <w:rsid w:val="25C32E03"/>
    <w:rsid w:val="25C86E84"/>
    <w:rsid w:val="25CB4399"/>
    <w:rsid w:val="25D565A0"/>
    <w:rsid w:val="25F807A6"/>
    <w:rsid w:val="26025181"/>
    <w:rsid w:val="260809E9"/>
    <w:rsid w:val="263B7010"/>
    <w:rsid w:val="265045E4"/>
    <w:rsid w:val="267F0C45"/>
    <w:rsid w:val="26914755"/>
    <w:rsid w:val="26D367BA"/>
    <w:rsid w:val="26E72CF4"/>
    <w:rsid w:val="26F7B346"/>
    <w:rsid w:val="26FB22FC"/>
    <w:rsid w:val="270A253F"/>
    <w:rsid w:val="27167136"/>
    <w:rsid w:val="27210100"/>
    <w:rsid w:val="27361586"/>
    <w:rsid w:val="274912B9"/>
    <w:rsid w:val="276460F3"/>
    <w:rsid w:val="277E5333"/>
    <w:rsid w:val="27B06542"/>
    <w:rsid w:val="27C91548"/>
    <w:rsid w:val="28054735"/>
    <w:rsid w:val="28183A49"/>
    <w:rsid w:val="28364D3A"/>
    <w:rsid w:val="283A128D"/>
    <w:rsid w:val="28446E7D"/>
    <w:rsid w:val="284A1528"/>
    <w:rsid w:val="289E7DFB"/>
    <w:rsid w:val="28AB1255"/>
    <w:rsid w:val="28E663D8"/>
    <w:rsid w:val="28FC3BD8"/>
    <w:rsid w:val="28FD33EC"/>
    <w:rsid w:val="290E011D"/>
    <w:rsid w:val="294D2BB7"/>
    <w:rsid w:val="29C55868"/>
    <w:rsid w:val="29CA02C8"/>
    <w:rsid w:val="2A3C6EB3"/>
    <w:rsid w:val="2A7C7BF7"/>
    <w:rsid w:val="2AA7245F"/>
    <w:rsid w:val="2AD76BDC"/>
    <w:rsid w:val="2AE5579D"/>
    <w:rsid w:val="2AF77E8C"/>
    <w:rsid w:val="2B0D3BB0"/>
    <w:rsid w:val="2B14398C"/>
    <w:rsid w:val="2B332270"/>
    <w:rsid w:val="2B481888"/>
    <w:rsid w:val="2B54022C"/>
    <w:rsid w:val="2B5D3585"/>
    <w:rsid w:val="2BD15781"/>
    <w:rsid w:val="2BD66E93"/>
    <w:rsid w:val="2BE21CDC"/>
    <w:rsid w:val="2BEC4909"/>
    <w:rsid w:val="2C0B775A"/>
    <w:rsid w:val="2C666469"/>
    <w:rsid w:val="2C6F788B"/>
    <w:rsid w:val="2C8E6F44"/>
    <w:rsid w:val="2CC15D7F"/>
    <w:rsid w:val="2CF15C51"/>
    <w:rsid w:val="2D07786C"/>
    <w:rsid w:val="2D5A7B2B"/>
    <w:rsid w:val="2D691711"/>
    <w:rsid w:val="2D6A046D"/>
    <w:rsid w:val="2D9E60D7"/>
    <w:rsid w:val="2DFD4BAB"/>
    <w:rsid w:val="2E536EC1"/>
    <w:rsid w:val="2E67296D"/>
    <w:rsid w:val="2E6952B5"/>
    <w:rsid w:val="2E734E6D"/>
    <w:rsid w:val="2E7E31A4"/>
    <w:rsid w:val="2EAD4823"/>
    <w:rsid w:val="2EAE5EA6"/>
    <w:rsid w:val="2EC27BA3"/>
    <w:rsid w:val="2ECC46F5"/>
    <w:rsid w:val="2EE6563F"/>
    <w:rsid w:val="2F083808"/>
    <w:rsid w:val="2F1A178D"/>
    <w:rsid w:val="2F6A7056"/>
    <w:rsid w:val="2F755505"/>
    <w:rsid w:val="2FB90FA6"/>
    <w:rsid w:val="2FD20138"/>
    <w:rsid w:val="2FF74247"/>
    <w:rsid w:val="30281C88"/>
    <w:rsid w:val="304869A0"/>
    <w:rsid w:val="305A50E7"/>
    <w:rsid w:val="305B205D"/>
    <w:rsid w:val="306C6018"/>
    <w:rsid w:val="30706BEF"/>
    <w:rsid w:val="307D2D30"/>
    <w:rsid w:val="308A649E"/>
    <w:rsid w:val="30A26452"/>
    <w:rsid w:val="30CD5E8E"/>
    <w:rsid w:val="30D86E69"/>
    <w:rsid w:val="313C1E8F"/>
    <w:rsid w:val="31624A09"/>
    <w:rsid w:val="317DE5F1"/>
    <w:rsid w:val="318409CB"/>
    <w:rsid w:val="31C823B9"/>
    <w:rsid w:val="32140500"/>
    <w:rsid w:val="32266F65"/>
    <w:rsid w:val="32270449"/>
    <w:rsid w:val="323E5792"/>
    <w:rsid w:val="327402D3"/>
    <w:rsid w:val="32A277CA"/>
    <w:rsid w:val="32D14858"/>
    <w:rsid w:val="32D5DC4B"/>
    <w:rsid w:val="33016C78"/>
    <w:rsid w:val="332C1651"/>
    <w:rsid w:val="33890C8F"/>
    <w:rsid w:val="33A15FD9"/>
    <w:rsid w:val="33C65A3F"/>
    <w:rsid w:val="33FF585B"/>
    <w:rsid w:val="34264730"/>
    <w:rsid w:val="3451330B"/>
    <w:rsid w:val="345474EF"/>
    <w:rsid w:val="348A6712"/>
    <w:rsid w:val="348E76C9"/>
    <w:rsid w:val="34A00995"/>
    <w:rsid w:val="34D670AE"/>
    <w:rsid w:val="34DE7744"/>
    <w:rsid w:val="34F52A80"/>
    <w:rsid w:val="35211922"/>
    <w:rsid w:val="352167CF"/>
    <w:rsid w:val="35373099"/>
    <w:rsid w:val="355552CD"/>
    <w:rsid w:val="355C372E"/>
    <w:rsid w:val="35670F33"/>
    <w:rsid w:val="35BB01BC"/>
    <w:rsid w:val="35FE7713"/>
    <w:rsid w:val="35FF300C"/>
    <w:rsid w:val="363E3FB3"/>
    <w:rsid w:val="36453517"/>
    <w:rsid w:val="36580A84"/>
    <w:rsid w:val="36581519"/>
    <w:rsid w:val="36985520"/>
    <w:rsid w:val="36E656DB"/>
    <w:rsid w:val="36EE0DAC"/>
    <w:rsid w:val="36F87C76"/>
    <w:rsid w:val="37421881"/>
    <w:rsid w:val="375A28BD"/>
    <w:rsid w:val="375C12D9"/>
    <w:rsid w:val="37682AB2"/>
    <w:rsid w:val="377D30CE"/>
    <w:rsid w:val="378B730D"/>
    <w:rsid w:val="37FC4126"/>
    <w:rsid w:val="38022573"/>
    <w:rsid w:val="3802344A"/>
    <w:rsid w:val="3813144F"/>
    <w:rsid w:val="38333F25"/>
    <w:rsid w:val="38545D86"/>
    <w:rsid w:val="38822AC1"/>
    <w:rsid w:val="38895522"/>
    <w:rsid w:val="38B642D4"/>
    <w:rsid w:val="395D0BF4"/>
    <w:rsid w:val="39A36682"/>
    <w:rsid w:val="39B051C8"/>
    <w:rsid w:val="39D7D948"/>
    <w:rsid w:val="3A04298C"/>
    <w:rsid w:val="3A053032"/>
    <w:rsid w:val="3A083232"/>
    <w:rsid w:val="3A0B0650"/>
    <w:rsid w:val="3A2434F2"/>
    <w:rsid w:val="3A60099C"/>
    <w:rsid w:val="3A633FE5"/>
    <w:rsid w:val="3A6807EC"/>
    <w:rsid w:val="3A854A54"/>
    <w:rsid w:val="3A9C399E"/>
    <w:rsid w:val="3AA56F5F"/>
    <w:rsid w:val="3AE72E6B"/>
    <w:rsid w:val="3B1D370A"/>
    <w:rsid w:val="3B2F036E"/>
    <w:rsid w:val="3B2FBB33"/>
    <w:rsid w:val="3B301622"/>
    <w:rsid w:val="3B453202"/>
    <w:rsid w:val="3B627439"/>
    <w:rsid w:val="3B7D1FFA"/>
    <w:rsid w:val="3BA672D6"/>
    <w:rsid w:val="3BCA42B1"/>
    <w:rsid w:val="3BDA598A"/>
    <w:rsid w:val="3BE556D1"/>
    <w:rsid w:val="3BED848B"/>
    <w:rsid w:val="3C5B0B93"/>
    <w:rsid w:val="3C65673D"/>
    <w:rsid w:val="3C84443D"/>
    <w:rsid w:val="3CC43E13"/>
    <w:rsid w:val="3CD57C20"/>
    <w:rsid w:val="3CDF1048"/>
    <w:rsid w:val="3CEF24AB"/>
    <w:rsid w:val="3CFA3AE8"/>
    <w:rsid w:val="3D310A41"/>
    <w:rsid w:val="3D3D1A63"/>
    <w:rsid w:val="3D5051DA"/>
    <w:rsid w:val="3D5B0736"/>
    <w:rsid w:val="3D741660"/>
    <w:rsid w:val="3D956BAE"/>
    <w:rsid w:val="3DC56B27"/>
    <w:rsid w:val="3DCDB85C"/>
    <w:rsid w:val="3DDFBACA"/>
    <w:rsid w:val="3DFB4478"/>
    <w:rsid w:val="3DFBD94F"/>
    <w:rsid w:val="3DFF057B"/>
    <w:rsid w:val="3E1E66A1"/>
    <w:rsid w:val="3E52324D"/>
    <w:rsid w:val="3E542365"/>
    <w:rsid w:val="3E574F0E"/>
    <w:rsid w:val="3E5A1AC3"/>
    <w:rsid w:val="3E6F38A3"/>
    <w:rsid w:val="3E9D7E49"/>
    <w:rsid w:val="3EA970FE"/>
    <w:rsid w:val="3ED92ACB"/>
    <w:rsid w:val="3EDC25BB"/>
    <w:rsid w:val="3EE0262C"/>
    <w:rsid w:val="3EFF1F59"/>
    <w:rsid w:val="3F00466A"/>
    <w:rsid w:val="3F087868"/>
    <w:rsid w:val="3F0FD6D4"/>
    <w:rsid w:val="3F391984"/>
    <w:rsid w:val="3F7755AE"/>
    <w:rsid w:val="3F7D2D46"/>
    <w:rsid w:val="3F843B96"/>
    <w:rsid w:val="3F8D5553"/>
    <w:rsid w:val="3F9AFC76"/>
    <w:rsid w:val="3FA23E73"/>
    <w:rsid w:val="3FAE21A9"/>
    <w:rsid w:val="3FBF4E9D"/>
    <w:rsid w:val="3FCC59BC"/>
    <w:rsid w:val="3FE61943"/>
    <w:rsid w:val="3FFFA867"/>
    <w:rsid w:val="40101AEA"/>
    <w:rsid w:val="40111499"/>
    <w:rsid w:val="40226500"/>
    <w:rsid w:val="40300E10"/>
    <w:rsid w:val="407879B5"/>
    <w:rsid w:val="40B41A41"/>
    <w:rsid w:val="40C120CD"/>
    <w:rsid w:val="40CB6D8B"/>
    <w:rsid w:val="40CD17BC"/>
    <w:rsid w:val="40EF1917"/>
    <w:rsid w:val="40EF6094"/>
    <w:rsid w:val="4108086F"/>
    <w:rsid w:val="41431B84"/>
    <w:rsid w:val="41913B31"/>
    <w:rsid w:val="4199432E"/>
    <w:rsid w:val="41A6671D"/>
    <w:rsid w:val="41C660F7"/>
    <w:rsid w:val="41D9254A"/>
    <w:rsid w:val="41E83F18"/>
    <w:rsid w:val="41F83A29"/>
    <w:rsid w:val="4202058A"/>
    <w:rsid w:val="420D591D"/>
    <w:rsid w:val="42187DAE"/>
    <w:rsid w:val="421E0F5B"/>
    <w:rsid w:val="42226EC9"/>
    <w:rsid w:val="427E2D85"/>
    <w:rsid w:val="429338D8"/>
    <w:rsid w:val="42B04F85"/>
    <w:rsid w:val="432937C0"/>
    <w:rsid w:val="43507DFC"/>
    <w:rsid w:val="43574906"/>
    <w:rsid w:val="435E3EE6"/>
    <w:rsid w:val="43A713E9"/>
    <w:rsid w:val="43C26223"/>
    <w:rsid w:val="43C27FD1"/>
    <w:rsid w:val="43EC32A0"/>
    <w:rsid w:val="440818D8"/>
    <w:rsid w:val="44102666"/>
    <w:rsid w:val="442B65B3"/>
    <w:rsid w:val="446403A0"/>
    <w:rsid w:val="449D27EC"/>
    <w:rsid w:val="44A91191"/>
    <w:rsid w:val="44D42B90"/>
    <w:rsid w:val="44D77AAC"/>
    <w:rsid w:val="44FF2277"/>
    <w:rsid w:val="45062140"/>
    <w:rsid w:val="451C7473"/>
    <w:rsid w:val="451C7960"/>
    <w:rsid w:val="452758F6"/>
    <w:rsid w:val="453D3EEC"/>
    <w:rsid w:val="455C6204"/>
    <w:rsid w:val="45801800"/>
    <w:rsid w:val="459F279E"/>
    <w:rsid w:val="45BB8BE9"/>
    <w:rsid w:val="460B799F"/>
    <w:rsid w:val="4632688C"/>
    <w:rsid w:val="46C557DB"/>
    <w:rsid w:val="46C93D6D"/>
    <w:rsid w:val="471517AC"/>
    <w:rsid w:val="47221EC0"/>
    <w:rsid w:val="4732546E"/>
    <w:rsid w:val="47595B5E"/>
    <w:rsid w:val="4782069B"/>
    <w:rsid w:val="479A1A05"/>
    <w:rsid w:val="47E2B2AB"/>
    <w:rsid w:val="47E726FC"/>
    <w:rsid w:val="47EEDB4B"/>
    <w:rsid w:val="48007F78"/>
    <w:rsid w:val="482F19AD"/>
    <w:rsid w:val="482F5E51"/>
    <w:rsid w:val="4847319B"/>
    <w:rsid w:val="48500DF2"/>
    <w:rsid w:val="488F68F0"/>
    <w:rsid w:val="4899680E"/>
    <w:rsid w:val="48C97EF9"/>
    <w:rsid w:val="48D95D3C"/>
    <w:rsid w:val="48F055E1"/>
    <w:rsid w:val="490270C2"/>
    <w:rsid w:val="495D4B69"/>
    <w:rsid w:val="496302AE"/>
    <w:rsid w:val="498B70B7"/>
    <w:rsid w:val="49970DB2"/>
    <w:rsid w:val="49B55854"/>
    <w:rsid w:val="49BD3C89"/>
    <w:rsid w:val="4A410842"/>
    <w:rsid w:val="4A8E3303"/>
    <w:rsid w:val="4AAE7501"/>
    <w:rsid w:val="4AB04516"/>
    <w:rsid w:val="4AD36ADF"/>
    <w:rsid w:val="4B3865FC"/>
    <w:rsid w:val="4B5005B9"/>
    <w:rsid w:val="4B5F55B3"/>
    <w:rsid w:val="4B86231B"/>
    <w:rsid w:val="4BA206E8"/>
    <w:rsid w:val="4BED2B6B"/>
    <w:rsid w:val="4C1E0756"/>
    <w:rsid w:val="4C5E4F57"/>
    <w:rsid w:val="4C870899"/>
    <w:rsid w:val="4CA7245A"/>
    <w:rsid w:val="4CC5050B"/>
    <w:rsid w:val="4CDD5E7C"/>
    <w:rsid w:val="4CEA67EB"/>
    <w:rsid w:val="4CFA1CD7"/>
    <w:rsid w:val="4CFDC1B2"/>
    <w:rsid w:val="4D0D5AC2"/>
    <w:rsid w:val="4D447D52"/>
    <w:rsid w:val="4D470B7A"/>
    <w:rsid w:val="4D5B26C6"/>
    <w:rsid w:val="4D6A4789"/>
    <w:rsid w:val="4D9C3C64"/>
    <w:rsid w:val="4DD423EE"/>
    <w:rsid w:val="4DDB166D"/>
    <w:rsid w:val="4E031912"/>
    <w:rsid w:val="4E4B32B9"/>
    <w:rsid w:val="4E520D8C"/>
    <w:rsid w:val="4E545991"/>
    <w:rsid w:val="4E7D7917"/>
    <w:rsid w:val="4E9B0304"/>
    <w:rsid w:val="4EBF1F17"/>
    <w:rsid w:val="4EC866B8"/>
    <w:rsid w:val="4ECDB321"/>
    <w:rsid w:val="4ED0698D"/>
    <w:rsid w:val="4EDE1462"/>
    <w:rsid w:val="4EE63768"/>
    <w:rsid w:val="4EEA0D24"/>
    <w:rsid w:val="4EEF258A"/>
    <w:rsid w:val="4EF4342A"/>
    <w:rsid w:val="4F2064F4"/>
    <w:rsid w:val="4F271630"/>
    <w:rsid w:val="4F5902F9"/>
    <w:rsid w:val="4F6F63BB"/>
    <w:rsid w:val="4F801100"/>
    <w:rsid w:val="4F9D30B9"/>
    <w:rsid w:val="4FA04497"/>
    <w:rsid w:val="4FA9473B"/>
    <w:rsid w:val="4FB07F85"/>
    <w:rsid w:val="4FBA6948"/>
    <w:rsid w:val="4FE439C5"/>
    <w:rsid w:val="501B3C78"/>
    <w:rsid w:val="504B2D47"/>
    <w:rsid w:val="505179D5"/>
    <w:rsid w:val="50772144"/>
    <w:rsid w:val="5078139D"/>
    <w:rsid w:val="507F724A"/>
    <w:rsid w:val="50B96C00"/>
    <w:rsid w:val="50ED12A0"/>
    <w:rsid w:val="50F55521"/>
    <w:rsid w:val="511A6389"/>
    <w:rsid w:val="515E50B1"/>
    <w:rsid w:val="51974469"/>
    <w:rsid w:val="51A52CE0"/>
    <w:rsid w:val="51B26AC0"/>
    <w:rsid w:val="51BC5018"/>
    <w:rsid w:val="520C4646"/>
    <w:rsid w:val="5219601D"/>
    <w:rsid w:val="523302EC"/>
    <w:rsid w:val="52584BD7"/>
    <w:rsid w:val="52877104"/>
    <w:rsid w:val="529E16D0"/>
    <w:rsid w:val="52A27F97"/>
    <w:rsid w:val="52A720A8"/>
    <w:rsid w:val="52AD5988"/>
    <w:rsid w:val="52CC5C21"/>
    <w:rsid w:val="52F70230"/>
    <w:rsid w:val="53013630"/>
    <w:rsid w:val="530971A6"/>
    <w:rsid w:val="531E0DED"/>
    <w:rsid w:val="532E7CC6"/>
    <w:rsid w:val="532F4F57"/>
    <w:rsid w:val="533E38A0"/>
    <w:rsid w:val="537F3495"/>
    <w:rsid w:val="538C05FC"/>
    <w:rsid w:val="538C30C4"/>
    <w:rsid w:val="539312DB"/>
    <w:rsid w:val="539E0C46"/>
    <w:rsid w:val="53A4381D"/>
    <w:rsid w:val="53D12F03"/>
    <w:rsid w:val="53D55AFF"/>
    <w:rsid w:val="540A5703"/>
    <w:rsid w:val="54475C01"/>
    <w:rsid w:val="544B4013"/>
    <w:rsid w:val="544D5EC8"/>
    <w:rsid w:val="547E551D"/>
    <w:rsid w:val="548067C5"/>
    <w:rsid w:val="548412D3"/>
    <w:rsid w:val="548A5AC1"/>
    <w:rsid w:val="54D656F3"/>
    <w:rsid w:val="54D86127"/>
    <w:rsid w:val="54D87DBE"/>
    <w:rsid w:val="550F6DEF"/>
    <w:rsid w:val="55124B31"/>
    <w:rsid w:val="55356037"/>
    <w:rsid w:val="55375F74"/>
    <w:rsid w:val="55631913"/>
    <w:rsid w:val="559E63C4"/>
    <w:rsid w:val="55C51814"/>
    <w:rsid w:val="55CF9F9B"/>
    <w:rsid w:val="55E06D2A"/>
    <w:rsid w:val="55E85946"/>
    <w:rsid w:val="55EF10BA"/>
    <w:rsid w:val="55FD878D"/>
    <w:rsid w:val="561641AD"/>
    <w:rsid w:val="5623777B"/>
    <w:rsid w:val="5637484F"/>
    <w:rsid w:val="56384123"/>
    <w:rsid w:val="564160B0"/>
    <w:rsid w:val="564F68CF"/>
    <w:rsid w:val="56616209"/>
    <w:rsid w:val="566EAFA7"/>
    <w:rsid w:val="56727785"/>
    <w:rsid w:val="56BEC401"/>
    <w:rsid w:val="56C37E91"/>
    <w:rsid w:val="56CC1298"/>
    <w:rsid w:val="572C7A0E"/>
    <w:rsid w:val="574808E2"/>
    <w:rsid w:val="576645CF"/>
    <w:rsid w:val="578D049F"/>
    <w:rsid w:val="57932DC4"/>
    <w:rsid w:val="57AE79E7"/>
    <w:rsid w:val="57CB5AE3"/>
    <w:rsid w:val="57CE0F24"/>
    <w:rsid w:val="57D44630"/>
    <w:rsid w:val="57E731B5"/>
    <w:rsid w:val="57E82929"/>
    <w:rsid w:val="57EE57E7"/>
    <w:rsid w:val="57FEEAFF"/>
    <w:rsid w:val="58051797"/>
    <w:rsid w:val="5815460A"/>
    <w:rsid w:val="58214023"/>
    <w:rsid w:val="583C0F42"/>
    <w:rsid w:val="58D2260D"/>
    <w:rsid w:val="58D5034F"/>
    <w:rsid w:val="595E6596"/>
    <w:rsid w:val="597C07CB"/>
    <w:rsid w:val="599E0E54"/>
    <w:rsid w:val="59E16582"/>
    <w:rsid w:val="59F6057D"/>
    <w:rsid w:val="5A763D56"/>
    <w:rsid w:val="5A7B1206"/>
    <w:rsid w:val="5A8262B5"/>
    <w:rsid w:val="5A9304C2"/>
    <w:rsid w:val="5AA31152"/>
    <w:rsid w:val="5AA601F5"/>
    <w:rsid w:val="5AB60729"/>
    <w:rsid w:val="5B317A04"/>
    <w:rsid w:val="5B3C0DBD"/>
    <w:rsid w:val="5B671C5E"/>
    <w:rsid w:val="5BA416E6"/>
    <w:rsid w:val="5BC326E1"/>
    <w:rsid w:val="5BCB0B78"/>
    <w:rsid w:val="5BDE41EF"/>
    <w:rsid w:val="5BE7F168"/>
    <w:rsid w:val="5BEE6967"/>
    <w:rsid w:val="5BEFFB1C"/>
    <w:rsid w:val="5BFD215F"/>
    <w:rsid w:val="5BFFBF2D"/>
    <w:rsid w:val="5C0C22DA"/>
    <w:rsid w:val="5C0F5926"/>
    <w:rsid w:val="5C125C60"/>
    <w:rsid w:val="5C501DC8"/>
    <w:rsid w:val="5C52370C"/>
    <w:rsid w:val="5C5F7C1B"/>
    <w:rsid w:val="5C6340A3"/>
    <w:rsid w:val="5C6A3A2D"/>
    <w:rsid w:val="5C6E4D42"/>
    <w:rsid w:val="5C9D73D6"/>
    <w:rsid w:val="5C9E5181"/>
    <w:rsid w:val="5D0D6309"/>
    <w:rsid w:val="5D318472"/>
    <w:rsid w:val="5D4E1605"/>
    <w:rsid w:val="5D504448"/>
    <w:rsid w:val="5D537349"/>
    <w:rsid w:val="5D7E8EB8"/>
    <w:rsid w:val="5DC00580"/>
    <w:rsid w:val="5DCC30FF"/>
    <w:rsid w:val="5DF57146"/>
    <w:rsid w:val="5E281D50"/>
    <w:rsid w:val="5E3577AE"/>
    <w:rsid w:val="5E4E6BDA"/>
    <w:rsid w:val="5E7F747C"/>
    <w:rsid w:val="5EA345D2"/>
    <w:rsid w:val="5EAA5DDA"/>
    <w:rsid w:val="5EBD5323"/>
    <w:rsid w:val="5EC23124"/>
    <w:rsid w:val="5EC3BBAB"/>
    <w:rsid w:val="5EC44B06"/>
    <w:rsid w:val="5ECE0637"/>
    <w:rsid w:val="5ED20B29"/>
    <w:rsid w:val="5EFBBBFE"/>
    <w:rsid w:val="5F220723"/>
    <w:rsid w:val="5F3B4F37"/>
    <w:rsid w:val="5F4C0C3F"/>
    <w:rsid w:val="5F4FF4B8"/>
    <w:rsid w:val="5F594F19"/>
    <w:rsid w:val="5F5C0E82"/>
    <w:rsid w:val="5F5F0C6E"/>
    <w:rsid w:val="5F683CCB"/>
    <w:rsid w:val="5F731427"/>
    <w:rsid w:val="5F76650A"/>
    <w:rsid w:val="5F93061C"/>
    <w:rsid w:val="5FA74A55"/>
    <w:rsid w:val="5FAA3AFF"/>
    <w:rsid w:val="5FB40AB0"/>
    <w:rsid w:val="5FCD3B2E"/>
    <w:rsid w:val="5FDAB470"/>
    <w:rsid w:val="5FDC63D3"/>
    <w:rsid w:val="5FE3A983"/>
    <w:rsid w:val="5FFBE505"/>
    <w:rsid w:val="5FFFFED9"/>
    <w:rsid w:val="604E6937"/>
    <w:rsid w:val="60630B8F"/>
    <w:rsid w:val="606C77EB"/>
    <w:rsid w:val="609603C4"/>
    <w:rsid w:val="60B42F40"/>
    <w:rsid w:val="60CE4002"/>
    <w:rsid w:val="610B6CD7"/>
    <w:rsid w:val="610C1F3F"/>
    <w:rsid w:val="61294B28"/>
    <w:rsid w:val="614B35C0"/>
    <w:rsid w:val="616474CA"/>
    <w:rsid w:val="6172193C"/>
    <w:rsid w:val="6172201A"/>
    <w:rsid w:val="619A6E2E"/>
    <w:rsid w:val="61BA221E"/>
    <w:rsid w:val="61BA75C6"/>
    <w:rsid w:val="61C84EF5"/>
    <w:rsid w:val="61C93BBF"/>
    <w:rsid w:val="61F47A98"/>
    <w:rsid w:val="620A3C9F"/>
    <w:rsid w:val="621038DB"/>
    <w:rsid w:val="621C2B4B"/>
    <w:rsid w:val="622D5490"/>
    <w:rsid w:val="622F218A"/>
    <w:rsid w:val="623E1776"/>
    <w:rsid w:val="62436329"/>
    <w:rsid w:val="626052F2"/>
    <w:rsid w:val="62810F0E"/>
    <w:rsid w:val="628A69CE"/>
    <w:rsid w:val="628A7254"/>
    <w:rsid w:val="6291028B"/>
    <w:rsid w:val="62935CDE"/>
    <w:rsid w:val="62A50A9C"/>
    <w:rsid w:val="62BB0AF8"/>
    <w:rsid w:val="63021D41"/>
    <w:rsid w:val="631321A0"/>
    <w:rsid w:val="631B2E02"/>
    <w:rsid w:val="63424833"/>
    <w:rsid w:val="63516C64"/>
    <w:rsid w:val="635307EE"/>
    <w:rsid w:val="63590E7D"/>
    <w:rsid w:val="638F59E4"/>
    <w:rsid w:val="63A26C03"/>
    <w:rsid w:val="63D62D45"/>
    <w:rsid w:val="640B266D"/>
    <w:rsid w:val="64954E54"/>
    <w:rsid w:val="64DA2ADC"/>
    <w:rsid w:val="64E5191A"/>
    <w:rsid w:val="64F733FB"/>
    <w:rsid w:val="650362D7"/>
    <w:rsid w:val="65104BDB"/>
    <w:rsid w:val="65222B6E"/>
    <w:rsid w:val="65402FF4"/>
    <w:rsid w:val="655A6BE2"/>
    <w:rsid w:val="65735178"/>
    <w:rsid w:val="65783306"/>
    <w:rsid w:val="65827169"/>
    <w:rsid w:val="65B512EC"/>
    <w:rsid w:val="65BA45BC"/>
    <w:rsid w:val="65D336CE"/>
    <w:rsid w:val="65DA7590"/>
    <w:rsid w:val="65DF6369"/>
    <w:rsid w:val="65E12D35"/>
    <w:rsid w:val="65F176A9"/>
    <w:rsid w:val="66394B24"/>
    <w:rsid w:val="665B5EF5"/>
    <w:rsid w:val="666B7416"/>
    <w:rsid w:val="668F508F"/>
    <w:rsid w:val="67015916"/>
    <w:rsid w:val="675D123C"/>
    <w:rsid w:val="677FEECE"/>
    <w:rsid w:val="67AA29A7"/>
    <w:rsid w:val="67DA506E"/>
    <w:rsid w:val="67E170F8"/>
    <w:rsid w:val="67ED1853"/>
    <w:rsid w:val="67F64880"/>
    <w:rsid w:val="67F7DFC4"/>
    <w:rsid w:val="67FDE746"/>
    <w:rsid w:val="67FFF44D"/>
    <w:rsid w:val="680D7FE1"/>
    <w:rsid w:val="684A23F5"/>
    <w:rsid w:val="68C1444C"/>
    <w:rsid w:val="68CE384C"/>
    <w:rsid w:val="68D0618A"/>
    <w:rsid w:val="68D5A7D2"/>
    <w:rsid w:val="68DD3DAB"/>
    <w:rsid w:val="68EC1739"/>
    <w:rsid w:val="69162878"/>
    <w:rsid w:val="691E53FA"/>
    <w:rsid w:val="6949237B"/>
    <w:rsid w:val="69557143"/>
    <w:rsid w:val="697D7C9D"/>
    <w:rsid w:val="69934531"/>
    <w:rsid w:val="6996E000"/>
    <w:rsid w:val="699A7912"/>
    <w:rsid w:val="69AF0D22"/>
    <w:rsid w:val="69C61FB9"/>
    <w:rsid w:val="69CB5582"/>
    <w:rsid w:val="69D105E2"/>
    <w:rsid w:val="69DC0241"/>
    <w:rsid w:val="69FA40E3"/>
    <w:rsid w:val="69FF522C"/>
    <w:rsid w:val="69FF5C44"/>
    <w:rsid w:val="69FF7A92"/>
    <w:rsid w:val="6A270136"/>
    <w:rsid w:val="6A2E5C82"/>
    <w:rsid w:val="6A451A8E"/>
    <w:rsid w:val="6A61154B"/>
    <w:rsid w:val="6A692012"/>
    <w:rsid w:val="6A6F45A5"/>
    <w:rsid w:val="6ABE50E7"/>
    <w:rsid w:val="6AF9048F"/>
    <w:rsid w:val="6B3929BF"/>
    <w:rsid w:val="6B4EE38C"/>
    <w:rsid w:val="6B6307CE"/>
    <w:rsid w:val="6B737C7F"/>
    <w:rsid w:val="6B7D2712"/>
    <w:rsid w:val="6BD97AFD"/>
    <w:rsid w:val="6BFE53FD"/>
    <w:rsid w:val="6C04142F"/>
    <w:rsid w:val="6C060AF4"/>
    <w:rsid w:val="6C25286D"/>
    <w:rsid w:val="6C465394"/>
    <w:rsid w:val="6C4C7E3C"/>
    <w:rsid w:val="6C7F0497"/>
    <w:rsid w:val="6CDE737B"/>
    <w:rsid w:val="6CF959D6"/>
    <w:rsid w:val="6D193D0C"/>
    <w:rsid w:val="6D2A0A99"/>
    <w:rsid w:val="6D2F5EB0"/>
    <w:rsid w:val="6D342E96"/>
    <w:rsid w:val="6D390568"/>
    <w:rsid w:val="6D3B6583"/>
    <w:rsid w:val="6D6B4986"/>
    <w:rsid w:val="6D7762A4"/>
    <w:rsid w:val="6D7D938F"/>
    <w:rsid w:val="6D7F5893"/>
    <w:rsid w:val="6DAE1443"/>
    <w:rsid w:val="6DBD5724"/>
    <w:rsid w:val="6DD864C0"/>
    <w:rsid w:val="6DF59C98"/>
    <w:rsid w:val="6E2A6A7A"/>
    <w:rsid w:val="6E354E19"/>
    <w:rsid w:val="6E4F4146"/>
    <w:rsid w:val="6E7F8861"/>
    <w:rsid w:val="6E912A5B"/>
    <w:rsid w:val="6EB413D7"/>
    <w:rsid w:val="6EC45F46"/>
    <w:rsid w:val="6EED2E2E"/>
    <w:rsid w:val="6F094457"/>
    <w:rsid w:val="6F0A08FB"/>
    <w:rsid w:val="6F12155D"/>
    <w:rsid w:val="6F1B1434"/>
    <w:rsid w:val="6F3F60CB"/>
    <w:rsid w:val="6F413BF1"/>
    <w:rsid w:val="6F5E57A9"/>
    <w:rsid w:val="6F5F09D1"/>
    <w:rsid w:val="6F60676D"/>
    <w:rsid w:val="6F6431F4"/>
    <w:rsid w:val="6F751AEC"/>
    <w:rsid w:val="6F904A19"/>
    <w:rsid w:val="6F9E1043"/>
    <w:rsid w:val="6FA523D2"/>
    <w:rsid w:val="6FB026CC"/>
    <w:rsid w:val="6FBB7BD9"/>
    <w:rsid w:val="6FCFD5EB"/>
    <w:rsid w:val="6FEF1086"/>
    <w:rsid w:val="6FFA4806"/>
    <w:rsid w:val="6FFF13A4"/>
    <w:rsid w:val="700A66D9"/>
    <w:rsid w:val="70343BF2"/>
    <w:rsid w:val="703F6AB7"/>
    <w:rsid w:val="7045513D"/>
    <w:rsid w:val="70716758"/>
    <w:rsid w:val="70AE175A"/>
    <w:rsid w:val="70B82EFE"/>
    <w:rsid w:val="70D867D7"/>
    <w:rsid w:val="70DF2506"/>
    <w:rsid w:val="70FA71EB"/>
    <w:rsid w:val="70FB0A1E"/>
    <w:rsid w:val="71224B2C"/>
    <w:rsid w:val="71323370"/>
    <w:rsid w:val="71502811"/>
    <w:rsid w:val="7152012A"/>
    <w:rsid w:val="71637B14"/>
    <w:rsid w:val="71772BD3"/>
    <w:rsid w:val="71A87F57"/>
    <w:rsid w:val="71DDA6D8"/>
    <w:rsid w:val="71F64A2C"/>
    <w:rsid w:val="720553A9"/>
    <w:rsid w:val="722241AD"/>
    <w:rsid w:val="722630D5"/>
    <w:rsid w:val="7239220A"/>
    <w:rsid w:val="72716A26"/>
    <w:rsid w:val="72734B26"/>
    <w:rsid w:val="72916007"/>
    <w:rsid w:val="72A21CE6"/>
    <w:rsid w:val="72A35D15"/>
    <w:rsid w:val="72DF37DC"/>
    <w:rsid w:val="72E158F4"/>
    <w:rsid w:val="72E476B5"/>
    <w:rsid w:val="72FA63AE"/>
    <w:rsid w:val="733817AF"/>
    <w:rsid w:val="737427E7"/>
    <w:rsid w:val="73843011"/>
    <w:rsid w:val="739F35DC"/>
    <w:rsid w:val="73B02BDC"/>
    <w:rsid w:val="73CC7BB2"/>
    <w:rsid w:val="73F7C2DB"/>
    <w:rsid w:val="73FF9B81"/>
    <w:rsid w:val="743B50B2"/>
    <w:rsid w:val="743C3DE5"/>
    <w:rsid w:val="7443040B"/>
    <w:rsid w:val="74594980"/>
    <w:rsid w:val="74634609"/>
    <w:rsid w:val="74663604"/>
    <w:rsid w:val="7476258E"/>
    <w:rsid w:val="7476433D"/>
    <w:rsid w:val="748B3D8C"/>
    <w:rsid w:val="74B51309"/>
    <w:rsid w:val="74B54B02"/>
    <w:rsid w:val="74B66436"/>
    <w:rsid w:val="74C463D7"/>
    <w:rsid w:val="74DF0134"/>
    <w:rsid w:val="74EE4392"/>
    <w:rsid w:val="75100D0B"/>
    <w:rsid w:val="751853F4"/>
    <w:rsid w:val="753A180E"/>
    <w:rsid w:val="75573A6B"/>
    <w:rsid w:val="75694192"/>
    <w:rsid w:val="758324AC"/>
    <w:rsid w:val="758C6C69"/>
    <w:rsid w:val="75F61EF0"/>
    <w:rsid w:val="76147E47"/>
    <w:rsid w:val="76257DC8"/>
    <w:rsid w:val="762F6E99"/>
    <w:rsid w:val="764F26AB"/>
    <w:rsid w:val="765069A7"/>
    <w:rsid w:val="7665694D"/>
    <w:rsid w:val="76985EA2"/>
    <w:rsid w:val="769E507F"/>
    <w:rsid w:val="76AC04E9"/>
    <w:rsid w:val="76EE28B0"/>
    <w:rsid w:val="76EE4191"/>
    <w:rsid w:val="76FC0FDA"/>
    <w:rsid w:val="77162EED"/>
    <w:rsid w:val="77234EBA"/>
    <w:rsid w:val="77272DBC"/>
    <w:rsid w:val="773F6C26"/>
    <w:rsid w:val="77695E87"/>
    <w:rsid w:val="77789B13"/>
    <w:rsid w:val="77B70EF4"/>
    <w:rsid w:val="77BA09E4"/>
    <w:rsid w:val="77C52B3F"/>
    <w:rsid w:val="77DF044B"/>
    <w:rsid w:val="77E66908"/>
    <w:rsid w:val="77E6B8CF"/>
    <w:rsid w:val="77F52070"/>
    <w:rsid w:val="77F7AAAB"/>
    <w:rsid w:val="77F9DB5B"/>
    <w:rsid w:val="77FDE236"/>
    <w:rsid w:val="781A2731"/>
    <w:rsid w:val="781E1B9A"/>
    <w:rsid w:val="78240EAC"/>
    <w:rsid w:val="782D7408"/>
    <w:rsid w:val="78707DB1"/>
    <w:rsid w:val="7872306D"/>
    <w:rsid w:val="78982909"/>
    <w:rsid w:val="78992CEF"/>
    <w:rsid w:val="78CC4774"/>
    <w:rsid w:val="78E3598A"/>
    <w:rsid w:val="78E41530"/>
    <w:rsid w:val="79017606"/>
    <w:rsid w:val="79254512"/>
    <w:rsid w:val="793B2E42"/>
    <w:rsid w:val="79610E84"/>
    <w:rsid w:val="797C23F5"/>
    <w:rsid w:val="797E20D2"/>
    <w:rsid w:val="79DD5C7F"/>
    <w:rsid w:val="79F79ACD"/>
    <w:rsid w:val="7A077F60"/>
    <w:rsid w:val="7A1B069D"/>
    <w:rsid w:val="7A1F1F5A"/>
    <w:rsid w:val="7A3B26CF"/>
    <w:rsid w:val="7A777B3D"/>
    <w:rsid w:val="7A9E5209"/>
    <w:rsid w:val="7AB160CE"/>
    <w:rsid w:val="7ADBCDCD"/>
    <w:rsid w:val="7AEA7832"/>
    <w:rsid w:val="7AFFCB20"/>
    <w:rsid w:val="7B310FBD"/>
    <w:rsid w:val="7B35F9EC"/>
    <w:rsid w:val="7B5E491F"/>
    <w:rsid w:val="7B678C6B"/>
    <w:rsid w:val="7B6E3FBF"/>
    <w:rsid w:val="7BB634F9"/>
    <w:rsid w:val="7BCA578C"/>
    <w:rsid w:val="7BD52A50"/>
    <w:rsid w:val="7BF6345A"/>
    <w:rsid w:val="7C292A65"/>
    <w:rsid w:val="7C86235A"/>
    <w:rsid w:val="7C8A156A"/>
    <w:rsid w:val="7CBF1929"/>
    <w:rsid w:val="7CEDA36D"/>
    <w:rsid w:val="7CFCD121"/>
    <w:rsid w:val="7D4312E1"/>
    <w:rsid w:val="7D7CF030"/>
    <w:rsid w:val="7D8B2276"/>
    <w:rsid w:val="7D917A20"/>
    <w:rsid w:val="7D9FC99C"/>
    <w:rsid w:val="7DA32222"/>
    <w:rsid w:val="7DA948F8"/>
    <w:rsid w:val="7DAB5FD5"/>
    <w:rsid w:val="7DBF1020"/>
    <w:rsid w:val="7DBFAE58"/>
    <w:rsid w:val="7DBFE408"/>
    <w:rsid w:val="7DEB4F78"/>
    <w:rsid w:val="7DF5445D"/>
    <w:rsid w:val="7DFB6F3B"/>
    <w:rsid w:val="7DFEB27F"/>
    <w:rsid w:val="7E6751AD"/>
    <w:rsid w:val="7E7A6107"/>
    <w:rsid w:val="7E7FDF7A"/>
    <w:rsid w:val="7E9E696A"/>
    <w:rsid w:val="7E9FF3C1"/>
    <w:rsid w:val="7EB01103"/>
    <w:rsid w:val="7ECA2357"/>
    <w:rsid w:val="7ED73590"/>
    <w:rsid w:val="7EFF435A"/>
    <w:rsid w:val="7EFF95E9"/>
    <w:rsid w:val="7F0C421B"/>
    <w:rsid w:val="7F1F2C30"/>
    <w:rsid w:val="7F335931"/>
    <w:rsid w:val="7F385D51"/>
    <w:rsid w:val="7F3F8DE7"/>
    <w:rsid w:val="7F53AD15"/>
    <w:rsid w:val="7F55690C"/>
    <w:rsid w:val="7F691C30"/>
    <w:rsid w:val="7F6E346B"/>
    <w:rsid w:val="7F72CE96"/>
    <w:rsid w:val="7F795BB0"/>
    <w:rsid w:val="7F79EFB0"/>
    <w:rsid w:val="7F7C0542"/>
    <w:rsid w:val="7F7D504B"/>
    <w:rsid w:val="7F7DF675"/>
    <w:rsid w:val="7F7F1CF8"/>
    <w:rsid w:val="7F91649B"/>
    <w:rsid w:val="7F9E88C6"/>
    <w:rsid w:val="7F9F04C0"/>
    <w:rsid w:val="7FA55D66"/>
    <w:rsid w:val="7FB65F35"/>
    <w:rsid w:val="7FB7D00B"/>
    <w:rsid w:val="7FBC918B"/>
    <w:rsid w:val="7FBD15DD"/>
    <w:rsid w:val="7FCB7F71"/>
    <w:rsid w:val="7FD1ACE7"/>
    <w:rsid w:val="7FD4C4CA"/>
    <w:rsid w:val="7FD75186"/>
    <w:rsid w:val="7FDD69C3"/>
    <w:rsid w:val="7FDE53EA"/>
    <w:rsid w:val="7FDE6B21"/>
    <w:rsid w:val="7FDF2B88"/>
    <w:rsid w:val="7FDFBCF4"/>
    <w:rsid w:val="7FEE867E"/>
    <w:rsid w:val="7FF151BF"/>
    <w:rsid w:val="7FF54A46"/>
    <w:rsid w:val="7FF56A5D"/>
    <w:rsid w:val="7FF5F9F0"/>
    <w:rsid w:val="7FF675A3"/>
    <w:rsid w:val="7FF799B2"/>
    <w:rsid w:val="7FFB397D"/>
    <w:rsid w:val="7FFE5837"/>
    <w:rsid w:val="7FFF9984"/>
    <w:rsid w:val="8AFF798D"/>
    <w:rsid w:val="94FDF7B6"/>
    <w:rsid w:val="965BC8C8"/>
    <w:rsid w:val="96DDE11F"/>
    <w:rsid w:val="96DFF26E"/>
    <w:rsid w:val="9C5D8B08"/>
    <w:rsid w:val="9D5B3AD1"/>
    <w:rsid w:val="9E97A315"/>
    <w:rsid w:val="9F6E90AA"/>
    <w:rsid w:val="9F7F0683"/>
    <w:rsid w:val="9FBC9820"/>
    <w:rsid w:val="9FBF0E65"/>
    <w:rsid w:val="9FE7947E"/>
    <w:rsid w:val="9FF2E88C"/>
    <w:rsid w:val="9FFE646D"/>
    <w:rsid w:val="9FFF8BFE"/>
    <w:rsid w:val="A17DB9D3"/>
    <w:rsid w:val="A7F78BB3"/>
    <w:rsid w:val="A8EE87A0"/>
    <w:rsid w:val="A97BECD9"/>
    <w:rsid w:val="AB5BF459"/>
    <w:rsid w:val="ABE3A3A2"/>
    <w:rsid w:val="AD9FA718"/>
    <w:rsid w:val="ADDD63DF"/>
    <w:rsid w:val="ADFEDDEC"/>
    <w:rsid w:val="AE15E930"/>
    <w:rsid w:val="AFD7879E"/>
    <w:rsid w:val="AFEDB280"/>
    <w:rsid w:val="AFFB138F"/>
    <w:rsid w:val="B38FAF17"/>
    <w:rsid w:val="B3BE5AA9"/>
    <w:rsid w:val="B3DF3D0C"/>
    <w:rsid w:val="B73F25A9"/>
    <w:rsid w:val="B771DBA4"/>
    <w:rsid w:val="B7772AF9"/>
    <w:rsid w:val="B77AF7E6"/>
    <w:rsid w:val="B7BA0D4D"/>
    <w:rsid w:val="B7FE35AC"/>
    <w:rsid w:val="B9DD4280"/>
    <w:rsid w:val="BB3F2B8C"/>
    <w:rsid w:val="BB7FF50A"/>
    <w:rsid w:val="BBBDD138"/>
    <w:rsid w:val="BBF66328"/>
    <w:rsid w:val="BD3D8B24"/>
    <w:rsid w:val="BD7D2EBA"/>
    <w:rsid w:val="BDFD8635"/>
    <w:rsid w:val="BECA29CD"/>
    <w:rsid w:val="BF3F0E05"/>
    <w:rsid w:val="BF5A8257"/>
    <w:rsid w:val="BFAFDF8C"/>
    <w:rsid w:val="BFFAB066"/>
    <w:rsid w:val="BFFB6602"/>
    <w:rsid w:val="BFFDCEE0"/>
    <w:rsid w:val="CA7FD5BB"/>
    <w:rsid w:val="CAB50932"/>
    <w:rsid w:val="CBBE4628"/>
    <w:rsid w:val="CCFAD7B1"/>
    <w:rsid w:val="CFEBF856"/>
    <w:rsid w:val="D0F7FBF1"/>
    <w:rsid w:val="D4F9264A"/>
    <w:rsid w:val="D637907A"/>
    <w:rsid w:val="D97FA0FE"/>
    <w:rsid w:val="DAA6F6D5"/>
    <w:rsid w:val="DAFFB9C9"/>
    <w:rsid w:val="DB5B98A9"/>
    <w:rsid w:val="DB7D7170"/>
    <w:rsid w:val="DBDCABA7"/>
    <w:rsid w:val="DBDF6844"/>
    <w:rsid w:val="DBFB4B36"/>
    <w:rsid w:val="DBFD07DC"/>
    <w:rsid w:val="DC7D4F7D"/>
    <w:rsid w:val="DCBE6950"/>
    <w:rsid w:val="DCFF7B06"/>
    <w:rsid w:val="DDAF617C"/>
    <w:rsid w:val="DDF70303"/>
    <w:rsid w:val="DECF9334"/>
    <w:rsid w:val="DEF5A4A9"/>
    <w:rsid w:val="DEFF70A9"/>
    <w:rsid w:val="DF797A8B"/>
    <w:rsid w:val="DFBFB0DF"/>
    <w:rsid w:val="DFCF2B5F"/>
    <w:rsid w:val="DFF764FA"/>
    <w:rsid w:val="DFF7DCE6"/>
    <w:rsid w:val="E5E3CCFE"/>
    <w:rsid w:val="E73FCBDF"/>
    <w:rsid w:val="E7894671"/>
    <w:rsid w:val="E7D6ACA1"/>
    <w:rsid w:val="E93F959B"/>
    <w:rsid w:val="E97DA068"/>
    <w:rsid w:val="EA2F54B1"/>
    <w:rsid w:val="EAAE0E7B"/>
    <w:rsid w:val="EB7FFADD"/>
    <w:rsid w:val="EBA77F55"/>
    <w:rsid w:val="EBCFCD3D"/>
    <w:rsid w:val="EBF67A0E"/>
    <w:rsid w:val="EE3F9CC9"/>
    <w:rsid w:val="EFEFA3E9"/>
    <w:rsid w:val="EFFD0978"/>
    <w:rsid w:val="F0733BE6"/>
    <w:rsid w:val="F13F41CC"/>
    <w:rsid w:val="F1DD6007"/>
    <w:rsid w:val="F37F7E6D"/>
    <w:rsid w:val="F4BFD6CF"/>
    <w:rsid w:val="F4E31E83"/>
    <w:rsid w:val="F5DFEF14"/>
    <w:rsid w:val="F5FCB0B6"/>
    <w:rsid w:val="F5FF9768"/>
    <w:rsid w:val="F6FF2FC8"/>
    <w:rsid w:val="F73F39C2"/>
    <w:rsid w:val="F773E4B5"/>
    <w:rsid w:val="F779CFB8"/>
    <w:rsid w:val="F7B3202E"/>
    <w:rsid w:val="F7EF9B21"/>
    <w:rsid w:val="F7F7FD1D"/>
    <w:rsid w:val="F947F1AE"/>
    <w:rsid w:val="F97AA881"/>
    <w:rsid w:val="F97D83F2"/>
    <w:rsid w:val="F9F353B7"/>
    <w:rsid w:val="F9FB0387"/>
    <w:rsid w:val="F9FE4669"/>
    <w:rsid w:val="FAEAE7A5"/>
    <w:rsid w:val="FB7FC34E"/>
    <w:rsid w:val="FBEC04F0"/>
    <w:rsid w:val="FCB94C8C"/>
    <w:rsid w:val="FCDFEAD2"/>
    <w:rsid w:val="FCF7B382"/>
    <w:rsid w:val="FCFFF5DF"/>
    <w:rsid w:val="FD41BC53"/>
    <w:rsid w:val="FD5F0472"/>
    <w:rsid w:val="FD9FB619"/>
    <w:rsid w:val="FDD797EF"/>
    <w:rsid w:val="FDDE2EAC"/>
    <w:rsid w:val="FDDF708C"/>
    <w:rsid w:val="FEBF2D83"/>
    <w:rsid w:val="FF3FEFDA"/>
    <w:rsid w:val="FF6F8F80"/>
    <w:rsid w:val="FF723D13"/>
    <w:rsid w:val="FF764720"/>
    <w:rsid w:val="FFAE43E5"/>
    <w:rsid w:val="FFAFD6DF"/>
    <w:rsid w:val="FFBF12BE"/>
    <w:rsid w:val="FFCF7477"/>
    <w:rsid w:val="FFCFC5BF"/>
    <w:rsid w:val="FFD96004"/>
    <w:rsid w:val="FFDA15F8"/>
    <w:rsid w:val="FFDDF068"/>
    <w:rsid w:val="FFDF1175"/>
    <w:rsid w:val="FFE738E7"/>
    <w:rsid w:val="FFE80793"/>
    <w:rsid w:val="FFECB6DC"/>
    <w:rsid w:val="FFEF8975"/>
    <w:rsid w:val="FFF3EF4C"/>
    <w:rsid w:val="FFFAD82E"/>
    <w:rsid w:val="FFFBB617"/>
    <w:rsid w:val="FFFDEB64"/>
    <w:rsid w:val="FFFEA8F6"/>
    <w:rsid w:val="FFFF5F13"/>
    <w:rsid w:val="FFFF8C8C"/>
    <w:rsid w:val="FFFF96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3"/>
    <w:basedOn w:val="1"/>
    <w:next w:val="1"/>
    <w:qFormat/>
    <w:uiPriority w:val="0"/>
    <w:pPr>
      <w:keepNext/>
      <w:keepLines/>
      <w:spacing w:before="260" w:after="260" w:line="416" w:lineRule="auto"/>
      <w:outlineLvl w:val="2"/>
    </w:pPr>
    <w:rPr>
      <w:b/>
      <w:bCs/>
      <w:kern w:val="0"/>
      <w:sz w:val="32"/>
      <w:szCs w:val="32"/>
    </w:rPr>
  </w:style>
  <w:style w:type="paragraph" w:styleId="5">
    <w:name w:val="heading 4"/>
    <w:basedOn w:val="1"/>
    <w:next w:val="1"/>
    <w:qFormat/>
    <w:uiPriority w:val="0"/>
    <w:pPr>
      <w:keepNext/>
      <w:keepLines/>
      <w:widowControl/>
      <w:spacing w:before="120" w:after="120" w:line="360" w:lineRule="auto"/>
      <w:jc w:val="center"/>
      <w:outlineLvl w:val="3"/>
    </w:pPr>
    <w:rPr>
      <w:rFonts w:ascii="Arial" w:hAnsi="Arial" w:eastAsia="黑体"/>
      <w:kern w:val="0"/>
      <w:sz w:val="28"/>
      <w:szCs w:val="20"/>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6">
    <w:name w:val="index 8"/>
    <w:basedOn w:val="1"/>
    <w:next w:val="1"/>
    <w:qFormat/>
    <w:uiPriority w:val="0"/>
    <w:pPr>
      <w:ind w:left="2940"/>
    </w:pPr>
  </w:style>
  <w:style w:type="paragraph" w:styleId="7">
    <w:name w:val="List Number"/>
    <w:basedOn w:val="1"/>
    <w:qFormat/>
    <w:uiPriority w:val="0"/>
    <w:pPr>
      <w:numPr>
        <w:ilvl w:val="0"/>
        <w:numId w:val="1"/>
      </w:numPr>
    </w:pPr>
  </w:style>
  <w:style w:type="paragraph" w:styleId="8">
    <w:name w:val="annotation text"/>
    <w:basedOn w:val="1"/>
    <w:qFormat/>
    <w:uiPriority w:val="0"/>
    <w:pPr>
      <w:jc w:val="left"/>
    </w:pPr>
  </w:style>
  <w:style w:type="paragraph" w:styleId="9">
    <w:name w:val="Body Text 3"/>
    <w:basedOn w:val="1"/>
    <w:qFormat/>
    <w:uiPriority w:val="0"/>
    <w:pPr>
      <w:spacing w:line="500" w:lineRule="exact"/>
    </w:pPr>
    <w:rPr>
      <w:b/>
      <w:bCs/>
      <w:sz w:val="24"/>
    </w:rPr>
  </w:style>
  <w:style w:type="paragraph" w:styleId="10">
    <w:name w:val="Body Text"/>
    <w:basedOn w:val="1"/>
    <w:next w:val="11"/>
    <w:qFormat/>
    <w:uiPriority w:val="0"/>
    <w:pPr>
      <w:spacing w:line="380" w:lineRule="exact"/>
    </w:pPr>
    <w:rPr>
      <w:sz w:val="24"/>
    </w:rPr>
  </w:style>
  <w:style w:type="paragraph" w:customStyle="1" w:styleId="11">
    <w:name w:val="Default"/>
    <w:basedOn w:val="12"/>
    <w:qFormat/>
    <w:uiPriority w:val="0"/>
    <w:pPr>
      <w:autoSpaceDE w:val="0"/>
      <w:autoSpaceDN w:val="0"/>
      <w:adjustRightInd w:val="0"/>
    </w:pPr>
    <w:rPr>
      <w:rFonts w:ascii="宋体" w:hAnsi="Times New Roman" w:eastAsia="宋体" w:cs="宋体"/>
      <w:color w:val="000000"/>
      <w:sz w:val="24"/>
      <w:szCs w:val="24"/>
    </w:rPr>
  </w:style>
  <w:style w:type="paragraph" w:styleId="12">
    <w:name w:val="Title"/>
    <w:basedOn w:val="1"/>
    <w:next w:val="1"/>
    <w:qFormat/>
    <w:uiPriority w:val="0"/>
    <w:pPr>
      <w:spacing w:before="240" w:after="60"/>
      <w:jc w:val="center"/>
      <w:outlineLvl w:val="0"/>
    </w:pPr>
    <w:rPr>
      <w:rFonts w:ascii="Arial" w:hAnsi="Arial"/>
      <w:b/>
      <w:bCs/>
      <w:sz w:val="32"/>
      <w:szCs w:val="32"/>
    </w:rPr>
  </w:style>
  <w:style w:type="paragraph" w:styleId="13">
    <w:name w:val="Body Text Indent"/>
    <w:basedOn w:val="1"/>
    <w:qFormat/>
    <w:uiPriority w:val="0"/>
    <w:pPr>
      <w:ind w:firstLine="830" w:firstLineChars="352"/>
    </w:pPr>
    <w:rPr>
      <w:rFonts w:ascii="仿宋_GB2312" w:eastAsia="仿宋_GB2312"/>
      <w:sz w:val="32"/>
      <w:szCs w:val="20"/>
    </w:rPr>
  </w:style>
  <w:style w:type="paragraph" w:styleId="14">
    <w:name w:val="Plain Text"/>
    <w:basedOn w:val="1"/>
    <w:next w:val="1"/>
    <w:qFormat/>
    <w:uiPriority w:val="0"/>
    <w:rPr>
      <w:rFonts w:ascii="宋体" w:hAnsi="Courier New" w:cs="Courier New"/>
      <w:szCs w:val="21"/>
    </w:rPr>
  </w:style>
  <w:style w:type="paragraph" w:styleId="1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tabs>
        <w:tab w:val="right" w:leader="dot" w:pos="8296"/>
        <w:tab w:val="right" w:leader="dot" w:pos="8398"/>
      </w:tabs>
      <w:spacing w:before="120" w:after="120" w:line="320" w:lineRule="exact"/>
      <w:ind w:firstLine="840" w:firstLineChars="400"/>
      <w:jc w:val="left"/>
    </w:pPr>
    <w:rPr>
      <w:rFonts w:ascii="仿宋_GB2312" w:hAnsi="宋体" w:eastAsia="仿宋_GB2312" w:cs="Courier New"/>
      <w:bCs/>
      <w:caps/>
      <w:szCs w:val="21"/>
    </w:rPr>
  </w:style>
  <w:style w:type="paragraph" w:styleId="17">
    <w:name w:val="Body Text 2"/>
    <w:basedOn w:val="1"/>
    <w:qFormat/>
    <w:uiPriority w:val="0"/>
    <w:pPr>
      <w:spacing w:after="120" w:line="480" w:lineRule="auto"/>
    </w:pPr>
  </w:style>
  <w:style w:type="paragraph" w:styleId="18">
    <w:name w:val="Normal (Web)"/>
    <w:basedOn w:val="1"/>
    <w:qFormat/>
    <w:uiPriority w:val="99"/>
    <w:pPr>
      <w:widowControl/>
      <w:spacing w:before="100" w:beforeAutospacing="1" w:after="100" w:afterAutospacing="1"/>
      <w:jc w:val="left"/>
    </w:pPr>
    <w:rPr>
      <w:rFonts w:ascii="宋体" w:hAnsi="宋体"/>
      <w:kern w:val="0"/>
      <w:sz w:val="24"/>
    </w:rPr>
  </w:style>
  <w:style w:type="paragraph" w:styleId="19">
    <w:name w:val="Body Text First Indent"/>
    <w:basedOn w:val="10"/>
    <w:qFormat/>
    <w:uiPriority w:val="0"/>
    <w:pPr>
      <w:ind w:firstLine="420" w:firstLineChars="100"/>
    </w:pPr>
  </w:style>
  <w:style w:type="character" w:styleId="22">
    <w:name w:val="Strong"/>
    <w:basedOn w:val="21"/>
    <w:qFormat/>
    <w:uiPriority w:val="0"/>
    <w:rPr>
      <w:b/>
    </w:rPr>
  </w:style>
  <w:style w:type="character" w:styleId="23">
    <w:name w:val="Emphasis"/>
    <w:qFormat/>
    <w:uiPriority w:val="0"/>
    <w:rPr>
      <w:color w:val="CC0000"/>
    </w:rPr>
  </w:style>
  <w:style w:type="character" w:styleId="24">
    <w:name w:val="annotation reference"/>
    <w:qFormat/>
    <w:uiPriority w:val="0"/>
    <w:rPr>
      <w:sz w:val="21"/>
      <w:szCs w:val="21"/>
    </w:rPr>
  </w:style>
  <w:style w:type="character" w:customStyle="1" w:styleId="25">
    <w:name w:val="font41"/>
    <w:basedOn w:val="21"/>
    <w:qFormat/>
    <w:uiPriority w:val="0"/>
    <w:rPr>
      <w:rFonts w:hint="default" w:ascii="Times New Roman" w:hAnsi="Times New Roman" w:cs="Times New Roman"/>
      <w:color w:val="000000"/>
      <w:sz w:val="28"/>
      <w:szCs w:val="28"/>
      <w:u w:val="none"/>
    </w:rPr>
  </w:style>
  <w:style w:type="character" w:customStyle="1" w:styleId="26">
    <w:name w:val="font31"/>
    <w:basedOn w:val="21"/>
    <w:qFormat/>
    <w:uiPriority w:val="0"/>
    <w:rPr>
      <w:rFonts w:hint="eastAsia" w:ascii="宋体" w:hAnsi="宋体" w:eastAsia="宋体" w:cs="宋体"/>
      <w:color w:val="000000"/>
      <w:sz w:val="28"/>
      <w:szCs w:val="28"/>
      <w:u w:val="none"/>
    </w:rPr>
  </w:style>
  <w:style w:type="character" w:customStyle="1" w:styleId="27">
    <w:name w:val="font51"/>
    <w:basedOn w:val="21"/>
    <w:qFormat/>
    <w:uiPriority w:val="0"/>
    <w:rPr>
      <w:rFonts w:hint="default" w:ascii="Times New Roman" w:hAnsi="Times New Roman" w:cs="Times New Roman"/>
      <w:color w:val="000000"/>
      <w:sz w:val="24"/>
      <w:szCs w:val="24"/>
      <w:u w:val="none"/>
    </w:rPr>
  </w:style>
  <w:style w:type="character" w:customStyle="1" w:styleId="28">
    <w:name w:val="font01"/>
    <w:basedOn w:val="21"/>
    <w:qFormat/>
    <w:uiPriority w:val="0"/>
    <w:rPr>
      <w:rFonts w:hint="eastAsia" w:ascii="宋体" w:hAnsi="宋体" w:eastAsia="宋体" w:cs="宋体"/>
      <w:color w:val="000000"/>
      <w:sz w:val="24"/>
      <w:szCs w:val="24"/>
      <w:u w:val="none"/>
    </w:rPr>
  </w:style>
  <w:style w:type="paragraph" w:customStyle="1" w:styleId="29">
    <w:name w:val="正文段"/>
    <w:basedOn w:val="1"/>
    <w:qFormat/>
    <w:uiPriority w:val="0"/>
    <w:pPr>
      <w:widowControl/>
      <w:snapToGrid w:val="0"/>
      <w:spacing w:after="156" w:afterLines="50"/>
      <w:ind w:firstLine="200" w:firstLineChars="200"/>
    </w:pPr>
    <w:rPr>
      <w:kern w:val="0"/>
      <w:sz w:val="24"/>
      <w:szCs w:val="20"/>
    </w:rPr>
  </w:style>
  <w:style w:type="paragraph" w:customStyle="1" w:styleId="30">
    <w:name w:val="p15"/>
    <w:basedOn w:val="1"/>
    <w:qFormat/>
    <w:uiPriority w:val="0"/>
    <w:pPr>
      <w:widowControl/>
    </w:pPr>
    <w:rPr>
      <w:rFonts w:ascii="宋体" w:hAnsi="宋体" w:cs="宋体"/>
      <w:kern w:val="0"/>
      <w:szCs w:val="21"/>
    </w:rPr>
  </w:style>
  <w:style w:type="paragraph" w:customStyle="1" w:styleId="31">
    <w:name w:val="表格文字"/>
    <w:basedOn w:val="1"/>
    <w:next w:val="10"/>
    <w:qFormat/>
    <w:uiPriority w:val="0"/>
    <w:pPr>
      <w:spacing w:before="25" w:after="25"/>
      <w:jc w:val="left"/>
    </w:pPr>
    <w:rPr>
      <w:bCs/>
      <w:spacing w:val="10"/>
      <w:kern w:val="0"/>
      <w:sz w:val="24"/>
    </w:rPr>
  </w:style>
  <w:style w:type="paragraph" w:customStyle="1" w:styleId="32">
    <w:name w:val="列表段落1"/>
    <w:basedOn w:val="1"/>
    <w:qFormat/>
    <w:uiPriority w:val="0"/>
    <w:pPr>
      <w:ind w:firstLine="420" w:firstLineChars="200"/>
    </w:pPr>
    <w:rPr>
      <w:rFonts w:ascii="Calibri" w:hAnsi="Calibri"/>
      <w:szCs w:val="22"/>
    </w:rPr>
  </w:style>
  <w:style w:type="paragraph" w:customStyle="1" w:styleId="33">
    <w:name w:val="Body text|3"/>
    <w:basedOn w:val="1"/>
    <w:qFormat/>
    <w:uiPriority w:val="0"/>
    <w:pPr>
      <w:spacing w:after="460"/>
      <w:jc w:val="center"/>
    </w:pPr>
    <w:rPr>
      <w:rFonts w:ascii="宋体" w:hAnsi="宋体"/>
      <w:kern w:val="0"/>
      <w:sz w:val="34"/>
      <w:szCs w:val="34"/>
    </w:rPr>
  </w:style>
  <w:style w:type="paragraph" w:customStyle="1" w:styleId="34">
    <w:name w:val="Body text|1"/>
    <w:basedOn w:val="1"/>
    <w:qFormat/>
    <w:uiPriority w:val="0"/>
    <w:pPr>
      <w:spacing w:line="353" w:lineRule="auto"/>
      <w:ind w:firstLine="400"/>
      <w:jc w:val="left"/>
    </w:pPr>
    <w:rPr>
      <w:rFonts w:ascii="宋体" w:hAnsi="宋体"/>
      <w:kern w:val="0"/>
      <w:sz w:val="30"/>
      <w:szCs w:val="30"/>
    </w:rPr>
  </w:style>
  <w:style w:type="paragraph" w:customStyle="1" w:styleId="35">
    <w:name w:val="表内文字"/>
    <w:basedOn w:val="1"/>
    <w:qFormat/>
    <w:uiPriority w:val="0"/>
    <w:pPr>
      <w:snapToGrid w:val="0"/>
      <w:spacing w:before="50" w:after="50" w:line="360" w:lineRule="exact"/>
    </w:pPr>
    <w:rPr>
      <w:rFonts w:ascii="宋体" w:hAnsi="宋体"/>
      <w:b/>
      <w:color w:val="0000FF"/>
      <w:szCs w:val="21"/>
    </w:rPr>
  </w:style>
  <w:style w:type="character" w:customStyle="1" w:styleId="36">
    <w:name w:val="NormalCharacter"/>
    <w:qFormat/>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footer" Target="foot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jpe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jpe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153</Pages>
  <Words>5143</Words>
  <Characters>5945</Characters>
  <Lines>828</Lines>
  <Paragraphs>233</Paragraphs>
  <TotalTime>126</TotalTime>
  <ScaleCrop>false</ScaleCrop>
  <LinksUpToDate>false</LinksUpToDate>
  <CharactersWithSpaces>6108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2026-07-29T17:02:00Z</dcterms:created>
  <dc:creator>19244</dc:creator>
  <cp:lastModifiedBy>WPS_655086615</cp:lastModifiedBy>
  <cp:lastPrinted>2026-09-07T03:57:00Z</cp:lastPrinted>
  <dcterms:modified xsi:type="dcterms:W3CDTF">2026-09-30T11:17:54Z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eyJoZGlkIjoiNzQ2MTc4NzA2NjUxZjk5MmI0ODc0NDE0Mzc0OWVhYjUiLCJ1c2VySWQiOiI2NTUwODY2MTUifQ==</vt:lpwstr>
  </property>
  <property fmtid="{D5CDD505-2E9C-101B-9397-08002B2CF9AE}" pid="4" name="ICV">
    <vt:lpwstr>C363E4BD72F1462A9B3F8F46A4785916_13</vt:lpwstr>
  </property>
</Properties>
</file>